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Theme="minorEastAsia" w:hAnsiTheme="minorEastAsia" w:eastAsiaTheme="minorEastAsia" w:cstheme="minorEastAsia"/>
          <w:b w:val="0"/>
          <w:bCs w:val="0"/>
          <w:snapToGrid/>
          <w:color w:val="auto"/>
          <w:kern w:val="2"/>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海南凯德建筑劳务有限公司“9·5”高处坠落</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一般事故整改和防范措施落实情况评估报告</w:t>
      </w:r>
    </w:p>
    <w:p>
      <w:pPr>
        <w:pStyle w:val="2"/>
        <w:rPr>
          <w:rFonts w:hint="eastAsia"/>
          <w:lang w:val="en-US" w:eastAsia="zh-CN"/>
        </w:rPr>
      </w:pPr>
    </w:p>
    <w:p>
      <w:pPr>
        <w:keepNext w:val="0"/>
        <w:keepLines w:val="0"/>
        <w:pageBreakBefore w:val="0"/>
        <w:wordWrap/>
        <w:overflowPunct/>
        <w:topLinePunct w:val="0"/>
        <w:bidi w:val="0"/>
        <w:spacing w:line="560" w:lineRule="exact"/>
        <w:ind w:left="0" w:right="0"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2024年9月5日15时许，上海市青浦区朱家角镇青浦大道和五浦路附近项目工地内B区地下室二层处，海南凯德建筑劳务有限公司一名施工人员江佐伟（男，湖南人，54岁）在工作过程中不慎坠落致死，坠落高度约3米，事故造成1人死亡，直接经济损失约160万元。</w:t>
      </w:r>
      <w:r>
        <w:rPr>
          <w:rStyle w:val="12"/>
          <w:rFonts w:ascii="仿宋_GB2312" w:hAnsi="Calibri" w:eastAsia="仿宋_GB2312" w:cs="Times New Roman"/>
          <w:snapToGrid/>
          <w:kern w:val="2"/>
          <w:sz w:val="32"/>
          <w:szCs w:val="32"/>
          <w:lang w:eastAsia="zh-CN"/>
        </w:rPr>
        <w:t>事发后，上海市</w:t>
      </w:r>
      <w:r>
        <w:rPr>
          <w:rStyle w:val="12"/>
          <w:rFonts w:hint="eastAsia" w:ascii="仿宋_GB2312" w:hAnsi="Calibri" w:eastAsia="仿宋_GB2312" w:cs="Times New Roman"/>
          <w:snapToGrid/>
          <w:kern w:val="2"/>
          <w:sz w:val="32"/>
          <w:szCs w:val="32"/>
          <w:lang w:eastAsia="zh-CN"/>
        </w:rPr>
        <w:t>青浦区</w:t>
      </w:r>
      <w:r>
        <w:rPr>
          <w:rStyle w:val="12"/>
          <w:rFonts w:ascii="仿宋_GB2312" w:hAnsi="Calibri" w:eastAsia="仿宋_GB2312" w:cs="Times New Roman"/>
          <w:snapToGrid/>
          <w:kern w:val="2"/>
          <w:sz w:val="32"/>
          <w:szCs w:val="32"/>
          <w:lang w:eastAsia="zh-CN"/>
        </w:rPr>
        <w:t>应急管理局会同相关部门依法开展事故调查，形成《</w:t>
      </w:r>
      <w:r>
        <w:rPr>
          <w:rStyle w:val="12"/>
          <w:rFonts w:hint="eastAsia" w:ascii="仿宋_GB2312" w:hAnsi="Calibri" w:eastAsia="仿宋_GB2312" w:cs="Times New Roman"/>
          <w:snapToGrid/>
          <w:kern w:val="2"/>
          <w:sz w:val="32"/>
          <w:szCs w:val="32"/>
          <w:lang w:eastAsia="zh-CN"/>
        </w:rPr>
        <w:t>青浦朱家角海南凯德建筑劳务有限公司“9</w:t>
      </w:r>
      <w:r>
        <w:rPr>
          <w:rStyle w:val="12"/>
          <w:rFonts w:ascii="仿宋_GB2312" w:hAnsi="Calibri" w:eastAsia="仿宋_GB2312" w:cs="Times New Roman"/>
          <w:snapToGrid/>
          <w:kern w:val="2"/>
          <w:sz w:val="32"/>
          <w:szCs w:val="32"/>
          <w:lang w:eastAsia="zh-CN"/>
        </w:rPr>
        <w:t>.</w:t>
      </w:r>
      <w:r>
        <w:rPr>
          <w:rStyle w:val="12"/>
          <w:rFonts w:hint="eastAsia" w:ascii="仿宋_GB2312" w:hAnsi="Calibri" w:eastAsia="仿宋_GB2312" w:cs="Times New Roman"/>
          <w:snapToGrid/>
          <w:kern w:val="2"/>
          <w:sz w:val="32"/>
          <w:szCs w:val="32"/>
          <w:lang w:eastAsia="zh-CN"/>
        </w:rPr>
        <w:t>5”高处坠落一般</w:t>
      </w:r>
      <w:r>
        <w:rPr>
          <w:rStyle w:val="12"/>
          <w:rFonts w:ascii="仿宋_GB2312" w:hAnsi="Calibri" w:eastAsia="仿宋_GB2312" w:cs="Times New Roman"/>
          <w:snapToGrid/>
          <w:kern w:val="2"/>
          <w:sz w:val="32"/>
          <w:szCs w:val="32"/>
          <w:lang w:eastAsia="zh-CN"/>
        </w:rPr>
        <w:t>事故调查报告》（以下简称事故调查报告）并报经</w:t>
      </w:r>
      <w:r>
        <w:rPr>
          <w:rStyle w:val="12"/>
          <w:rFonts w:hint="eastAsia" w:ascii="仿宋_GB2312" w:hAnsi="Calibri" w:eastAsia="仿宋_GB2312" w:cs="Times New Roman"/>
          <w:snapToGrid/>
          <w:kern w:val="2"/>
          <w:sz w:val="32"/>
          <w:szCs w:val="32"/>
          <w:lang w:eastAsia="zh-CN"/>
        </w:rPr>
        <w:t>青浦区</w:t>
      </w:r>
      <w:r>
        <w:rPr>
          <w:rStyle w:val="12"/>
          <w:rFonts w:ascii="仿宋_GB2312" w:hAnsi="Calibri" w:eastAsia="仿宋_GB2312" w:cs="Times New Roman"/>
          <w:snapToGrid/>
          <w:kern w:val="2"/>
          <w:sz w:val="32"/>
          <w:szCs w:val="32"/>
          <w:lang w:eastAsia="zh-CN"/>
        </w:rPr>
        <w:t>人</w:t>
      </w:r>
      <w:r>
        <w:rPr>
          <w:rStyle w:val="12"/>
          <w:rFonts w:hint="eastAsia" w:ascii="仿宋_GB2312" w:hAnsi="Calibri" w:eastAsia="仿宋_GB2312" w:cs="Times New Roman"/>
          <w:snapToGrid/>
          <w:kern w:val="2"/>
          <w:sz w:val="32"/>
          <w:szCs w:val="32"/>
          <w:lang w:eastAsia="zh-CN"/>
        </w:rPr>
        <w:t>民</w:t>
      </w:r>
      <w:r>
        <w:rPr>
          <w:rStyle w:val="12"/>
          <w:rFonts w:ascii="仿宋_GB2312" w:hAnsi="Calibri" w:eastAsia="仿宋_GB2312" w:cs="Times New Roman"/>
          <w:snapToGrid/>
          <w:kern w:val="2"/>
          <w:sz w:val="32"/>
          <w:szCs w:val="32"/>
          <w:lang w:eastAsia="zh-CN"/>
        </w:rPr>
        <w:t>政府批复同意。根据《中华人民共和国安全生产法》《生产安全事故报告和调查处理条例》《上海市实施〈生产安全事故报告和调查处理条例〉的若干规定》《生产安全事故防范和整改措施落实情况评估办法》等有关规定，</w:t>
      </w:r>
      <w:r>
        <w:rPr>
          <w:rStyle w:val="12"/>
          <w:rFonts w:hint="eastAsia" w:ascii="仿宋_GB2312" w:hAnsi="Calibri" w:eastAsia="仿宋_GB2312" w:cs="Times New Roman"/>
          <w:snapToGrid/>
          <w:kern w:val="2"/>
          <w:sz w:val="32"/>
          <w:szCs w:val="32"/>
          <w:lang w:eastAsia="zh-CN"/>
        </w:rPr>
        <w:t>青浦区</w:t>
      </w:r>
      <w:r>
        <w:rPr>
          <w:rStyle w:val="12"/>
          <w:rFonts w:ascii="仿宋_GB2312" w:hAnsi="Calibri" w:eastAsia="仿宋_GB2312" w:cs="Times New Roman"/>
          <w:snapToGrid/>
          <w:kern w:val="2"/>
          <w:sz w:val="32"/>
          <w:szCs w:val="32"/>
          <w:lang w:eastAsia="zh-CN"/>
        </w:rPr>
        <w:t>应急管理局牵头会同相关部门成立评估组，于202</w:t>
      </w:r>
      <w:r>
        <w:rPr>
          <w:rStyle w:val="12"/>
          <w:rFonts w:hint="eastAsia" w:ascii="仿宋_GB2312" w:hAnsi="Calibri" w:eastAsia="仿宋_GB2312" w:cs="Times New Roman"/>
          <w:snapToGrid/>
          <w:kern w:val="2"/>
          <w:sz w:val="32"/>
          <w:szCs w:val="32"/>
          <w:lang w:eastAsia="zh-CN"/>
        </w:rPr>
        <w:t>5</w:t>
      </w:r>
      <w:r>
        <w:rPr>
          <w:rStyle w:val="12"/>
          <w:rFonts w:ascii="仿宋_GB2312" w:hAnsi="Calibri" w:eastAsia="仿宋_GB2312" w:cs="Times New Roman"/>
          <w:snapToGrid/>
          <w:kern w:val="2"/>
          <w:sz w:val="32"/>
          <w:szCs w:val="32"/>
          <w:lang w:eastAsia="zh-CN"/>
        </w:rPr>
        <w:t>年</w:t>
      </w:r>
      <w:r>
        <w:rPr>
          <w:rStyle w:val="12"/>
          <w:rFonts w:hint="eastAsia" w:ascii="仿宋_GB2312" w:hAnsi="Calibri" w:eastAsia="仿宋_GB2312" w:cs="Times New Roman"/>
          <w:snapToGrid/>
          <w:kern w:val="2"/>
          <w:sz w:val="32"/>
          <w:szCs w:val="32"/>
          <w:lang w:eastAsia="zh-CN"/>
        </w:rPr>
        <w:t>5</w:t>
      </w:r>
      <w:r>
        <w:rPr>
          <w:rStyle w:val="12"/>
          <w:rFonts w:ascii="仿宋_GB2312" w:hAnsi="Calibri" w:eastAsia="仿宋_GB2312" w:cs="Times New Roman"/>
          <w:snapToGrid/>
          <w:kern w:val="2"/>
          <w:sz w:val="32"/>
          <w:szCs w:val="32"/>
          <w:lang w:eastAsia="zh-CN"/>
        </w:rPr>
        <w:t>月</w:t>
      </w:r>
      <w:r>
        <w:rPr>
          <w:rStyle w:val="12"/>
          <w:rFonts w:hint="eastAsia" w:ascii="仿宋_GB2312" w:hAnsi="Calibri" w:eastAsia="仿宋_GB2312" w:cs="Times New Roman"/>
          <w:snapToGrid/>
          <w:kern w:val="2"/>
          <w:sz w:val="32"/>
          <w:szCs w:val="32"/>
          <w:lang w:eastAsia="zh-CN"/>
        </w:rPr>
        <w:t>27</w:t>
      </w:r>
      <w:r>
        <w:rPr>
          <w:rStyle w:val="12"/>
          <w:rFonts w:ascii="仿宋_GB2312" w:hAnsi="Calibri" w:eastAsia="仿宋_GB2312" w:cs="Times New Roman"/>
          <w:snapToGrid/>
          <w:kern w:val="2"/>
          <w:sz w:val="32"/>
          <w:szCs w:val="32"/>
          <w:lang w:eastAsia="zh-CN"/>
        </w:rPr>
        <w:t>日至</w:t>
      </w:r>
      <w:r>
        <w:rPr>
          <w:rStyle w:val="12"/>
          <w:rFonts w:hint="eastAsia" w:ascii="仿宋_GB2312" w:hAnsi="Calibri" w:eastAsia="仿宋_GB2312" w:cs="Times New Roman"/>
          <w:snapToGrid/>
          <w:kern w:val="2"/>
          <w:sz w:val="32"/>
          <w:szCs w:val="32"/>
          <w:lang w:eastAsia="zh-CN"/>
        </w:rPr>
        <w:t>6</w:t>
      </w:r>
      <w:r>
        <w:rPr>
          <w:rStyle w:val="12"/>
          <w:rFonts w:ascii="仿宋_GB2312" w:hAnsi="Calibri" w:eastAsia="仿宋_GB2312" w:cs="Times New Roman"/>
          <w:snapToGrid/>
          <w:kern w:val="2"/>
          <w:sz w:val="32"/>
          <w:szCs w:val="32"/>
          <w:lang w:eastAsia="zh-CN"/>
        </w:rPr>
        <w:t>月</w:t>
      </w:r>
      <w:r>
        <w:rPr>
          <w:rStyle w:val="12"/>
          <w:rFonts w:hint="eastAsia" w:ascii="仿宋_GB2312" w:hAnsi="Calibri" w:eastAsia="仿宋_GB2312" w:cs="Times New Roman"/>
          <w:snapToGrid/>
          <w:kern w:val="2"/>
          <w:sz w:val="32"/>
          <w:szCs w:val="32"/>
          <w:lang w:eastAsia="zh-CN"/>
        </w:rPr>
        <w:t>30</w:t>
      </w:r>
      <w:r>
        <w:rPr>
          <w:rStyle w:val="12"/>
          <w:rFonts w:ascii="仿宋_GB2312" w:hAnsi="Calibri" w:eastAsia="仿宋_GB2312" w:cs="Times New Roman"/>
          <w:snapToGrid/>
          <w:kern w:val="2"/>
          <w:sz w:val="32"/>
          <w:szCs w:val="32"/>
          <w:lang w:eastAsia="zh-CN"/>
        </w:rPr>
        <w:t>日开展事故整改和防范措施落实情况评估，形成本评估</w:t>
      </w:r>
      <w:r>
        <w:rPr>
          <w:rStyle w:val="12"/>
          <w:rFonts w:hint="eastAsia" w:ascii="仿宋_GB2312" w:hAnsi="Calibri" w:eastAsia="仿宋_GB2312" w:cs="Times New Roman"/>
          <w:snapToGrid/>
          <w:kern w:val="2"/>
          <w:sz w:val="32"/>
          <w:szCs w:val="32"/>
          <w:lang w:eastAsia="zh-CN"/>
        </w:rPr>
        <w:t>报告</w:t>
      </w:r>
      <w:r>
        <w:rPr>
          <w:rStyle w:val="12"/>
          <w:rFonts w:ascii="仿宋_GB2312" w:hAnsi="Calibri" w:eastAsia="仿宋_GB2312" w:cs="Times New Roman"/>
          <w:snapToGrid/>
          <w:kern w:val="2"/>
          <w:sz w:val="32"/>
          <w:szCs w:val="32"/>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基本情况</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ascii="仿宋_GB2312" w:hAnsi="Calibri" w:eastAsia="仿宋_GB2312" w:cs="Times New Roman"/>
          <w:snapToGrid/>
          <w:color w:val="000000"/>
          <w:kern w:val="2"/>
          <w:sz w:val="32"/>
          <w:szCs w:val="32"/>
          <w:lang w:val="en-US" w:eastAsia="zh-CN" w:bidi="ar-SA"/>
        </w:rPr>
        <w:t>按照“谁牵头调查，谁组织评估”原则，</w:t>
      </w:r>
      <w:r>
        <w:rPr>
          <w:rStyle w:val="12"/>
          <w:rFonts w:hint="eastAsia" w:ascii="仿宋_GB2312" w:hAnsi="Calibri" w:eastAsia="仿宋_GB2312" w:cs="Times New Roman"/>
          <w:snapToGrid/>
          <w:color w:val="000000"/>
          <w:kern w:val="2"/>
          <w:sz w:val="32"/>
          <w:szCs w:val="32"/>
          <w:lang w:val="en-US" w:eastAsia="zh-CN" w:bidi="ar-SA"/>
        </w:rPr>
        <w:t>区</w:t>
      </w:r>
      <w:r>
        <w:rPr>
          <w:rStyle w:val="12"/>
          <w:rFonts w:ascii="仿宋_GB2312" w:hAnsi="Calibri" w:eastAsia="仿宋_GB2312" w:cs="Times New Roman"/>
          <w:snapToGrid/>
          <w:color w:val="000000"/>
          <w:kern w:val="2"/>
          <w:sz w:val="32"/>
          <w:szCs w:val="32"/>
          <w:lang w:val="en-US" w:eastAsia="zh-CN" w:bidi="ar-SA"/>
        </w:rPr>
        <w:t>应急管理局会同</w:t>
      </w:r>
      <w:r>
        <w:rPr>
          <w:rStyle w:val="12"/>
          <w:rFonts w:hint="eastAsia" w:ascii="仿宋_GB2312" w:hAnsi="Calibri" w:eastAsia="仿宋_GB2312" w:cs="Times New Roman"/>
          <w:snapToGrid/>
          <w:color w:val="000000"/>
          <w:kern w:val="2"/>
          <w:sz w:val="32"/>
          <w:szCs w:val="32"/>
          <w:lang w:val="en-US" w:eastAsia="zh-CN" w:bidi="ar-SA"/>
        </w:rPr>
        <w:t>上海市</w:t>
      </w:r>
      <w:r>
        <w:rPr>
          <w:rStyle w:val="12"/>
          <w:rFonts w:ascii="仿宋_GB2312" w:hAnsi="Calibri" w:eastAsia="仿宋_GB2312" w:cs="Times New Roman"/>
          <w:snapToGrid/>
          <w:color w:val="000000"/>
          <w:kern w:val="2"/>
          <w:sz w:val="32"/>
          <w:szCs w:val="32"/>
          <w:lang w:val="en-US" w:eastAsia="zh-CN" w:bidi="ar-SA"/>
        </w:rPr>
        <w:t>公安</w:t>
      </w:r>
      <w:r>
        <w:rPr>
          <w:rStyle w:val="12"/>
          <w:rFonts w:hint="eastAsia" w:ascii="仿宋_GB2312" w:hAnsi="Calibri" w:eastAsia="仿宋_GB2312" w:cs="Times New Roman"/>
          <w:snapToGrid/>
          <w:color w:val="000000"/>
          <w:kern w:val="2"/>
          <w:sz w:val="32"/>
          <w:szCs w:val="32"/>
          <w:lang w:val="en-US" w:eastAsia="zh-CN" w:bidi="ar-SA"/>
        </w:rPr>
        <w:t>局青浦分局</w:t>
      </w:r>
      <w:r>
        <w:rPr>
          <w:rStyle w:val="12"/>
          <w:rFonts w:ascii="仿宋_GB2312" w:hAnsi="Calibri" w:eastAsia="仿宋_GB2312"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区</w:t>
      </w:r>
      <w:r>
        <w:rPr>
          <w:rStyle w:val="12"/>
          <w:rFonts w:ascii="仿宋_GB2312" w:hAnsi="Calibri" w:eastAsia="仿宋_GB2312" w:cs="Times New Roman"/>
          <w:snapToGrid/>
          <w:color w:val="000000"/>
          <w:kern w:val="2"/>
          <w:sz w:val="32"/>
          <w:szCs w:val="32"/>
          <w:lang w:val="en-US" w:eastAsia="zh-CN" w:bidi="ar-SA"/>
        </w:rPr>
        <w:t>总工会、</w:t>
      </w:r>
      <w:r>
        <w:rPr>
          <w:rStyle w:val="12"/>
          <w:rFonts w:hint="eastAsia" w:ascii="仿宋_GB2312" w:hAnsi="Calibri" w:eastAsia="仿宋_GB2312" w:cs="Times New Roman"/>
          <w:snapToGrid/>
          <w:color w:val="000000"/>
          <w:kern w:val="2"/>
          <w:sz w:val="32"/>
          <w:szCs w:val="32"/>
          <w:lang w:val="en-US" w:eastAsia="zh-CN" w:bidi="ar-SA"/>
        </w:rPr>
        <w:t>市住建委、区建管委、朱家角镇人民政府</w:t>
      </w:r>
      <w:r>
        <w:rPr>
          <w:rStyle w:val="12"/>
          <w:rFonts w:ascii="仿宋_GB2312" w:hAnsi="Calibri" w:eastAsia="仿宋_GB2312" w:cs="Times New Roman"/>
          <w:snapToGrid/>
          <w:color w:val="000000"/>
          <w:kern w:val="2"/>
          <w:sz w:val="32"/>
          <w:szCs w:val="32"/>
          <w:lang w:val="en-US" w:eastAsia="zh-CN" w:bidi="ar-SA"/>
        </w:rPr>
        <w:t>组成</w:t>
      </w:r>
      <w:r>
        <w:rPr>
          <w:rStyle w:val="12"/>
          <w:rFonts w:hint="eastAsia" w:hAnsi="Calibri" w:cs="Times New Roman"/>
          <w:snapToGrid/>
          <w:color w:val="000000"/>
          <w:kern w:val="2"/>
          <w:sz w:val="32"/>
          <w:szCs w:val="32"/>
          <w:lang w:val="en-US" w:eastAsia="zh-CN" w:bidi="ar-SA"/>
        </w:rPr>
        <w:t>青浦朱家角</w:t>
      </w:r>
      <w:r>
        <w:rPr>
          <w:rStyle w:val="12"/>
          <w:rFonts w:hint="eastAsia" w:ascii="仿宋_GB2312" w:hAnsi="Calibri" w:eastAsia="仿宋_GB2312" w:cs="Times New Roman"/>
          <w:snapToGrid/>
          <w:color w:val="000000"/>
          <w:kern w:val="2"/>
          <w:sz w:val="32"/>
          <w:szCs w:val="32"/>
          <w:lang w:val="en-US" w:eastAsia="zh-CN" w:bidi="ar-SA"/>
        </w:rPr>
        <w:t>海南凯德建筑劳务有限公司“9</w:t>
      </w:r>
      <w:r>
        <w:rPr>
          <w:rStyle w:val="12"/>
          <w:rFonts w:ascii="仿宋_GB2312" w:hAnsi="Calibri" w:eastAsia="仿宋_GB2312"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5</w:t>
      </w:r>
      <w:r>
        <w:rPr>
          <w:rStyle w:val="12"/>
          <w:rFonts w:ascii="仿宋_GB2312" w:hAnsi="Calibri" w:eastAsia="仿宋_GB2312"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高处坠落一般</w:t>
      </w:r>
      <w:r>
        <w:rPr>
          <w:rStyle w:val="12"/>
          <w:rFonts w:ascii="仿宋_GB2312" w:hAnsi="Calibri" w:eastAsia="仿宋_GB2312" w:cs="Times New Roman"/>
          <w:snapToGrid/>
          <w:color w:val="000000"/>
          <w:kern w:val="2"/>
          <w:sz w:val="32"/>
          <w:szCs w:val="32"/>
          <w:lang w:val="en-US" w:eastAsia="zh-CN" w:bidi="ar-SA"/>
        </w:rPr>
        <w:t>事故整改和防范措施落实情况评估组（以下简称评估组），委托上海</w:t>
      </w:r>
      <w:r>
        <w:rPr>
          <w:rStyle w:val="12"/>
          <w:rFonts w:hint="eastAsia" w:ascii="仿宋_GB2312" w:hAnsi="Calibri" w:eastAsia="仿宋_GB2312" w:cs="Times New Roman"/>
          <w:snapToGrid/>
          <w:color w:val="000000"/>
          <w:kern w:val="2"/>
          <w:sz w:val="32"/>
          <w:szCs w:val="32"/>
          <w:lang w:val="en-US" w:eastAsia="zh-CN" w:bidi="ar-SA"/>
        </w:rPr>
        <w:t>欣企安全生产咨询服务有限公司</w:t>
      </w:r>
      <w:r>
        <w:rPr>
          <w:rStyle w:val="12"/>
          <w:rFonts w:ascii="仿宋_GB2312" w:hAnsi="Calibri" w:eastAsia="仿宋_GB2312" w:cs="Times New Roman"/>
          <w:snapToGrid/>
          <w:color w:val="000000"/>
          <w:kern w:val="2"/>
          <w:sz w:val="32"/>
          <w:szCs w:val="32"/>
          <w:lang w:val="en-US" w:eastAsia="zh-CN" w:bidi="ar-SA"/>
        </w:rPr>
        <w:t>及相关专家参与评估。</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ascii="仿宋_GB2312" w:hAnsi="Calibri" w:eastAsia="仿宋_GB2312" w:cs="Times New Roman"/>
          <w:snapToGrid/>
          <w:color w:val="000000"/>
          <w:kern w:val="2"/>
          <w:sz w:val="32"/>
          <w:szCs w:val="32"/>
          <w:lang w:val="en-US" w:eastAsia="zh-CN" w:bidi="ar-SA"/>
        </w:rPr>
        <w:t>按照“科学严谨，依法依规，实事求是，注重实效”的原则评估组对照事故调查报告及批复，听取工作汇报，查阅台账资料</w:t>
      </w:r>
      <w:r>
        <w:rPr>
          <w:rStyle w:val="12"/>
          <w:rFonts w:hint="eastAsia" w:ascii="仿宋_GB2312" w:hAnsi="Calibri" w:eastAsia="仿宋_GB2312" w:cs="Times New Roman"/>
          <w:snapToGrid/>
          <w:color w:val="000000"/>
          <w:kern w:val="2"/>
          <w:sz w:val="32"/>
          <w:szCs w:val="32"/>
          <w:lang w:val="en-US" w:eastAsia="zh-CN" w:bidi="ar-SA"/>
        </w:rPr>
        <w:t>，</w:t>
      </w:r>
      <w:r>
        <w:rPr>
          <w:rStyle w:val="12"/>
          <w:rFonts w:ascii="仿宋_GB2312" w:hAnsi="Calibri" w:eastAsia="仿宋_GB2312" w:cs="Times New Roman"/>
          <w:snapToGrid/>
          <w:color w:val="000000"/>
          <w:kern w:val="2"/>
          <w:sz w:val="32"/>
          <w:szCs w:val="32"/>
          <w:lang w:val="en-US" w:eastAsia="zh-CN" w:bidi="ar-SA"/>
        </w:rPr>
        <w:t>通过座谈问询、走访核查事发现场，逐项核查事故相关单位责任追究、整改和防范措施落实等情况，并结合专家意见，进行了综合评估并提出工作建议。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事故处理落实情况</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left="0" w:leftChars="0" w:righ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行政处罚落实情况</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ascii="仿宋_GB2312" w:hAnsi="Calibri" w:eastAsia="仿宋_GB2312" w:cs="Times New Roman"/>
          <w:snapToGrid/>
          <w:color w:val="000000"/>
          <w:kern w:val="2"/>
          <w:sz w:val="32"/>
          <w:szCs w:val="32"/>
          <w:lang w:val="en-US" w:eastAsia="zh-CN" w:bidi="ar-SA"/>
        </w:rPr>
        <w:t>202</w:t>
      </w:r>
      <w:r>
        <w:rPr>
          <w:rStyle w:val="12"/>
          <w:rFonts w:hint="eastAsia" w:ascii="仿宋_GB2312" w:hAnsi="Calibri" w:eastAsia="仿宋_GB2312" w:cs="Times New Roman"/>
          <w:snapToGrid/>
          <w:color w:val="000000"/>
          <w:kern w:val="2"/>
          <w:sz w:val="32"/>
          <w:szCs w:val="32"/>
          <w:lang w:val="en-US" w:eastAsia="zh-CN" w:bidi="ar-SA"/>
        </w:rPr>
        <w:t>5</w:t>
      </w:r>
      <w:r>
        <w:rPr>
          <w:rStyle w:val="12"/>
          <w:rFonts w:ascii="仿宋_GB2312" w:hAnsi="Calibri" w:eastAsia="仿宋_GB2312" w:cs="Times New Roman"/>
          <w:snapToGrid/>
          <w:color w:val="000000"/>
          <w:kern w:val="2"/>
          <w:sz w:val="32"/>
          <w:szCs w:val="32"/>
          <w:lang w:val="en-US" w:eastAsia="zh-CN" w:bidi="ar-SA"/>
        </w:rPr>
        <w:t>年</w:t>
      </w:r>
      <w:r>
        <w:rPr>
          <w:rStyle w:val="12"/>
          <w:rFonts w:hint="eastAsia" w:ascii="仿宋_GB2312" w:hAnsi="Calibri" w:eastAsia="仿宋_GB2312" w:cs="Times New Roman"/>
          <w:snapToGrid/>
          <w:color w:val="000000"/>
          <w:kern w:val="2"/>
          <w:sz w:val="32"/>
          <w:szCs w:val="32"/>
          <w:lang w:val="en-US" w:eastAsia="zh-CN" w:bidi="ar-SA"/>
        </w:rPr>
        <w:t>01</w:t>
      </w:r>
      <w:r>
        <w:rPr>
          <w:rStyle w:val="12"/>
          <w:rFonts w:ascii="仿宋_GB2312" w:hAnsi="Calibri" w:eastAsia="仿宋_GB2312" w:cs="Times New Roman"/>
          <w:snapToGrid/>
          <w:color w:val="000000"/>
          <w:kern w:val="2"/>
          <w:sz w:val="32"/>
          <w:szCs w:val="32"/>
          <w:lang w:val="en-US" w:eastAsia="zh-CN" w:bidi="ar-SA"/>
        </w:rPr>
        <w:t>月</w:t>
      </w:r>
      <w:r>
        <w:rPr>
          <w:rStyle w:val="12"/>
          <w:rFonts w:hint="eastAsia" w:ascii="仿宋_GB2312" w:hAnsi="Calibri" w:eastAsia="仿宋_GB2312" w:cs="Times New Roman"/>
          <w:snapToGrid/>
          <w:color w:val="000000"/>
          <w:kern w:val="2"/>
          <w:sz w:val="32"/>
          <w:szCs w:val="32"/>
          <w:lang w:val="en-US" w:eastAsia="zh-CN" w:bidi="ar-SA"/>
        </w:rPr>
        <w:t>17</w:t>
      </w:r>
      <w:r>
        <w:rPr>
          <w:rStyle w:val="12"/>
          <w:rFonts w:ascii="仿宋_GB2312" w:hAnsi="Calibri" w:eastAsia="仿宋_GB2312" w:cs="Times New Roman"/>
          <w:snapToGrid/>
          <w:color w:val="000000"/>
          <w:kern w:val="2"/>
          <w:sz w:val="32"/>
          <w:szCs w:val="32"/>
          <w:lang w:val="en-US" w:eastAsia="zh-CN" w:bidi="ar-SA"/>
        </w:rPr>
        <w:t>日，</w:t>
      </w:r>
      <w:r>
        <w:rPr>
          <w:rStyle w:val="12"/>
          <w:rFonts w:hint="eastAsia" w:ascii="仿宋_GB2312" w:hAnsi="Calibri" w:eastAsia="仿宋_GB2312" w:cs="Times New Roman"/>
          <w:snapToGrid/>
          <w:color w:val="000000"/>
          <w:kern w:val="2"/>
          <w:sz w:val="32"/>
          <w:szCs w:val="32"/>
          <w:lang w:val="en-US" w:eastAsia="zh-CN" w:bidi="ar-SA"/>
        </w:rPr>
        <w:t>上海市青浦区应急管理局</w:t>
      </w:r>
      <w:r>
        <w:rPr>
          <w:rStyle w:val="12"/>
          <w:rFonts w:ascii="仿宋_GB2312" w:hAnsi="Calibri" w:eastAsia="仿宋_GB2312" w:cs="Times New Roman"/>
          <w:snapToGrid/>
          <w:color w:val="000000"/>
          <w:kern w:val="2"/>
          <w:sz w:val="32"/>
          <w:szCs w:val="32"/>
          <w:lang w:val="en-US" w:eastAsia="zh-CN" w:bidi="ar-SA"/>
        </w:rPr>
        <w:t>（以下简称</w:t>
      </w:r>
      <w:r>
        <w:rPr>
          <w:rStyle w:val="12"/>
          <w:rFonts w:hint="eastAsia" w:ascii="仿宋_GB2312" w:hAnsi="Calibri" w:eastAsia="仿宋_GB2312" w:cs="Times New Roman"/>
          <w:snapToGrid/>
          <w:color w:val="000000"/>
          <w:kern w:val="2"/>
          <w:sz w:val="32"/>
          <w:szCs w:val="32"/>
          <w:lang w:val="en-US" w:eastAsia="zh-CN" w:bidi="ar-SA"/>
        </w:rPr>
        <w:t>区应急管理</w:t>
      </w:r>
      <w:r>
        <w:rPr>
          <w:rStyle w:val="12"/>
          <w:rFonts w:ascii="仿宋_GB2312" w:hAnsi="Calibri" w:eastAsia="仿宋_GB2312" w:cs="Times New Roman"/>
          <w:snapToGrid/>
          <w:color w:val="000000"/>
          <w:kern w:val="2"/>
          <w:sz w:val="32"/>
          <w:szCs w:val="32"/>
          <w:lang w:val="en-US" w:eastAsia="zh-CN" w:bidi="ar-SA"/>
        </w:rPr>
        <w:t>局）按照事故责任认定及处理建议</w:t>
      </w:r>
      <w:r>
        <w:rPr>
          <w:rStyle w:val="12"/>
          <w:rFonts w:hint="eastAsia" w:ascii="仿宋_GB2312" w:hAnsi="Calibri" w:eastAsia="仿宋_GB2312" w:cs="Times New Roman"/>
          <w:snapToGrid/>
          <w:color w:val="000000"/>
          <w:kern w:val="2"/>
          <w:sz w:val="32"/>
          <w:szCs w:val="32"/>
          <w:lang w:val="en-US" w:eastAsia="zh-CN" w:bidi="ar-SA"/>
        </w:rPr>
        <w:t>，对事故责任单位海南凯德建筑劳务有限公司作出罚款50万元的行政处罚决定。</w:t>
      </w:r>
      <w:r>
        <w:rPr>
          <w:rStyle w:val="12"/>
          <w:rFonts w:ascii="仿宋_GB2312" w:hAnsi="Calibri" w:eastAsia="仿宋_GB2312" w:cs="Times New Roman"/>
          <w:snapToGrid/>
          <w:color w:val="000000"/>
          <w:kern w:val="2"/>
          <w:sz w:val="32"/>
          <w:szCs w:val="32"/>
          <w:lang w:val="en-US" w:eastAsia="zh-CN" w:bidi="ar-SA"/>
        </w:rPr>
        <w:t>对事故责任</w:t>
      </w:r>
      <w:r>
        <w:rPr>
          <w:rStyle w:val="12"/>
          <w:rFonts w:hint="eastAsia" w:ascii="仿宋_GB2312" w:hAnsi="Calibri" w:eastAsia="仿宋_GB2312" w:cs="Times New Roman"/>
          <w:snapToGrid/>
          <w:color w:val="000000"/>
          <w:kern w:val="2"/>
          <w:sz w:val="32"/>
          <w:szCs w:val="32"/>
          <w:lang w:val="en-US" w:eastAsia="zh-CN" w:bidi="ar-SA"/>
        </w:rPr>
        <w:t>人海南凯德建筑劳务有限公司总经理吴立峰、中国建筑第二工程局有限公司项目经理陈健、上海市工程建设咨询监理有限公司总监张爱民，分别作出</w:t>
      </w:r>
      <w:r>
        <w:rPr>
          <w:rStyle w:val="12"/>
          <w:rFonts w:ascii="仿宋_GB2312" w:hAnsi="Calibri" w:eastAsia="仿宋_GB2312" w:cs="Times New Roman"/>
          <w:snapToGrid/>
          <w:color w:val="000000"/>
          <w:kern w:val="2"/>
          <w:sz w:val="32"/>
          <w:szCs w:val="32"/>
          <w:lang w:val="en-US" w:eastAsia="zh-CN" w:bidi="ar-SA"/>
        </w:rPr>
        <w:t>罚款</w:t>
      </w:r>
      <w:r>
        <w:rPr>
          <w:rStyle w:val="12"/>
          <w:rFonts w:hint="eastAsia" w:ascii="仿宋_GB2312" w:hAnsi="Calibri" w:eastAsia="仿宋_GB2312" w:cs="Times New Roman"/>
          <w:snapToGrid/>
          <w:color w:val="000000"/>
          <w:kern w:val="2"/>
          <w:sz w:val="32"/>
          <w:szCs w:val="32"/>
          <w:lang w:val="en-US" w:eastAsia="zh-CN" w:bidi="ar-SA"/>
        </w:rPr>
        <w:t>48125</w:t>
      </w:r>
      <w:r>
        <w:rPr>
          <w:rStyle w:val="12"/>
          <w:rFonts w:ascii="仿宋_GB2312" w:hAnsi="Calibri" w:eastAsia="仿宋_GB2312" w:cs="Times New Roman"/>
          <w:snapToGrid/>
          <w:color w:val="000000"/>
          <w:kern w:val="2"/>
          <w:sz w:val="32"/>
          <w:szCs w:val="32"/>
          <w:lang w:val="en-US" w:eastAsia="zh-CN" w:bidi="ar-SA"/>
        </w:rPr>
        <w:t>元</w:t>
      </w:r>
      <w:r>
        <w:rPr>
          <w:rStyle w:val="12"/>
          <w:rFonts w:hint="eastAsia" w:ascii="仿宋_GB2312" w:hAnsi="Calibri" w:eastAsia="仿宋_GB2312" w:cs="Times New Roman"/>
          <w:snapToGrid/>
          <w:color w:val="000000"/>
          <w:kern w:val="2"/>
          <w:sz w:val="32"/>
          <w:szCs w:val="32"/>
          <w:lang w:val="en-US" w:eastAsia="zh-CN" w:bidi="ar-SA"/>
        </w:rPr>
        <w:t>、24956元、22800元的行政处罚决定。</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经核实，</w:t>
      </w:r>
      <w:r>
        <w:rPr>
          <w:rStyle w:val="12"/>
          <w:rFonts w:ascii="仿宋_GB2312" w:hAnsi="Calibri" w:eastAsia="仿宋_GB2312" w:cs="Times New Roman"/>
          <w:snapToGrid/>
          <w:color w:val="000000"/>
          <w:kern w:val="2"/>
          <w:sz w:val="32"/>
          <w:szCs w:val="32"/>
          <w:lang w:val="en-US" w:eastAsia="zh-CN" w:bidi="ar-SA"/>
        </w:rPr>
        <w:t>以上行政处罚均已执行。</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事故整改措施落实情况</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0" w:leftChars="0" w:righ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（一）海南凯德建筑劳务有限公司</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1、</w:t>
      </w:r>
      <w:r>
        <w:rPr>
          <w:rStyle w:val="12"/>
          <w:rFonts w:hint="eastAsia" w:ascii="仿宋_GB2312" w:hAnsi="Calibri" w:eastAsia="仿宋_GB2312" w:cs="Times New Roman"/>
          <w:snapToGrid/>
          <w:color w:val="000000"/>
          <w:kern w:val="2"/>
          <w:sz w:val="32"/>
          <w:szCs w:val="32"/>
          <w:lang w:val="en-US" w:eastAsia="zh-CN" w:bidi="ar-SA"/>
        </w:rPr>
        <w:t>深刻吸取教训，全面梳理安全管理体系</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深刻反思，统一安全思想、强化责任意识，压实责任考核。</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2、</w:t>
      </w:r>
      <w:r>
        <w:rPr>
          <w:rStyle w:val="12"/>
          <w:rFonts w:hint="eastAsia" w:ascii="仿宋_GB2312" w:hAnsi="Calibri" w:eastAsia="仿宋_GB2312" w:cs="Times New Roman"/>
          <w:snapToGrid/>
          <w:color w:val="000000"/>
          <w:kern w:val="2"/>
          <w:sz w:val="32"/>
          <w:szCs w:val="32"/>
          <w:lang w:val="en-US" w:eastAsia="zh-CN" w:bidi="ar-SA"/>
        </w:rPr>
        <w:t>严格按照相关法律法规和标准规范深入落实，并将继续加强对企业内部和项目上的安全生产管理，提升安全生产管理水平，确保项目安全管理。</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default" w:ascii="仿宋_GB2312" w:hAnsi="Calibri" w:eastAsia="仿宋_GB2312" w:cs="Times New Roman"/>
          <w:snapToGrid/>
          <w:color w:val="000000"/>
          <w:kern w:val="2"/>
          <w:sz w:val="32"/>
          <w:szCs w:val="32"/>
          <w:lang w:val="en-US" w:eastAsia="zh-CN" w:bidi="ar-SA"/>
        </w:rPr>
      </w:pP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3、</w:t>
      </w:r>
      <w:r>
        <w:rPr>
          <w:rStyle w:val="12"/>
          <w:rFonts w:hint="eastAsia" w:ascii="仿宋_GB2312" w:hAnsi="Calibri" w:eastAsia="仿宋_GB2312" w:cs="Times New Roman"/>
          <w:snapToGrid/>
          <w:color w:val="000000"/>
          <w:kern w:val="2"/>
          <w:sz w:val="32"/>
          <w:szCs w:val="32"/>
          <w:lang w:val="en-US" w:eastAsia="zh-CN" w:bidi="ar-SA"/>
        </w:rPr>
        <w:t>严格遵守行业规范，做好特种作业管理</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严格筛选劳务班组，从源头上把控安全风险、加强对管理团队管理，管理人员确定前进行考核上岗、严格审核特种作业人员操作资格、加强作业人员职业健康管理。</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4、</w:t>
      </w:r>
      <w:r>
        <w:rPr>
          <w:rStyle w:val="12"/>
          <w:rFonts w:hint="eastAsia" w:ascii="仿宋_GB2312" w:hAnsi="Calibri" w:eastAsia="仿宋_GB2312" w:cs="Times New Roman"/>
          <w:snapToGrid/>
          <w:color w:val="000000"/>
          <w:kern w:val="2"/>
          <w:sz w:val="32"/>
          <w:szCs w:val="32"/>
          <w:lang w:val="en-US" w:eastAsia="zh-CN" w:bidi="ar-SA"/>
        </w:rPr>
        <w:t>严格遵守总包的规章制度，健全双重防控机制</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完善生产安全重大隐患防控手段、聚焦治理机械设备安全隐患、持续改进和提升安全生产管理水平。</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0" w:leftChars="0" w:right="0" w:firstLine="641" w:firstLineChars="200"/>
        <w:jc w:val="both"/>
        <w:textAlignment w:val="auto"/>
        <w:rPr>
          <w:rFonts w:hint="eastAsia" w:ascii="黑体" w:hAnsi="黑体" w:eastAsia="CESI楷体-GB2312" w:cs="黑体"/>
          <w:b/>
          <w:bCs/>
          <w:snapToGrid/>
          <w:kern w:val="2"/>
          <w:sz w:val="32"/>
          <w:szCs w:val="32"/>
          <w:lang w:val="en-US" w:eastAsia="zh-CN"/>
        </w:rPr>
      </w:pPr>
      <w:bookmarkStart w:id="0" w:name="OLE_LINK3"/>
      <w:r>
        <w:rPr>
          <w:rFonts w:hint="eastAsia" w:ascii="黑体" w:hAnsi="黑体" w:eastAsia="CESI楷体-GB2312" w:cs="黑体"/>
          <w:b/>
          <w:bCs/>
          <w:snapToGrid/>
          <w:kern w:val="2"/>
          <w:sz w:val="32"/>
          <w:szCs w:val="32"/>
          <w:lang w:val="en-US" w:eastAsia="zh-CN"/>
        </w:rPr>
        <w:t>（二）中国建筑第二工程局有限公司</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1、</w:t>
      </w:r>
      <w:r>
        <w:rPr>
          <w:rStyle w:val="12"/>
          <w:rFonts w:hint="eastAsia" w:ascii="仿宋_GB2312" w:hAnsi="Calibri" w:eastAsia="仿宋_GB2312" w:cs="Times New Roman"/>
          <w:snapToGrid/>
          <w:color w:val="000000"/>
          <w:kern w:val="2"/>
          <w:sz w:val="32"/>
          <w:szCs w:val="32"/>
          <w:lang w:val="en-US" w:eastAsia="zh-CN" w:bidi="ar-SA"/>
        </w:rPr>
        <w:t>深刻反思，全面梳理管理体系</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深刻反思，统一安全思想、强化责任意识，压实责任考核。</w:t>
      </w:r>
    </w:p>
    <w:p>
      <w:pPr>
        <w:pStyle w:val="6"/>
        <w:keepNext w:val="0"/>
        <w:keepLines w:val="0"/>
        <w:pageBreakBefore w:val="0"/>
        <w:widowControl/>
        <w:numPr>
          <w:ilvl w:val="0"/>
          <w:numId w:val="3"/>
        </w:numPr>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严格遵守行业规范，有序做好特种作业管理</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制定《分包商安全管理办法》，严格筛选分包单位、加强对分包管理团队准入管理、严格审核特种作业人员操作资格、规范特种作业审批管理制度、加强作业人员职业健康管理。</w:t>
      </w:r>
    </w:p>
    <w:p>
      <w:pPr>
        <w:pStyle w:val="6"/>
        <w:keepNext w:val="0"/>
        <w:keepLines w:val="0"/>
        <w:pageBreakBefore w:val="0"/>
        <w:widowControl/>
        <w:numPr>
          <w:ilvl w:val="0"/>
          <w:numId w:val="3"/>
        </w:numPr>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落实规章制度，健全双重防控机制</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完善生产安全重大隐患防控手段、“三严”措施开展安全专项行动、聚焦治理机械设备安全隐患、强化生产安全事故的防范机制和应急处置、持续改进和提升安全生产管理水平。</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4、</w:t>
      </w:r>
      <w:r>
        <w:rPr>
          <w:rStyle w:val="12"/>
          <w:rFonts w:hint="eastAsia" w:ascii="仿宋_GB2312" w:hAnsi="Calibri" w:eastAsia="仿宋_GB2312" w:cs="Times New Roman"/>
          <w:snapToGrid/>
          <w:color w:val="000000"/>
          <w:kern w:val="2"/>
          <w:sz w:val="32"/>
          <w:szCs w:val="32"/>
          <w:lang w:val="en-US" w:eastAsia="zh-CN" w:bidi="ar-SA"/>
        </w:rPr>
        <w:t>严格按照相关法律法规和标准规范深入落实，并将继续加强对企业内部和对分包单位的安全生产管理，坚持风险隐患排查与长效管理制度紧密结合，持续改进和提升安全生产管理水平，确保建设工程安全、高效、顺利进行。</w:t>
      </w:r>
    </w:p>
    <w:bookmarkEnd w:id="0"/>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0" w:leftChars="0" w:righ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（三）区建管委</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1、</w:t>
      </w:r>
      <w:r>
        <w:rPr>
          <w:rStyle w:val="12"/>
          <w:rFonts w:hint="eastAsia" w:ascii="仿宋_GB2312" w:hAnsi="Calibri" w:eastAsia="仿宋_GB2312" w:cs="Times New Roman"/>
          <w:snapToGrid/>
          <w:color w:val="000000"/>
          <w:kern w:val="2"/>
          <w:sz w:val="32"/>
          <w:szCs w:val="32"/>
          <w:lang w:val="en-US" w:eastAsia="zh-CN" w:bidi="ar-SA"/>
        </w:rPr>
        <w:t>结合“安全月”主题活动，进一步明确日常监管和专项监管重点，对建设单位落实安全生产首要责任、预防高坠等进行重点整治，杜绝重大事故，遏制一般事故发。</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2、</w:t>
      </w:r>
      <w:r>
        <w:rPr>
          <w:rStyle w:val="12"/>
          <w:rFonts w:hint="eastAsia" w:ascii="仿宋_GB2312" w:hAnsi="Calibri" w:eastAsia="仿宋_GB2312" w:cs="Times New Roman"/>
          <w:snapToGrid/>
          <w:color w:val="000000"/>
          <w:kern w:val="2"/>
          <w:sz w:val="32"/>
          <w:szCs w:val="32"/>
          <w:lang w:val="en-US" w:eastAsia="zh-CN" w:bidi="ar-SA"/>
        </w:rPr>
        <w:t>做好建设工程高温、汛期安全管理工作。要求工地高温和汛期严格执行带班制度、做好施工前的安全教育和安全交底、以及夏令季节的劳动保护工作。积极督促各个在建工地在台风来临前落实防台防汛准备工作，要求各工地专人落实应急物资、完善应急预案，联系所在相关街镇人员，落实应急转移安置点。</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0" w:leftChars="0" w:righ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（四）朱家角镇人民政府</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1、</w:t>
      </w:r>
      <w:r>
        <w:rPr>
          <w:rStyle w:val="12"/>
          <w:rFonts w:hint="eastAsia" w:ascii="仿宋_GB2312" w:hAnsi="Calibri" w:eastAsia="仿宋_GB2312" w:cs="Times New Roman"/>
          <w:snapToGrid/>
          <w:color w:val="000000"/>
          <w:kern w:val="2"/>
          <w:sz w:val="32"/>
          <w:szCs w:val="32"/>
          <w:lang w:val="en-US" w:eastAsia="zh-CN" w:bidi="ar-SA"/>
        </w:rPr>
        <w:t>深刻调查分析，严格落实监管</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镇</w:t>
      </w:r>
      <w:r>
        <w:rPr>
          <w:rStyle w:val="12"/>
          <w:rFonts w:hint="eastAsia" w:hAnsi="Calibri" w:cs="Times New Roman"/>
          <w:snapToGrid/>
          <w:color w:val="000000"/>
          <w:kern w:val="2"/>
          <w:sz w:val="32"/>
          <w:szCs w:val="32"/>
          <w:lang w:val="en-US" w:eastAsia="zh-CN" w:bidi="ar-SA"/>
        </w:rPr>
        <w:t>里</w:t>
      </w:r>
      <w:r>
        <w:rPr>
          <w:rStyle w:val="12"/>
          <w:rFonts w:hint="eastAsia" w:ascii="仿宋_GB2312" w:hAnsi="Calibri" w:eastAsia="仿宋_GB2312" w:cs="Times New Roman"/>
          <w:snapToGrid/>
          <w:color w:val="000000"/>
          <w:kern w:val="2"/>
          <w:sz w:val="32"/>
          <w:szCs w:val="32"/>
          <w:lang w:val="en-US" w:eastAsia="zh-CN" w:bidi="ar-SA"/>
        </w:rPr>
        <w:t>高度重视，对事故发生的原因进行了分析调查，对整改落实情况严格进行跟踪监管，监管过程中发现的问题及时向事故单位反馈，并提出工作要求。针对事故反映出的安全生产薄弱环节，要求抓好关键岗位到岗履职，严格履行建设程序。重点加强项目施工过程管理，严格按照工程设计图纸和施工技术标准施工，对易导致伤亡的起重机械、吊装工程、高空作业等，加强安全生产教育和技术交底，确保各项安全保障措施到位。</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2、</w:t>
      </w:r>
      <w:r>
        <w:rPr>
          <w:rStyle w:val="12"/>
          <w:rFonts w:hint="eastAsia" w:ascii="仿宋_GB2312" w:hAnsi="Calibri" w:eastAsia="仿宋_GB2312" w:cs="Times New Roman"/>
          <w:snapToGrid/>
          <w:color w:val="000000"/>
          <w:kern w:val="2"/>
          <w:sz w:val="32"/>
          <w:szCs w:val="32"/>
          <w:lang w:val="en-US" w:eastAsia="zh-CN" w:bidi="ar-SA"/>
        </w:rPr>
        <w:t>全面排查整治，形成监管合力</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为进一步规范建设工程监督管理程序，消除管理盲区，形成条块结合、上下联动的监管合力，结合常态化安全风险防范工作，重点开展了建筑工地领域隐患排查整治。组织属地村居、相关职能部门做好辖区内工程排摸和巡查，督促各参建单位落实安全主体责任。</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3、</w:t>
      </w:r>
      <w:r>
        <w:rPr>
          <w:rStyle w:val="12"/>
          <w:rFonts w:hint="eastAsia" w:ascii="仿宋_GB2312" w:hAnsi="Calibri" w:eastAsia="仿宋_GB2312" w:cs="Times New Roman"/>
          <w:snapToGrid/>
          <w:color w:val="000000"/>
          <w:kern w:val="2"/>
          <w:sz w:val="32"/>
          <w:szCs w:val="32"/>
          <w:lang w:val="en-US" w:eastAsia="zh-CN" w:bidi="ar-SA"/>
        </w:rPr>
        <w:t>广泛宣传引导，提升安全意识</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在朱家角镇“纪法讲堂”廉政教育专题学习会上开展建设工程领域安全监管宣传培训，解读了《上海市建筑装饰装修工程管理实施办法》《青浦区限额以下小型建设工程管理办法》《朱家角镇建设项目管理办法》等文件，旨在以案促治、以案促改、以案促教，强化安全生产责任体系，全面提升隐患排查能力和应急处置水平。此外，多次召开建筑领域报批程序培训会，面向属地村居、园区重点企业逐一解释并明确了限额以上、以下建设工程及私房翻建的报批流程，强化事前预防理念，力求从源头管控好建设程序，堵上工程建设领域的监管盲区，把事故苗头消灭在萌芽状态。</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评估结论</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评估组按照事故调查报告及其批复要求，经资料审查、座谈问询、查阅文件、走访核查、专业评查，对该起事故处理、整改和防范措施落实情况进行综合评估后认为：</w:t>
      </w: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（一）相关单位及人员已履行行政处罚决定；相关单位对该起事故责任人的处理已落实。</w:t>
      </w: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（二）该起事故相关单位、属地政府及相关部门已实施事故 调查报告提出的整改和防范措施。</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综上，该起事故处理已全部落实，事故整改措施已全部落实。</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工作建议</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bookmarkStart w:id="1" w:name="_Hlk179897897"/>
      <w:r>
        <w:rPr>
          <w:rStyle w:val="12"/>
          <w:rFonts w:hint="eastAsia" w:ascii="仿宋_GB2312" w:hAnsi="Calibri" w:eastAsia="仿宋_GB2312" w:cs="Times New Roman"/>
          <w:snapToGrid/>
          <w:color w:val="000000"/>
          <w:kern w:val="2"/>
          <w:sz w:val="32"/>
          <w:szCs w:val="32"/>
          <w:lang w:val="en-US" w:eastAsia="zh-CN" w:bidi="ar-SA"/>
        </w:rPr>
        <w:t>(一)建议海南凯德建筑劳务有限公司继续严格落实安全生产责任制，明确工作职责，并定期进行安全生产责任制和责任目标的考核。切实做好作业人员的安全培训教育工作，加强现场安全管理工作。</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二）建议海南凯德建筑劳务有限公司针对不同作业的作业流程分析潜在的不安全风险，切实做好防护安全工作和人员安排，从工程控制，技术改进方面考虑，全面控制不安全问题的发生，杜绝一切可能发生的安全事故。</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三）建议海南凯德建筑劳务有限公司继续加强作业过程中的安全检查、巡查，贯彻落实隐患排查治理制度，及时发现并消除事故隐患，及时发现并制止作业过程中的动态安全隐患，早发现早预防。切实做好施工人员安全培训工作，不断提高人员的安全意识和制止不安全行为的发生，确保施工过程安全可靠，谨防事故发生。</w:t>
      </w:r>
    </w:p>
    <w:p>
      <w:pPr>
        <w:pStyle w:val="6"/>
        <w:spacing w:before="100" w:line="315" w:lineRule="auto"/>
        <w:ind w:right="2" w:firstLine="640" w:firstLineChars="200"/>
        <w:jc w:val="both"/>
        <w:rPr>
          <w:rFonts w:hint="eastAsia" w:asciiTheme="minorEastAsia" w:hAnsiTheme="minorEastAsia" w:eastAsiaTheme="minorEastAsia"/>
          <w:sz w:val="32"/>
          <w:szCs w:val="32"/>
          <w:lang w:eastAsia="zh-CN"/>
        </w:rPr>
      </w:pPr>
    </w:p>
    <w:bookmarkEnd w:id="1"/>
    <w:p>
      <w:pPr>
        <w:pStyle w:val="6"/>
        <w:spacing w:before="141" w:line="311" w:lineRule="auto"/>
        <w:ind w:left="3" w:firstLine="634"/>
        <w:jc w:val="both"/>
        <w:rPr>
          <w:rFonts w:hint="eastAsia" w:asciiTheme="minorEastAsia" w:hAnsiTheme="minorEastAsia" w:eastAsiaTheme="minorEastAsia"/>
          <w:spacing w:val="5"/>
          <w:sz w:val="32"/>
          <w:szCs w:val="32"/>
          <w:lang w:eastAsia="zh-CN"/>
        </w:rPr>
      </w:pPr>
    </w:p>
    <w:p>
      <w:pPr>
        <w:widowControl w:val="0"/>
        <w:kinsoku/>
        <w:autoSpaceDE/>
        <w:autoSpaceDN/>
        <w:adjustRightInd/>
        <w:snapToGrid/>
        <w:spacing w:line="560" w:lineRule="exact"/>
        <w:ind w:firstLine="640" w:firstLineChars="200"/>
        <w:jc w:val="right"/>
        <w:rPr>
          <w:rStyle w:val="12"/>
          <w:rFonts w:hint="eastAsia" w:ascii="仿宋_GB2312" w:hAnsi="Calibri" w:eastAsia="仿宋_GB2312" w:cs="Times New Roman"/>
          <w:snapToGrid/>
          <w:kern w:val="2"/>
          <w:sz w:val="32"/>
          <w:szCs w:val="32"/>
          <w:lang w:eastAsia="zh-CN"/>
        </w:rPr>
      </w:pPr>
      <w:bookmarkStart w:id="2" w:name="_GoBack"/>
      <w:bookmarkEnd w:id="2"/>
      <w:r>
        <w:rPr>
          <w:rStyle w:val="12"/>
          <w:rFonts w:hint="eastAsia" w:ascii="仿宋_GB2312" w:hAnsi="Calibri" w:eastAsia="仿宋_GB2312" w:cs="Times New Roman"/>
          <w:snapToGrid/>
          <w:kern w:val="2"/>
          <w:sz w:val="32"/>
          <w:szCs w:val="32"/>
          <w:lang w:eastAsia="zh-CN"/>
        </w:rPr>
        <w:t>海南凯德建筑劳务有限公司“9.5”高处坠落</w:t>
      </w:r>
    </w:p>
    <w:p>
      <w:pPr>
        <w:widowControl w:val="0"/>
        <w:kinsoku/>
        <w:autoSpaceDE/>
        <w:autoSpaceDN/>
        <w:adjustRightInd/>
        <w:snapToGrid/>
        <w:spacing w:line="560" w:lineRule="exact"/>
        <w:ind w:firstLine="640" w:firstLineChars="200"/>
        <w:jc w:val="right"/>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一般事故整改和防范措施情况评估组</w:t>
      </w:r>
    </w:p>
    <w:p>
      <w:pPr>
        <w:widowControl w:val="0"/>
        <w:kinsoku/>
        <w:autoSpaceDE/>
        <w:autoSpaceDN/>
        <w:adjustRightInd/>
        <w:snapToGrid/>
        <w:spacing w:line="560" w:lineRule="exact"/>
        <w:ind w:firstLine="640" w:firstLineChars="200"/>
        <w:jc w:val="right"/>
        <w:rPr>
          <w:rStyle w:val="12"/>
          <w:rFonts w:hint="default" w:ascii="仿宋_GB2312" w:hAnsi="Calibri" w:eastAsia="仿宋_GB2312" w:cs="Times New Roman"/>
          <w:snapToGrid/>
          <w:kern w:val="2"/>
          <w:sz w:val="32"/>
          <w:szCs w:val="32"/>
          <w:lang w:val="en-US" w:eastAsia="zh-CN"/>
        </w:rPr>
      </w:pPr>
      <w:r>
        <w:rPr>
          <w:rStyle w:val="12"/>
          <w:rFonts w:hint="eastAsia" w:ascii="仿宋_GB2312" w:hAnsi="Calibri" w:eastAsia="仿宋_GB2312" w:cs="Times New Roman"/>
          <w:snapToGrid/>
          <w:kern w:val="2"/>
          <w:sz w:val="32"/>
          <w:szCs w:val="32"/>
          <w:lang w:eastAsia="zh-CN"/>
        </w:rPr>
        <w:t>2025年</w:t>
      </w:r>
      <w:r>
        <w:rPr>
          <w:rStyle w:val="12"/>
          <w:rFonts w:hint="eastAsia" w:ascii="仿宋_GB2312" w:hAnsi="Calibri" w:eastAsia="仿宋_GB2312" w:cs="Times New Roman"/>
          <w:snapToGrid/>
          <w:kern w:val="2"/>
          <w:sz w:val="32"/>
          <w:szCs w:val="32"/>
          <w:lang w:val="en-US" w:eastAsia="zh-CN"/>
        </w:rPr>
        <w:t>6</w:t>
      </w:r>
      <w:r>
        <w:rPr>
          <w:rStyle w:val="12"/>
          <w:rFonts w:hint="eastAsia" w:ascii="仿宋_GB2312" w:hAnsi="Calibri" w:eastAsia="仿宋_GB2312" w:cs="Times New Roman"/>
          <w:snapToGrid/>
          <w:kern w:val="2"/>
          <w:sz w:val="32"/>
          <w:szCs w:val="32"/>
          <w:lang w:eastAsia="zh-CN"/>
        </w:rPr>
        <w:t>月</w:t>
      </w:r>
      <w:r>
        <w:rPr>
          <w:rStyle w:val="12"/>
          <w:rFonts w:hint="eastAsia" w:ascii="仿宋_GB2312" w:hAnsi="Calibri" w:eastAsia="仿宋_GB2312" w:cs="Times New Roman"/>
          <w:snapToGrid/>
          <w:kern w:val="2"/>
          <w:sz w:val="32"/>
          <w:szCs w:val="32"/>
          <w:lang w:val="en-US" w:eastAsia="zh-CN"/>
        </w:rPr>
        <w:t>30日</w:t>
      </w:r>
    </w:p>
    <w:sectPr>
      <w:footerReference r:id="rId3" w:type="default"/>
      <w:pgSz w:w="11906" w:h="16839"/>
      <w:pgMar w:top="1431" w:right="1381" w:bottom="1310" w:left="1596" w:header="0" w:footer="1025"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E8CD1"/>
    <w:multiLevelType w:val="singleLevel"/>
    <w:tmpl w:val="B27E8CD1"/>
    <w:lvl w:ilvl="0" w:tentative="0">
      <w:start w:val="1"/>
      <w:numFmt w:val="chineseCounting"/>
      <w:suff w:val="nothing"/>
      <w:lvlText w:val="%1、"/>
      <w:lvlJc w:val="left"/>
      <w:pPr>
        <w:ind w:left="600" w:firstLine="0"/>
      </w:pPr>
      <w:rPr>
        <w:rFonts w:hint="eastAsia"/>
      </w:rPr>
    </w:lvl>
  </w:abstractNum>
  <w:abstractNum w:abstractNumId="1">
    <w:nsid w:val="D7B7CA39"/>
    <w:multiLevelType w:val="singleLevel"/>
    <w:tmpl w:val="D7B7CA39"/>
    <w:lvl w:ilvl="0" w:tentative="0">
      <w:start w:val="1"/>
      <w:numFmt w:val="chineseCounting"/>
      <w:suff w:val="nothing"/>
      <w:lvlText w:val="（%1）"/>
      <w:lvlJc w:val="left"/>
      <w:rPr>
        <w:rFonts w:hint="eastAsia"/>
      </w:rPr>
    </w:lvl>
  </w:abstractNum>
  <w:abstractNum w:abstractNumId="2">
    <w:nsid w:val="FF9916FB"/>
    <w:multiLevelType w:val="singleLevel"/>
    <w:tmpl w:val="FF9916FB"/>
    <w:lvl w:ilvl="0" w:tentative="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true"/>
  <w:bordersDoNotSurroundFooter w:val="true"/>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BjZjRhZGFhNTU0MzU5ZDI2ZTVmZmJkZjY2M2QxYjQifQ=="/>
  </w:docVars>
  <w:rsids>
    <w:rsidRoot w:val="00C869D6"/>
    <w:rsid w:val="000062E7"/>
    <w:rsid w:val="00013137"/>
    <w:rsid w:val="000140CC"/>
    <w:rsid w:val="00033843"/>
    <w:rsid w:val="00041EE1"/>
    <w:rsid w:val="00060D57"/>
    <w:rsid w:val="000612EF"/>
    <w:rsid w:val="00090AD4"/>
    <w:rsid w:val="00094489"/>
    <w:rsid w:val="000B5CDE"/>
    <w:rsid w:val="000C10BF"/>
    <w:rsid w:val="000C1841"/>
    <w:rsid w:val="000C1ADB"/>
    <w:rsid w:val="000D1332"/>
    <w:rsid w:val="000F0079"/>
    <w:rsid w:val="001064F7"/>
    <w:rsid w:val="00135E28"/>
    <w:rsid w:val="00136FF6"/>
    <w:rsid w:val="00161533"/>
    <w:rsid w:val="00166A17"/>
    <w:rsid w:val="0018765D"/>
    <w:rsid w:val="00187BB6"/>
    <w:rsid w:val="001B4976"/>
    <w:rsid w:val="001D0377"/>
    <w:rsid w:val="001D686B"/>
    <w:rsid w:val="001F0CAB"/>
    <w:rsid w:val="00215989"/>
    <w:rsid w:val="002172BB"/>
    <w:rsid w:val="002209AC"/>
    <w:rsid w:val="00224A49"/>
    <w:rsid w:val="00224AD7"/>
    <w:rsid w:val="002318F6"/>
    <w:rsid w:val="00232F7F"/>
    <w:rsid w:val="002334BA"/>
    <w:rsid w:val="0024659B"/>
    <w:rsid w:val="002533FC"/>
    <w:rsid w:val="00276526"/>
    <w:rsid w:val="002806C5"/>
    <w:rsid w:val="00292217"/>
    <w:rsid w:val="002B18AB"/>
    <w:rsid w:val="002B23E2"/>
    <w:rsid w:val="002C42DE"/>
    <w:rsid w:val="003035AE"/>
    <w:rsid w:val="00307DFD"/>
    <w:rsid w:val="00346849"/>
    <w:rsid w:val="003559FC"/>
    <w:rsid w:val="00366D52"/>
    <w:rsid w:val="003A3FD6"/>
    <w:rsid w:val="003C4C3B"/>
    <w:rsid w:val="003C66DD"/>
    <w:rsid w:val="003D3FA0"/>
    <w:rsid w:val="003E3EEA"/>
    <w:rsid w:val="003E7CA8"/>
    <w:rsid w:val="004017D8"/>
    <w:rsid w:val="00441B51"/>
    <w:rsid w:val="0045440E"/>
    <w:rsid w:val="004851EA"/>
    <w:rsid w:val="004930F4"/>
    <w:rsid w:val="004C2307"/>
    <w:rsid w:val="004C2CDA"/>
    <w:rsid w:val="004C5575"/>
    <w:rsid w:val="00516621"/>
    <w:rsid w:val="005178CB"/>
    <w:rsid w:val="00550B57"/>
    <w:rsid w:val="0056251C"/>
    <w:rsid w:val="0058492E"/>
    <w:rsid w:val="005B7166"/>
    <w:rsid w:val="005D3499"/>
    <w:rsid w:val="005E4C43"/>
    <w:rsid w:val="00602760"/>
    <w:rsid w:val="00626061"/>
    <w:rsid w:val="00627A60"/>
    <w:rsid w:val="0066241E"/>
    <w:rsid w:val="006A18AE"/>
    <w:rsid w:val="006A58C8"/>
    <w:rsid w:val="006C2780"/>
    <w:rsid w:val="006F4831"/>
    <w:rsid w:val="007028A7"/>
    <w:rsid w:val="00704484"/>
    <w:rsid w:val="00780648"/>
    <w:rsid w:val="007930A0"/>
    <w:rsid w:val="007B276F"/>
    <w:rsid w:val="007B3D19"/>
    <w:rsid w:val="007C5D76"/>
    <w:rsid w:val="008006D2"/>
    <w:rsid w:val="00835C2C"/>
    <w:rsid w:val="008422C4"/>
    <w:rsid w:val="008777CB"/>
    <w:rsid w:val="00882583"/>
    <w:rsid w:val="008831FD"/>
    <w:rsid w:val="008C2028"/>
    <w:rsid w:val="008C2463"/>
    <w:rsid w:val="008E2486"/>
    <w:rsid w:val="008F3F3F"/>
    <w:rsid w:val="008F4F29"/>
    <w:rsid w:val="00912B7B"/>
    <w:rsid w:val="00953491"/>
    <w:rsid w:val="0095749B"/>
    <w:rsid w:val="0096514A"/>
    <w:rsid w:val="00966773"/>
    <w:rsid w:val="009C7BA1"/>
    <w:rsid w:val="009D03C7"/>
    <w:rsid w:val="009D6D8A"/>
    <w:rsid w:val="00A2572B"/>
    <w:rsid w:val="00A46535"/>
    <w:rsid w:val="00A67385"/>
    <w:rsid w:val="00A75191"/>
    <w:rsid w:val="00A82407"/>
    <w:rsid w:val="00A97E6E"/>
    <w:rsid w:val="00AA04FC"/>
    <w:rsid w:val="00AA0C47"/>
    <w:rsid w:val="00AA78F8"/>
    <w:rsid w:val="00B3521D"/>
    <w:rsid w:val="00B8686E"/>
    <w:rsid w:val="00B877FB"/>
    <w:rsid w:val="00B952F9"/>
    <w:rsid w:val="00B959FD"/>
    <w:rsid w:val="00BA1589"/>
    <w:rsid w:val="00BA407D"/>
    <w:rsid w:val="00BB7B6E"/>
    <w:rsid w:val="00C339C7"/>
    <w:rsid w:val="00C57041"/>
    <w:rsid w:val="00C72784"/>
    <w:rsid w:val="00C764CC"/>
    <w:rsid w:val="00C80C62"/>
    <w:rsid w:val="00C85889"/>
    <w:rsid w:val="00C869D6"/>
    <w:rsid w:val="00C87FAA"/>
    <w:rsid w:val="00CA0496"/>
    <w:rsid w:val="00CE6D89"/>
    <w:rsid w:val="00D00BDD"/>
    <w:rsid w:val="00D03AC5"/>
    <w:rsid w:val="00D12F4B"/>
    <w:rsid w:val="00D1425D"/>
    <w:rsid w:val="00D237E1"/>
    <w:rsid w:val="00D637B7"/>
    <w:rsid w:val="00D81468"/>
    <w:rsid w:val="00D85665"/>
    <w:rsid w:val="00D94D48"/>
    <w:rsid w:val="00DD61A7"/>
    <w:rsid w:val="00DE61C2"/>
    <w:rsid w:val="00E0434E"/>
    <w:rsid w:val="00E1320C"/>
    <w:rsid w:val="00E3494B"/>
    <w:rsid w:val="00E366F0"/>
    <w:rsid w:val="00E54B71"/>
    <w:rsid w:val="00E87D1F"/>
    <w:rsid w:val="00E87DE6"/>
    <w:rsid w:val="00EA034E"/>
    <w:rsid w:val="00F24A3E"/>
    <w:rsid w:val="00F41758"/>
    <w:rsid w:val="00F449E0"/>
    <w:rsid w:val="00F451AC"/>
    <w:rsid w:val="00F52B32"/>
    <w:rsid w:val="00F7641B"/>
    <w:rsid w:val="1FFFC06F"/>
    <w:rsid w:val="32ED77EA"/>
    <w:rsid w:val="3B4EFF5D"/>
    <w:rsid w:val="3F6BA8C1"/>
    <w:rsid w:val="3FA076F0"/>
    <w:rsid w:val="4FEBA77C"/>
    <w:rsid w:val="5BDBE4D0"/>
    <w:rsid w:val="5EFE4F89"/>
    <w:rsid w:val="5F7FE89E"/>
    <w:rsid w:val="6FA50F02"/>
    <w:rsid w:val="6FF900B9"/>
    <w:rsid w:val="71FF7294"/>
    <w:rsid w:val="7BAFB7AB"/>
    <w:rsid w:val="7EF2F3D5"/>
    <w:rsid w:val="7F67B215"/>
    <w:rsid w:val="7F9EA5B9"/>
    <w:rsid w:val="7FDBE2CA"/>
    <w:rsid w:val="7FFA6A1F"/>
    <w:rsid w:val="7FFF3956"/>
    <w:rsid w:val="97E758ED"/>
    <w:rsid w:val="B7D94810"/>
    <w:rsid w:val="DFAFA1FA"/>
    <w:rsid w:val="F9CFCDB3"/>
    <w:rsid w:val="FAEF4493"/>
    <w:rsid w:val="FBCB2347"/>
    <w:rsid w:val="FBFAF098"/>
    <w:rsid w:val="FDD7CAB9"/>
    <w:rsid w:val="FDEBC81C"/>
    <w:rsid w:val="FFDFD022"/>
    <w:rsid w:val="FFEC31DD"/>
    <w:rsid w:val="FFFF6E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2"/>
    <w:basedOn w:val="1"/>
    <w:next w:val="3"/>
    <w:qFormat/>
    <w:uiPriority w:val="0"/>
    <w:pPr>
      <w:jc w:val="right"/>
    </w:pPr>
    <w:rPr>
      <w:rFonts w:ascii="黑体" w:eastAsia="黑体"/>
      <w:sz w:val="44"/>
    </w:rPr>
  </w:style>
  <w:style w:type="paragraph" w:styleId="3">
    <w:name w:val="Body Text First Indent 2"/>
    <w:basedOn w:val="4"/>
    <w:next w:val="1"/>
    <w:unhideWhenUsed/>
    <w:qFormat/>
    <w:uiPriority w:val="0"/>
    <w:pPr>
      <w:spacing w:after="120"/>
      <w:ind w:left="420" w:leftChars="200" w:firstLine="420" w:firstLineChars="200"/>
    </w:pPr>
    <w:rPr>
      <w:rFonts w:hint="default" w:ascii="Calibri" w:hAnsi="Calibri" w:cs="Times New Roman"/>
      <w:sz w:val="21"/>
    </w:rPr>
  </w:style>
  <w:style w:type="paragraph" w:styleId="4">
    <w:name w:val="Body Text Indent"/>
    <w:basedOn w:val="1"/>
    <w:next w:val="5"/>
    <w:qFormat/>
    <w:uiPriority w:val="0"/>
    <w:pPr>
      <w:ind w:left="100" w:leftChars="100"/>
    </w:pPr>
    <w:rPr>
      <w:rFonts w:hint="eastAsia" w:ascii="宋体" w:hAnsi="宋体" w:eastAsia="宋体"/>
      <w:sz w:val="28"/>
      <w:szCs w:val="24"/>
    </w:rPr>
  </w:style>
  <w:style w:type="paragraph" w:styleId="5">
    <w:name w:val="Normal Indent"/>
    <w:basedOn w:val="1"/>
    <w:next w:val="1"/>
    <w:qFormat/>
    <w:uiPriority w:val="0"/>
    <w:pPr>
      <w:ind w:firstLine="420" w:firstLineChars="200"/>
    </w:pPr>
    <w:rPr>
      <w:rFonts w:ascii="Times New Roman" w:hAnsi="Times New Roman" w:eastAsia="仿宋" w:cs="Times New Roman"/>
      <w:sz w:val="32"/>
    </w:rPr>
  </w:style>
  <w:style w:type="paragraph" w:styleId="6">
    <w:name w:val="Body Text"/>
    <w:basedOn w:val="1"/>
    <w:link w:val="16"/>
    <w:semiHidden/>
    <w:qFormat/>
    <w:uiPriority w:val="0"/>
    <w:rPr>
      <w:rFonts w:ascii="仿宋_GB2312" w:hAnsi="仿宋_GB2312" w:eastAsia="仿宋_GB2312" w:cs="仿宋_GB2312"/>
      <w:sz w:val="31"/>
      <w:szCs w:val="31"/>
    </w:rPr>
  </w:style>
  <w:style w:type="paragraph" w:styleId="7">
    <w:name w:val="footer"/>
    <w:basedOn w:val="1"/>
    <w:link w:val="15"/>
    <w:qFormat/>
    <w:uiPriority w:val="0"/>
    <w:pPr>
      <w:tabs>
        <w:tab w:val="center" w:pos="4153"/>
        <w:tab w:val="right" w:pos="8306"/>
      </w:tabs>
    </w:pPr>
    <w:rPr>
      <w:sz w:val="18"/>
      <w:szCs w:val="18"/>
    </w:rPr>
  </w:style>
  <w:style w:type="paragraph" w:styleId="8">
    <w:name w:val="header"/>
    <w:basedOn w:val="1"/>
    <w:link w:val="14"/>
    <w:qFormat/>
    <w:uiPriority w:val="0"/>
    <w:pPr>
      <w:tabs>
        <w:tab w:val="center" w:pos="4153"/>
        <w:tab w:val="right" w:pos="8306"/>
      </w:tabs>
      <w:jc w:val="center"/>
    </w:pPr>
    <w:rPr>
      <w:sz w:val="18"/>
      <w:szCs w:val="18"/>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NormalCharacter"/>
    <w:qFormat/>
    <w:uiPriority w:val="0"/>
  </w:style>
  <w:style w:type="paragraph" w:styleId="13">
    <w:name w:val="List Paragraph"/>
    <w:basedOn w:val="1"/>
    <w:unhideWhenUsed/>
    <w:qFormat/>
    <w:uiPriority w:val="99"/>
    <w:pPr>
      <w:ind w:firstLine="420" w:firstLineChars="200"/>
    </w:pPr>
  </w:style>
  <w:style w:type="character" w:customStyle="1" w:styleId="14">
    <w:name w:val="页眉 字符"/>
    <w:basedOn w:val="10"/>
    <w:link w:val="8"/>
    <w:qFormat/>
    <w:uiPriority w:val="0"/>
    <w:rPr>
      <w:rFonts w:eastAsia="Arial"/>
      <w:snapToGrid w:val="0"/>
      <w:color w:val="000000"/>
      <w:sz w:val="18"/>
      <w:szCs w:val="18"/>
      <w:lang w:eastAsia="en-US"/>
    </w:rPr>
  </w:style>
  <w:style w:type="character" w:customStyle="1" w:styleId="15">
    <w:name w:val="页脚 字符"/>
    <w:basedOn w:val="10"/>
    <w:link w:val="7"/>
    <w:qFormat/>
    <w:uiPriority w:val="0"/>
    <w:rPr>
      <w:rFonts w:eastAsia="Arial"/>
      <w:snapToGrid w:val="0"/>
      <w:color w:val="000000"/>
      <w:sz w:val="18"/>
      <w:szCs w:val="18"/>
      <w:lang w:eastAsia="en-US"/>
    </w:rPr>
  </w:style>
  <w:style w:type="character" w:customStyle="1" w:styleId="16">
    <w:name w:val="正文文本 字符"/>
    <w:basedOn w:val="10"/>
    <w:link w:val="6"/>
    <w:semiHidden/>
    <w:qFormat/>
    <w:uiPriority w:val="0"/>
    <w:rPr>
      <w:rFonts w:ascii="仿宋_GB2312" w:hAnsi="仿宋_GB2312" w:eastAsia="仿宋_GB2312" w:cs="仿宋_GB2312"/>
      <w:snapToGrid w:val="0"/>
      <w:color w:val="000000"/>
      <w:sz w:val="31"/>
      <w:szCs w:val="31"/>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454</Words>
  <Characters>2590</Characters>
  <Lines>21</Lines>
  <Paragraphs>6</Paragraphs>
  <TotalTime>27</TotalTime>
  <ScaleCrop>false</ScaleCrop>
  <LinksUpToDate>false</LinksUpToDate>
  <CharactersWithSpaces>3038</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2024-10-21T05:12:00Z</dcterms:created>
  <dc:creator>ms</dc:creator>
  <cp:lastModifiedBy>yjj-503</cp:lastModifiedBy>
  <dcterms:modified xsi:type="dcterms:W3CDTF">2025-10-27T10:44:57Z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2024-10-08T14:12:57Z</vt:filetime>
  </property>
  <property fmtid="{D5CDD505-2E9C-101B-9397-08002B2CF9AE}" pid="4" name="KSOProductBuildVer">
    <vt:lpwstr>2052-11.8.2.10251</vt:lpwstr>
  </property>
  <property fmtid="{D5CDD505-2E9C-101B-9397-08002B2CF9AE}" pid="5" name="ICV">
    <vt:lpwstr>470CCB2971BE4280A4FBD44C2BD2C97D_12</vt:lpwstr>
  </property>
</Properties>
</file>