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上海绿澄环保科技有限公司“6.8”其他爆炸</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6月8日上午8时16分许，上海市青浦区北青公路8205号上海绿澄环保科技有限公司厂区内溶剂车间处，工作人员操作隔膜泵吸取原材料时，突然发生闪爆，引燃车间内可燃物着火。事故造成1人死亡1人受伤，过火面积约100平方米。直接经济损失约人民币430万元整。事发后，上海市青浦区应急管理局会同相关部门依法开展事故调查，形成《上海绿澄环保科技有限公司”6.8”其他爆炸一般事故调查报告》（ 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8月 28 日至 9 月 30日开展事故整改和防范措施落实情况评估，形成本评估报告。</w:t>
      </w:r>
      <w:bookmarkStart w:id="0" w:name="_GoBack"/>
      <w:bookmarkEnd w:id="0"/>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区生态环境局、区消防救援支队、香花桥街道办事处、青浦工业园区组成上海绿澄环保科技有限公司”6.8”其他爆炸一般事故整改和防范措施落实情况评估组（以下简称评估组），委托上海欣企安全生产咨询服务有限公司及相关专家参与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 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2023年10月18日，上海市青浦区应急管理局（以下简称区应急管理局）按照事故责任认定及处理建议，对事故责任单位上海绿澄环保科技有限公司作出罚款 40万元的行政处罚决定；对事故责任人上海绿澄环保科技有限公司法定代表人徐全林作出罚款64000元的行政处罚决定；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经核实，以上行政处罚均已执行。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（一）上海绿澄环保科技有限公司</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组建专职的安全生产管理机构。</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溶剂车间增加两名班长，工作职责侧重于安全管理。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根据实际情况制定了相关度高、适用性强的安全管理规章及制度。</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结合实际情况制度了相应的安全应急预案及现场处置方案并定期开展培训演练。</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结合实际情况对生产工艺及作业现场进行了风险识别，并制定对应的安全风险控制措施，及应急处置措施。对识别到的风险制作看板并公示在生产现场，对全员进行告知。定期就风险标识结果开展全员培训。</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严格遵照应急管理部，财资[2022]136号文的规定提取安全生产专项资金，用于安全投入，改善安全生产条件。</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2024年5月完成“双重预防机制”体系建设电子系统已接入应急管理部门，安全四色图及较大风险岗位分级管控清单已在公司醒目位置进行公示。</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加强现场安全管理，加大现场安全隐患排查与治理力度，做到排查到位、治理到位、追责到位。</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溶剂车间设置可燃气体监测与报警系统，报警系统与安全风机进行联锁，当可燃气体浓度达到限值时，报警系统会自动报警并自动启动联锁风机，迅速减低可燃气体浓度，消除事故隐患。     </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结合溶剂车间化学品的火灾特性，在车间配备足够的手提式二氧化碳灭火器，另增加两台化学品专用“半固定式抗溶性泡沫灭火装置以应对安全事故。</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现场空气加湿，提高环境相对湿度，加快静电的泄漏，同时能增加空气介质的导电率，还能提高爆炸性混合物的引燃能量温度；设备接地，使静电电荷通过导线流入大地，从而消除静电，各车间入口还安装了人体静电消除器，避免发生静电事故。</w:t>
      </w:r>
    </w:p>
    <w:p>
      <w:pPr>
        <w:pStyle w:val="6"/>
        <w:keepNext w:val="0"/>
        <w:keepLines w:val="0"/>
        <w:pageBreakBefore w:val="0"/>
        <w:wordWrap/>
        <w:overflowPunct/>
        <w:topLinePunct w:val="0"/>
        <w:bidi w:val="0"/>
        <w:spacing w:line="560" w:lineRule="exact"/>
        <w:ind w:left="0" w:right="0" w:firstLine="640" w:firstLineChars="200"/>
        <w:jc w:val="both"/>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 xml:space="preserve"> </w:t>
      </w:r>
      <w:r>
        <w:rPr>
          <w:rFonts w:hint="eastAsia" w:ascii="黑体" w:hAnsi="黑体" w:eastAsia="CESI楷体-GB2312" w:cs="黑体"/>
          <w:b/>
          <w:bCs/>
          <w:snapToGrid/>
          <w:color w:val="000000"/>
          <w:kern w:val="2"/>
          <w:sz w:val="32"/>
          <w:szCs w:val="32"/>
          <w:lang w:val="en-US" w:eastAsia="zh-CN" w:bidi="ar-SA"/>
        </w:rPr>
        <w:t>（二）青浦工业园区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1、规范安全管理，落实工作职责。对网格下发每日安全生产工作清单，要求相关单位开展自查并落实高处作业各项安全措施、高处作业过程控制与防护。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强化业务培训，提高履职能力。园区集团公司积极组织安全宣传教育活动一托微信群、公众号、视频号等各种新媒体资源，大力开展生产安全知识培训，切实提高从业人员安全意识，进一步提升安全员的履职能力和工作效力，推动企业落实安全生产第一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强化督查检查，确保措施到位。为进一步加强园区输送设备等其他生产安全风险管控，园区集团公司班子领导多次带队实地开展督查检查，督促企业切实履行安全生产责任制:园区网格中心、执法中队等相关部门持续加强对安全生产的日常监管。强化安全管理，持续加强安全宣传、引传教育和应急演练工作，确保施工建设安全有序进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开展专项整治，事故发生后，组织力量开展全领域、全覆盖、无死角的机械伤害、防高坠等隐患排查整治工作。对于此类安全检查整治工作中发现的问题进行梳理归类，做到了即知即改:属疑难问题无法按时整改的，制定了整改时间表，尽快实施隐患清零同时开展“回头看”,确保各类问题整改到位。</w:t>
      </w:r>
    </w:p>
    <w:p>
      <w:pPr>
        <w:pStyle w:val="6"/>
        <w:keepNext w:val="0"/>
        <w:keepLines w:val="0"/>
        <w:pageBreakBefore w:val="0"/>
        <w:wordWrap/>
        <w:overflowPunct/>
        <w:topLinePunct w:val="0"/>
        <w:bidi w:val="0"/>
        <w:spacing w:line="560" w:lineRule="exact"/>
        <w:ind w:left="0" w:right="0" w:firstLine="641" w:firstLineChars="200"/>
        <w:jc w:val="both"/>
        <w:rPr>
          <w:rFonts w:hint="eastAsia" w:ascii="黑体" w:hAnsi="黑体" w:eastAsia="CESI楷体-GB2312" w:cs="黑体"/>
          <w:b/>
          <w:bCs/>
          <w:snapToGrid/>
          <w:color w:val="000000"/>
          <w:kern w:val="2"/>
          <w:sz w:val="32"/>
          <w:szCs w:val="32"/>
          <w:lang w:val="en-US" w:eastAsia="zh-CN" w:bidi="ar-SA"/>
        </w:rPr>
      </w:pPr>
      <w:r>
        <w:rPr>
          <w:rFonts w:hint="eastAsia" w:ascii="黑体" w:hAnsi="黑体" w:eastAsia="CESI楷体-GB2312" w:cs="黑体"/>
          <w:b/>
          <w:bCs/>
          <w:snapToGrid/>
          <w:color w:val="000000"/>
          <w:kern w:val="2"/>
          <w:sz w:val="32"/>
          <w:szCs w:val="32"/>
          <w:lang w:val="en-US" w:eastAsia="zh-CN" w:bidi="ar-SA"/>
        </w:rPr>
        <w:t>（三）香花街道办事处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Fonts w:hint="eastAsia" w:asciiTheme="minorEastAsia" w:hAnsiTheme="minorEastAsia" w:eastAsiaTheme="minorEastAsia"/>
          <w:sz w:val="32"/>
          <w:szCs w:val="32"/>
          <w:lang w:val="en-US" w:eastAsia="zh-CN"/>
        </w:rPr>
        <w:t>1、</w:t>
      </w:r>
      <w:r>
        <w:rPr>
          <w:rStyle w:val="12"/>
          <w:rFonts w:hint="eastAsia" w:ascii="仿宋_GB2312" w:hAnsi="Calibri" w:eastAsia="仿宋_GB2312" w:cs="Times New Roman"/>
          <w:b w:val="0"/>
          <w:i w:val="0"/>
          <w:caps w:val="0"/>
          <w:snapToGrid/>
          <w:spacing w:val="0"/>
          <w:w w:val="100"/>
          <w:kern w:val="2"/>
          <w:sz w:val="32"/>
          <w:szCs w:val="32"/>
          <w:lang w:val="en-US" w:eastAsia="zh-CN" w:bidi="ar-SA"/>
        </w:rPr>
        <w:t>加强组织领导，压实整改责任。街道成立了专门的事故整改督促工作小组，明确职责分工，压实整改责任。多次召开专题会议，研究部署整改工作，确保整改工作有序推进。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sectPr>
          <w:footerReference r:id="rId3" w:type="default"/>
          <w:pgSz w:w="11910" w:h="16840"/>
          <w:pgMar w:top="1580" w:right="1040" w:bottom="1340" w:left="1480" w:header="0" w:footer="1155" w:gutter="0"/>
          <w:pgNumType w:fmt="decimal"/>
          <w:cols w:space="720" w:num="1"/>
        </w:sect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2、督促企业整改，全面梳理安全管理体系。香花桥街道督促涉事单位建立健全本单位安全生产规章制度和安全操作规程，确保本单位生产经营行为有章可依，有规可循。切实落实安全生产主体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责任，抓实安全管理人员及作业人员安全生产教育培训、安全交底，确保作业人员具备岗位必要的安全意识和安全操作技能。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做深做实现场管理，落实安全生产规章制度。明确要求各单位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4、总结经验教训，建立长效机制。加强对辖区内企业的日常安全监管，加大执法检查力度,及时发现和消除安全隐患; 另一方面，持续开展安全生产宣传教育活动，提高企业和员工的安全意识，建立安全生产长效机制，确保辖区内企业的安全生产形势持续稳定好转。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（一）上海绿澄环保科技有限公司及相关责任人已履行行政处罚决定；上海绿澄环保科技有限公司对该起事故相关责任人的处理已落实。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（二）该起事故相关单位、属地政府及相关部门已实施事故 调查报告提出的整改和防范措施。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pPr>
        <w:pStyle w:val="13"/>
        <w:keepNext w:val="0"/>
        <w:keepLines w:val="0"/>
        <w:pageBreakBefore w:val="0"/>
        <w:numPr>
          <w:ilvl w:val="0"/>
          <w:numId w:val="4"/>
        </w:numPr>
        <w:wordWrap/>
        <w:overflowPunct/>
        <w:topLinePunct w:val="0"/>
        <w:bidi w:val="0"/>
        <w:spacing w:line="560" w:lineRule="exact"/>
        <w:ind w:left="0" w:right="0" w:firstLine="652" w:firstLineChars="200"/>
        <w:outlineLvl w:val="0"/>
        <w:rPr>
          <w:rFonts w:hint="eastAsia" w:cs="黑体" w:asciiTheme="minorEastAsia" w:hAnsiTheme="minorEastAsia" w:eastAsiaTheme="minorEastAsia"/>
          <w:spacing w:val="3"/>
          <w:position w:val="1"/>
          <w:sz w:val="32"/>
          <w:szCs w:val="32"/>
          <w:lang w:eastAsia="zh-CN"/>
        </w:rPr>
        <w:sectPr>
          <w:pgSz w:w="11910" w:h="16840"/>
          <w:pgMar w:top="1580" w:right="1040" w:bottom="1340" w:left="1480" w:header="0" w:footer="1155" w:gutter="0"/>
          <w:pgNumType w:fmt="decimal"/>
          <w:cols w:space="720" w:num="1"/>
        </w:sect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（一）建议上海绿澄环保科技有限公司继续完善公司安全生产标准化的建设，落实本单位安全生产主体责任，强化安全管理工作。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（二）建议上海绿澄环保科技有限公司继续加强安全风险分级管控和隐患排查治理双重预防工作机制，加强现场检查巡查。通过技术、管理、教育措施，及时发现并消除生产安全事故隐患，谨防事故发生。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（三）建议上海绿澄环保科技有限公司继续加强作业安全管理，严格执行特殊作业安全管理制度，安全工作许可证施行上锁挂牌规则。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（四）建议上海绿澄环保科技有限公司继续加强企业高风险作业得安全管理，严格执行安全生产责任制度，加强现场隐患排查力度，发现隐患立即处理，防止潜在安全事故得发生。</w:t>
      </w:r>
    </w:p>
    <w:p>
      <w:pPr>
        <w:pStyle w:val="6"/>
        <w:spacing w:before="101" w:line="219" w:lineRule="auto"/>
        <w:ind w:left="2539"/>
        <w:rPr>
          <w:rFonts w:hint="eastAsia" w:asciiTheme="minorEastAsia" w:hAnsiTheme="minorEastAsia" w:eastAsiaTheme="minorEastAsia"/>
          <w:spacing w:val="-10"/>
          <w:sz w:val="32"/>
          <w:szCs w:val="32"/>
          <w:lang w:eastAsia="zh-CN"/>
        </w:rPr>
      </w:pPr>
    </w:p>
    <w:p>
      <w:pPr>
        <w:pStyle w:val="6"/>
        <w:spacing w:before="101" w:line="219" w:lineRule="auto"/>
        <w:ind w:left="2539"/>
        <w:rPr>
          <w:rFonts w:hint="eastAsia" w:asciiTheme="minorEastAsia" w:hAnsiTheme="minorEastAsia" w:eastAsiaTheme="minorEastAsia"/>
          <w:spacing w:val="-10"/>
          <w:sz w:val="32"/>
          <w:szCs w:val="32"/>
          <w:lang w:eastAsia="zh-CN"/>
        </w:rPr>
      </w:pPr>
    </w:p>
    <w:p>
      <w:pPr>
        <w:pStyle w:val="6"/>
        <w:spacing w:before="101" w:line="219" w:lineRule="auto"/>
        <w:ind w:left="2539"/>
        <w:rPr>
          <w:rFonts w:hint="eastAsia" w:asciiTheme="minorEastAsia" w:hAnsiTheme="minorEastAsia" w:eastAsiaTheme="minorEastAsia"/>
          <w:spacing w:val="-10"/>
          <w:sz w:val="32"/>
          <w:szCs w:val="32"/>
          <w:lang w:eastAsia="zh-CN"/>
        </w:rPr>
      </w:pPr>
    </w:p>
    <w:p>
      <w:pPr>
        <w:pStyle w:val="6"/>
        <w:spacing w:before="101" w:line="219" w:lineRule="auto"/>
        <w:ind w:left="2539"/>
        <w:rPr>
          <w:rFonts w:hint="eastAsia" w:asciiTheme="minorEastAsia" w:hAnsiTheme="minorEastAsia" w:eastAsiaTheme="minorEastAsia"/>
          <w:spacing w:val="-10"/>
          <w:sz w:val="32"/>
          <w:szCs w:val="32"/>
          <w:lang w:eastAsia="zh-CN"/>
        </w:rPr>
      </w:pPr>
    </w:p>
    <w:p>
      <w:pPr>
        <w:pStyle w:val="6"/>
        <w:spacing w:before="101" w:line="219" w:lineRule="auto"/>
        <w:ind w:left="2539"/>
        <w:rPr>
          <w:rFonts w:hint="eastAsia" w:asciiTheme="minorEastAsia" w:hAnsiTheme="minorEastAsia" w:eastAsiaTheme="minorEastAsia"/>
          <w:spacing w:val="-10"/>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上海绿澄环保科技有限公司”6.8”其他爆炸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lang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 年 9月 30日</w:t>
      </w:r>
    </w:p>
    <w:sectPr>
      <w:footerReference r:id="rId4"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FFDE06EB"/>
    <w:multiLevelType w:val="singleLevel"/>
    <w:tmpl w:val="FFDE06EB"/>
    <w:lvl w:ilvl="0" w:tentative="0">
      <w:start w:val="1"/>
      <w:numFmt w:val="decimal"/>
      <w:suff w:val="nothing"/>
      <w:lvlText w:val="%1、"/>
      <w:lvlJc w:val="left"/>
    </w:lvl>
  </w:abstractNum>
  <w:abstractNum w:abstractNumId="3">
    <w:nsid w:val="6E840FEF"/>
    <w:multiLevelType w:val="multilevel"/>
    <w:tmpl w:val="6E840FEF"/>
    <w:lvl w:ilvl="0" w:tentative="0">
      <w:start w:val="3"/>
      <w:numFmt w:val="japaneseCounting"/>
      <w:lvlText w:val="%1、"/>
      <w:lvlJc w:val="left"/>
      <w:pPr>
        <w:ind w:left="1358" w:hanging="720"/>
      </w:pPr>
      <w:rPr>
        <w:rFonts w:hint="default"/>
        <w:lang w:val="en-US"/>
      </w:rPr>
    </w:lvl>
    <w:lvl w:ilvl="1" w:tentative="0">
      <w:start w:val="1"/>
      <w:numFmt w:val="japaneseCounting"/>
      <w:lvlText w:val="（%2）"/>
      <w:lvlJc w:val="left"/>
      <w:pPr>
        <w:ind w:left="2158" w:hanging="1080"/>
      </w:pPr>
      <w:rPr>
        <w:rFonts w:hint="default"/>
      </w:rPr>
    </w:lvl>
    <w:lvl w:ilvl="2" w:tentative="0">
      <w:start w:val="1"/>
      <w:numFmt w:val="lowerRoman"/>
      <w:lvlText w:val="%3."/>
      <w:lvlJc w:val="right"/>
      <w:pPr>
        <w:ind w:left="1958" w:hanging="440"/>
      </w:pPr>
    </w:lvl>
    <w:lvl w:ilvl="3" w:tentative="0">
      <w:start w:val="1"/>
      <w:numFmt w:val="decimal"/>
      <w:lvlText w:val="%4."/>
      <w:lvlJc w:val="left"/>
      <w:pPr>
        <w:ind w:left="2398" w:hanging="440"/>
      </w:pPr>
    </w:lvl>
    <w:lvl w:ilvl="4" w:tentative="0">
      <w:start w:val="1"/>
      <w:numFmt w:val="lowerLetter"/>
      <w:lvlText w:val="%5)"/>
      <w:lvlJc w:val="left"/>
      <w:pPr>
        <w:ind w:left="2838" w:hanging="440"/>
      </w:pPr>
    </w:lvl>
    <w:lvl w:ilvl="5" w:tentative="0">
      <w:start w:val="1"/>
      <w:numFmt w:val="lowerRoman"/>
      <w:lvlText w:val="%6."/>
      <w:lvlJc w:val="right"/>
      <w:pPr>
        <w:ind w:left="3278" w:hanging="440"/>
      </w:pPr>
    </w:lvl>
    <w:lvl w:ilvl="6" w:tentative="0">
      <w:start w:val="1"/>
      <w:numFmt w:val="decimal"/>
      <w:lvlText w:val="%7."/>
      <w:lvlJc w:val="left"/>
      <w:pPr>
        <w:ind w:left="3718" w:hanging="440"/>
      </w:pPr>
    </w:lvl>
    <w:lvl w:ilvl="7" w:tentative="0">
      <w:start w:val="1"/>
      <w:numFmt w:val="lowerLetter"/>
      <w:lvlText w:val="%8)"/>
      <w:lvlJc w:val="left"/>
      <w:pPr>
        <w:ind w:left="4158" w:hanging="440"/>
      </w:pPr>
    </w:lvl>
    <w:lvl w:ilvl="8" w:tentative="0">
      <w:start w:val="1"/>
      <w:numFmt w:val="lowerRoman"/>
      <w:lvlText w:val="%9."/>
      <w:lvlJc w:val="right"/>
      <w:pPr>
        <w:ind w:left="4598" w:hanging="44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0D57"/>
    <w:rsid w:val="000612EF"/>
    <w:rsid w:val="000B5CDE"/>
    <w:rsid w:val="000B6870"/>
    <w:rsid w:val="000C10BF"/>
    <w:rsid w:val="000C1ADB"/>
    <w:rsid w:val="000D1332"/>
    <w:rsid w:val="000F0079"/>
    <w:rsid w:val="0013053E"/>
    <w:rsid w:val="00135E28"/>
    <w:rsid w:val="00136FF6"/>
    <w:rsid w:val="00161533"/>
    <w:rsid w:val="00166A17"/>
    <w:rsid w:val="00170C9D"/>
    <w:rsid w:val="0018765D"/>
    <w:rsid w:val="00187BB6"/>
    <w:rsid w:val="001D686B"/>
    <w:rsid w:val="00215989"/>
    <w:rsid w:val="002172BB"/>
    <w:rsid w:val="002209AC"/>
    <w:rsid w:val="00224AD7"/>
    <w:rsid w:val="002318F6"/>
    <w:rsid w:val="00232F7F"/>
    <w:rsid w:val="002334BA"/>
    <w:rsid w:val="0024013F"/>
    <w:rsid w:val="002533FC"/>
    <w:rsid w:val="00276526"/>
    <w:rsid w:val="00292217"/>
    <w:rsid w:val="002B18AB"/>
    <w:rsid w:val="002B23E2"/>
    <w:rsid w:val="002C42DE"/>
    <w:rsid w:val="00346849"/>
    <w:rsid w:val="003559FC"/>
    <w:rsid w:val="003A3FD6"/>
    <w:rsid w:val="003C4C3B"/>
    <w:rsid w:val="003C66DD"/>
    <w:rsid w:val="003D3586"/>
    <w:rsid w:val="003E3EEA"/>
    <w:rsid w:val="003E7CA8"/>
    <w:rsid w:val="004017D8"/>
    <w:rsid w:val="00441B51"/>
    <w:rsid w:val="0045440E"/>
    <w:rsid w:val="004851EA"/>
    <w:rsid w:val="004930F4"/>
    <w:rsid w:val="004C2307"/>
    <w:rsid w:val="004C2719"/>
    <w:rsid w:val="004C2CDA"/>
    <w:rsid w:val="004D05B6"/>
    <w:rsid w:val="004F28FF"/>
    <w:rsid w:val="00515C2F"/>
    <w:rsid w:val="005178CB"/>
    <w:rsid w:val="00517EC4"/>
    <w:rsid w:val="00543919"/>
    <w:rsid w:val="00550B57"/>
    <w:rsid w:val="00551F06"/>
    <w:rsid w:val="0056251C"/>
    <w:rsid w:val="0058492E"/>
    <w:rsid w:val="005A24D8"/>
    <w:rsid w:val="005B7166"/>
    <w:rsid w:val="005D2381"/>
    <w:rsid w:val="005D3499"/>
    <w:rsid w:val="005E4C43"/>
    <w:rsid w:val="00602760"/>
    <w:rsid w:val="00627A60"/>
    <w:rsid w:val="00653FCF"/>
    <w:rsid w:val="006A18AE"/>
    <w:rsid w:val="006A58C8"/>
    <w:rsid w:val="006C2780"/>
    <w:rsid w:val="006F4831"/>
    <w:rsid w:val="007011EB"/>
    <w:rsid w:val="008006D2"/>
    <w:rsid w:val="008422C4"/>
    <w:rsid w:val="0087793E"/>
    <w:rsid w:val="008831FD"/>
    <w:rsid w:val="008C05BF"/>
    <w:rsid w:val="008C2028"/>
    <w:rsid w:val="008C2463"/>
    <w:rsid w:val="008E2486"/>
    <w:rsid w:val="008E7A75"/>
    <w:rsid w:val="008F3F3F"/>
    <w:rsid w:val="008F4F29"/>
    <w:rsid w:val="009100ED"/>
    <w:rsid w:val="00953491"/>
    <w:rsid w:val="0095749B"/>
    <w:rsid w:val="0096514A"/>
    <w:rsid w:val="00966773"/>
    <w:rsid w:val="009C7BA1"/>
    <w:rsid w:val="009D03C7"/>
    <w:rsid w:val="00A2572B"/>
    <w:rsid w:val="00A67385"/>
    <w:rsid w:val="00A75191"/>
    <w:rsid w:val="00A80DE3"/>
    <w:rsid w:val="00A82407"/>
    <w:rsid w:val="00A97E6E"/>
    <w:rsid w:val="00AA0C47"/>
    <w:rsid w:val="00AA72CC"/>
    <w:rsid w:val="00AE478D"/>
    <w:rsid w:val="00B213B3"/>
    <w:rsid w:val="00B3521D"/>
    <w:rsid w:val="00B44802"/>
    <w:rsid w:val="00B46AFF"/>
    <w:rsid w:val="00B51627"/>
    <w:rsid w:val="00B8686E"/>
    <w:rsid w:val="00BB7B6E"/>
    <w:rsid w:val="00C339C7"/>
    <w:rsid w:val="00C37C6D"/>
    <w:rsid w:val="00C57041"/>
    <w:rsid w:val="00C72784"/>
    <w:rsid w:val="00C764CC"/>
    <w:rsid w:val="00C80C62"/>
    <w:rsid w:val="00C869D6"/>
    <w:rsid w:val="00CA0496"/>
    <w:rsid w:val="00CA52DD"/>
    <w:rsid w:val="00CE6D89"/>
    <w:rsid w:val="00CF3EF4"/>
    <w:rsid w:val="00D01354"/>
    <w:rsid w:val="00D03AC5"/>
    <w:rsid w:val="00D12F4B"/>
    <w:rsid w:val="00D237E1"/>
    <w:rsid w:val="00D367D5"/>
    <w:rsid w:val="00D65EEA"/>
    <w:rsid w:val="00D85665"/>
    <w:rsid w:val="00D94D48"/>
    <w:rsid w:val="00DA5986"/>
    <w:rsid w:val="00DE61C2"/>
    <w:rsid w:val="00E0434E"/>
    <w:rsid w:val="00E1031E"/>
    <w:rsid w:val="00E1320C"/>
    <w:rsid w:val="00E3494B"/>
    <w:rsid w:val="00E366F0"/>
    <w:rsid w:val="00E54B71"/>
    <w:rsid w:val="00E84583"/>
    <w:rsid w:val="00E87D1F"/>
    <w:rsid w:val="00E87DE6"/>
    <w:rsid w:val="00F24A3E"/>
    <w:rsid w:val="00F41758"/>
    <w:rsid w:val="00F449E0"/>
    <w:rsid w:val="00F451AC"/>
    <w:rsid w:val="00F52B32"/>
    <w:rsid w:val="00F60FF8"/>
    <w:rsid w:val="00F7641B"/>
    <w:rsid w:val="00F90966"/>
    <w:rsid w:val="00F976AB"/>
    <w:rsid w:val="00FB2118"/>
    <w:rsid w:val="3BEFE5BF"/>
    <w:rsid w:val="3EE338BA"/>
    <w:rsid w:val="3FA076F0"/>
    <w:rsid w:val="3FFBA004"/>
    <w:rsid w:val="5E9B148C"/>
    <w:rsid w:val="5FFF145F"/>
    <w:rsid w:val="6B7EFA90"/>
    <w:rsid w:val="6F31772D"/>
    <w:rsid w:val="77FFB4E4"/>
    <w:rsid w:val="7A1BFF57"/>
    <w:rsid w:val="7BEEAB0C"/>
    <w:rsid w:val="7FFEB069"/>
    <w:rsid w:val="B47FD52A"/>
    <w:rsid w:val="BDEA4F50"/>
    <w:rsid w:val="DFBB32AA"/>
    <w:rsid w:val="E15F0583"/>
    <w:rsid w:val="EBDFB1B0"/>
    <w:rsid w:val="EBEFD0B3"/>
    <w:rsid w:val="ED5B5AD1"/>
    <w:rsid w:val="F1E6E45D"/>
    <w:rsid w:val="F23F00D7"/>
    <w:rsid w:val="F77F2095"/>
    <w:rsid w:val="F7ED4F27"/>
    <w:rsid w:val="F9FDAFDE"/>
    <w:rsid w:val="FA4FCFDB"/>
    <w:rsid w:val="FB875441"/>
    <w:rsid w:val="FBBFA18D"/>
    <w:rsid w:val="FBDCC331"/>
    <w:rsid w:val="FDDF4D46"/>
    <w:rsid w:val="FF5F526C"/>
    <w:rsid w:val="FF9FD08E"/>
    <w:rsid w:val="FFBB3780"/>
    <w:rsid w:val="FFF34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467</Words>
  <Characters>2668</Characters>
  <Lines>22</Lines>
  <Paragraphs>6</Paragraphs>
  <TotalTime>3</TotalTime>
  <ScaleCrop>false</ScaleCrop>
  <LinksUpToDate>false</LinksUpToDate>
  <CharactersWithSpaces>3129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2024-10-24T04:18:00Z</dcterms:created>
  <dc:creator>ms</dc:creator>
  <cp:lastModifiedBy>yjj-503</cp:lastModifiedBy>
  <cp:lastPrinted>2024-11-05T09:52:16Z</cp:lastPrinted>
  <dcterms:modified xsi:type="dcterms:W3CDTF">2024-11-05T10:03:06Z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