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90" w:lineRule="auto"/>
      </w:pPr>
    </w:p>
    <w:p>
      <w:pPr>
        <w:spacing w:line="290" w:lineRule="auto"/>
        <w:rPr>
          <w:rFonts w:eastAsiaTheme="minor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上海建坤建设工程有限公司“7·2”高处坠落</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一般事故整改和防范措施落实情况评估报告</w:t>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 xml:space="preserve">2023年7月2日中午12时15分许，上海市青浦区天瑞路966号项目工地内在建1号厂房内四层处，两名施工人员徐新旺和符继胜在辅助吊装预制楼梯时，站在吊运中的预制楼梯上，此时预制楼梯突然晃动，造成徐新旺坠落至二层楼梯间，符继胜坠至三层楼面。事故造成1人死亡1人重伤，直接经济损失约人民币161万元整。事发后，上海市青浦区应急管理局会同相关部门依法开展事故调查，形成《上海建坤建设工程有限公司”7.2”高处坠落一般事故调查报告》（以下简称事故调查报告）并报经青浦区人民政府批复同意。根据《中华人民共和国安全生产法》《生产安全事故报告和调查处理条例》《上海市实施〈生产安全事故报告和调查处理条例〉的若干规定》《生产安全事故防范和整改措施落实情况评估办法》等有关规定，青浦区应急管理局牵头会同相关部门成立评估组，于 2024 年 8月 </w:t>
      </w:r>
      <w:bookmarkStart w:id="0" w:name="_GoBack"/>
      <w:bookmarkEnd w:id="0"/>
      <w:r>
        <w:rPr>
          <w:rStyle w:val="12"/>
          <w:rFonts w:hint="eastAsia" w:ascii="仿宋_GB2312" w:hAnsi="Calibri" w:eastAsia="仿宋_GB2312" w:cs="Times New Roman"/>
          <w:b w:val="0"/>
          <w:i w:val="0"/>
          <w:caps w:val="0"/>
          <w:snapToGrid/>
          <w:spacing w:val="0"/>
          <w:w w:val="100"/>
          <w:kern w:val="2"/>
          <w:sz w:val="32"/>
          <w:szCs w:val="32"/>
          <w:lang w:val="en-US" w:eastAsia="zh-CN" w:bidi="ar-SA"/>
        </w:rPr>
        <w:t>22 日至 9 月 30日开展事故整改和防范措施落实情况评估，形成本评估报告。</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基本情况</w:t>
      </w:r>
    </w:p>
    <w:p>
      <w:pPr>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按照“谁牵头调查，谁组织评估”原则，区应急管理局会同公安青浦分局、区总工会、香花桥街道办事处、青浦工业园区组成上海建坤建设工程有限公司”7.2”高处坠落一般事故整改和防范措施落实情况评估组（以下简称评估组），委托上海欣企安全生产咨询服务有限公司及相关专家参与评估。</w:t>
      </w:r>
    </w:p>
    <w:p>
      <w:pPr>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按照“科学严谨，依法依规，实事求是，注重实效”的原则评估组对照事故调查报告及批复，听取工作汇报，查阅台账资料，通过座谈问询、走访核查事发现场，逐项核查事故相关单位责任追究、整改和防范措施落实等情况，并结合专家意见，进行了综合评估并提出工作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 xml:space="preserve">事故处理落实情况 </w:t>
      </w:r>
    </w:p>
    <w:p>
      <w:pPr>
        <w:keepNext w:val="0"/>
        <w:keepLines w:val="0"/>
        <w:pageBreakBefore w:val="0"/>
        <w:widowControl w:val="0"/>
        <w:numPr>
          <w:ilvl w:val="0"/>
          <w:numId w:val="2"/>
        </w:numPr>
        <w:tabs>
          <w:tab w:val="center" w:pos="4153"/>
          <w:tab w:val="right" w:pos="8306"/>
        </w:tabs>
        <w:kinsoku/>
        <w:wordWrap/>
        <w:overflowPunct/>
        <w:topLinePunct w:val="0"/>
        <w:autoSpaceDE/>
        <w:autoSpaceDN/>
        <w:bidi w:val="0"/>
        <w:adjustRightInd/>
        <w:snapToGrid/>
        <w:spacing w:line="560" w:lineRule="exact"/>
        <w:ind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刑事责任追究情况</w:t>
      </w:r>
    </w:p>
    <w:p>
      <w:pPr>
        <w:pStyle w:val="6"/>
        <w:keepNext w:val="0"/>
        <w:keepLines w:val="0"/>
        <w:pageBreakBefore w:val="0"/>
        <w:wordWrap/>
        <w:overflowPunct/>
        <w:topLinePunct w:val="0"/>
        <w:bidi w:val="0"/>
        <w:spacing w:line="560" w:lineRule="exact"/>
        <w:ind w:firstLine="648"/>
        <w:jc w:val="both"/>
        <w:rPr>
          <w:rFonts w:hint="eastAsia"/>
          <w:lang w:val="en-US" w:eastAsia="zh-CN"/>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按照事故责任认定及处理建议，</w:t>
      </w:r>
      <w:r>
        <w:rPr>
          <w:rStyle w:val="12"/>
          <w:rFonts w:hint="eastAsia" w:ascii="仿宋_GB2312" w:hAnsi="Calibri"/>
          <w:b w:val="0"/>
          <w:i w:val="0"/>
          <w:caps w:val="0"/>
          <w:spacing w:val="0"/>
          <w:w w:val="100"/>
          <w:kern w:val="2"/>
          <w:sz w:val="32"/>
          <w:szCs w:val="32"/>
          <w:lang w:val="en-US" w:eastAsia="zh-CN" w:bidi="ar-SA"/>
        </w:rPr>
        <w:t>建议</w:t>
      </w:r>
      <w:r>
        <w:rPr>
          <w:rStyle w:val="12"/>
          <w:rFonts w:hint="eastAsia" w:hAnsi="Calibri"/>
          <w:b w:val="0"/>
          <w:i w:val="0"/>
          <w:caps w:val="0"/>
          <w:spacing w:val="0"/>
          <w:w w:val="100"/>
          <w:kern w:val="2"/>
          <w:sz w:val="32"/>
          <w:szCs w:val="32"/>
          <w:lang w:val="en-US" w:eastAsia="zh-CN" w:bidi="ar-SA"/>
        </w:rPr>
        <w:t>将</w:t>
      </w:r>
      <w:r>
        <w:rPr>
          <w:rStyle w:val="12"/>
          <w:rFonts w:hint="eastAsia" w:ascii="仿宋_GB2312" w:hAnsi="Calibri"/>
          <w:b w:val="0"/>
          <w:i w:val="0"/>
          <w:caps w:val="0"/>
          <w:spacing w:val="0"/>
          <w:w w:val="100"/>
          <w:kern w:val="2"/>
          <w:sz w:val="32"/>
          <w:szCs w:val="32"/>
          <w:lang w:val="en-US" w:eastAsia="zh-CN" w:bidi="ar-SA"/>
        </w:rPr>
        <w:t>上海建坤建设工程有限公司项目生产经理曹水华</w:t>
      </w:r>
      <w:r>
        <w:rPr>
          <w:rStyle w:val="12"/>
          <w:rFonts w:hint="eastAsia" w:hAnsi="Calibri"/>
          <w:b w:val="0"/>
          <w:i w:val="0"/>
          <w:caps w:val="0"/>
          <w:spacing w:val="0"/>
          <w:w w:val="100"/>
          <w:kern w:val="2"/>
          <w:sz w:val="32"/>
          <w:szCs w:val="32"/>
          <w:lang w:val="en-US" w:eastAsia="zh-CN" w:bidi="ar-SA"/>
        </w:rPr>
        <w:t>、</w:t>
      </w:r>
      <w:r>
        <w:rPr>
          <w:rStyle w:val="12"/>
          <w:rFonts w:hint="eastAsia" w:ascii="仿宋_GB2312" w:hAnsi="Calibri"/>
          <w:b w:val="0"/>
          <w:i w:val="0"/>
          <w:caps w:val="0"/>
          <w:spacing w:val="0"/>
          <w:w w:val="100"/>
          <w:kern w:val="2"/>
          <w:sz w:val="32"/>
          <w:szCs w:val="32"/>
          <w:lang w:val="en-US" w:eastAsia="zh-CN" w:bidi="ar-SA"/>
        </w:rPr>
        <w:t>上海嘉蓝建设工程监理有限公司安全监理王国光移送司法机关依法追究刑事责任</w:t>
      </w:r>
      <w:r>
        <w:rPr>
          <w:rStyle w:val="12"/>
          <w:rFonts w:hint="eastAsia" w:hAnsi="Calibri" w:cs="Times New Roman"/>
          <w:b w:val="0"/>
          <w:i w:val="0"/>
          <w:caps w:val="0"/>
          <w:snapToGrid/>
          <w:color w:val="000000"/>
          <w:spacing w:val="0"/>
          <w:w w:val="100"/>
          <w:kern w:val="2"/>
          <w:sz w:val="32"/>
          <w:szCs w:val="32"/>
          <w:lang w:val="en-US" w:eastAsia="zh-CN" w:bidi="ar-SA"/>
        </w:rPr>
        <w:t>。经公安机关判定，未予立案。</w:t>
      </w:r>
    </w:p>
    <w:p>
      <w:pPr>
        <w:keepNext w:val="0"/>
        <w:keepLines w:val="0"/>
        <w:pageBreakBefore w:val="0"/>
        <w:widowControl w:val="0"/>
        <w:numPr>
          <w:ilvl w:val="0"/>
          <w:numId w:val="2"/>
        </w:numPr>
        <w:tabs>
          <w:tab w:val="center" w:pos="4153"/>
          <w:tab w:val="right" w:pos="8306"/>
        </w:tabs>
        <w:kinsoku/>
        <w:wordWrap/>
        <w:overflowPunct/>
        <w:topLinePunct w:val="0"/>
        <w:autoSpaceDE/>
        <w:autoSpaceDN/>
        <w:bidi w:val="0"/>
        <w:adjustRightInd/>
        <w:snapToGrid/>
        <w:spacing w:line="560" w:lineRule="exact"/>
        <w:ind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行政处罚落实情况</w:t>
      </w:r>
    </w:p>
    <w:p>
      <w:pPr>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2023年10月31日，上海市青浦区应急管理局（以下简称区应急管理局）按照事故责任认定及处理建议，对事故责任单位上海建坤建设工程有限公司、上海嘉蓝建设工程监理有限公司、上海勇盛建筑劳务工程集团有限公司分别作出罚款 40万元、40万元、40万元的行政处罚决定；对事故责任人时任上海建坤建设工程有限公司项目经理陈胜文、上海嘉蓝建设工程监理有限公司总监何卫、上海勇盛建筑劳务工程集团有限公司法定代表人吴成兵、上海博进瑞和泰医疗科技有限公司副总经理李雅华，分别作出56000元、32800元、23650元、33600元的行政处罚决定。</w:t>
      </w:r>
    </w:p>
    <w:p>
      <w:pPr>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经核实，以上行政处罚均已执行。</w:t>
      </w:r>
    </w:p>
    <w:p>
      <w:pPr>
        <w:pStyle w:val="2"/>
        <w:keepNext w:val="0"/>
        <w:keepLines w:val="0"/>
        <w:pageBreakBefore w:val="0"/>
        <w:wordWrap/>
        <w:overflowPunct/>
        <w:topLinePunct w:val="0"/>
        <w:bidi w:val="0"/>
        <w:spacing w:line="560" w:lineRule="exact"/>
        <w:rPr>
          <w:rFonts w:hint="default"/>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事故整改措施落实情况</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（一）上海博进瑞和泰医疗科技有限公司</w:t>
      </w:r>
    </w:p>
    <w:p>
      <w:pPr>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一是全面加强项目管理，进一步明确现场管理人员的职责，把安全生产责任落实到人；二是认真学习相关法律法规，按照相关规定要求配备安全管理人员；三是强化作业现场管理工作，严格执行，坚持做到对违章行为坚决制止、纠正，决不放任迁就。对现场屡教不改的行为和人员，要求监理单位及时开具整改通知单，把安全隐患杜绝在萌芽阶段；四是加强施工人员安全教育，未经培训人员不得上岗；五是建立安全作业自查制度，组织多部门联合安全作业大检查，隐患落实整改，整改复查确认的长效机制。</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（二）青浦工业园区</w:t>
      </w:r>
    </w:p>
    <w:p>
      <w:pPr>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1、规范安全管理，落实工作职责。对网格下发每日安全生产工作清单，要求相关单位开展自查并落实高处作业各项安全措施、高处作业过程控制与防护。</w:t>
      </w:r>
    </w:p>
    <w:p>
      <w:pPr>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强化业务培训，提高履职能力。园区集团公司积极组织安全宣传教育活动一托微信群、公众号、视频号等各种新媒体资源，大力开展生产安全知识培训，切实提高从业人员安全意识，进一步提升安全员的履职能力和工作效力，推动企业落实安全生产第一责任。</w:t>
      </w:r>
    </w:p>
    <w:p>
      <w:pPr>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3、强化督查检查，确保措施到位。为进一步加强园区输送设备等其他生产安全风险管控，园区集团公司班子领导多次带队实地开展督查检查，督促企业切实履行安全生产责任制:园区网格中心、执法中队等相关部门持续加强对安全生产的日常监管。强化安全管理，持续加强安全宣传、引传教育和应急演练工作，确保施工建设安全有序进行。</w:t>
      </w:r>
    </w:p>
    <w:p>
      <w:pPr>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4、开展专项整治，事故发生后，组织力量开展全领域、全覆盖、无死角的机械伤害、防高坠等隐患排查整治工作。对于此类安全检查整治工作中发现的问题进行梳理归类，做到了即知即改:属疑难问题无法按时整改的，制定了整改时间表，尽快实施隐患清零同时开展“回头看”,确保各类问题整改到位。</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（三）香花街道办事处</w:t>
      </w:r>
    </w:p>
    <w:p>
      <w:pPr>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 xml:space="preserve"> 1、加强组织领导，压实整改责任。街道成立了专门的事故整改督促工作小组，明确职责分工，压实整改责任。多次召开专题会议，研究部署整改工作，确保整改工作有序推进。</w:t>
      </w:r>
    </w:p>
    <w:p>
      <w:pPr>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督促企业整改，全面梳理安全管理体系。香花桥街道督促涉事单位建立健全本单位安全生产规章制度和安全操作规程，确保本单位生产经营行为有章可依，有规可循。切实落实安全生产主体责任，抓实安全管理人员及作业人员安全生产教育培训、安全交底，确保作业人员具备岗位必要的安全意识和安全操作技能。</w:t>
      </w:r>
    </w:p>
    <w:p>
      <w:pPr>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3、做深做实现场管理，落实安全生产规章制度。明确要求各单位应当严格落实本单位安全生产主体责任，强化作业现场安全管理工作，做好生产经营活动计划和管理，落实现场安全管理措施，有力夯实安全风险分级管控和隐患排查治理双重预防工作机制，加强现场检查巡查，通过技术、管理、教育措施，及时发现并消除生产安全事故隐患，谨防事故发生。</w:t>
      </w:r>
    </w:p>
    <w:p>
      <w:pPr>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 xml:space="preserve">4、总结经验教训，建立长效机制。加强对辖区内企业的日常安全监管，加大执法检查力度,及时发现和消除安全隐患; 另一方面，持续开展安全生产宣传教育活动，提高企业和员工的安全意识，建立安全生产长效机制，确保辖区内企业的安全生产形势持续稳定好转。 </w:t>
      </w:r>
    </w:p>
    <w:p>
      <w:pPr>
        <w:keepNext w:val="0"/>
        <w:keepLines w:val="0"/>
        <w:pageBreakBefore w:val="0"/>
        <w:widowControl w:val="0"/>
        <w:numPr>
          <w:ilvl w:val="0"/>
          <w:numId w:val="2"/>
        </w:numPr>
        <w:tabs>
          <w:tab w:val="center" w:pos="4153"/>
          <w:tab w:val="right" w:pos="8306"/>
        </w:tabs>
        <w:kinsoku/>
        <w:wordWrap/>
        <w:overflowPunct/>
        <w:topLinePunct w:val="0"/>
        <w:autoSpaceDE/>
        <w:autoSpaceDN/>
        <w:bidi w:val="0"/>
        <w:adjustRightInd/>
        <w:snapToGrid/>
        <w:spacing w:line="560" w:lineRule="exact"/>
        <w:ind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建管委</w:t>
      </w:r>
    </w:p>
    <w:p>
      <w:pPr>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1、根据监督情况开具《上海市建设工程质量安全安全监督停工指令单》，并对总分包项目经理和专职安全员进行安全动态扣分。</w:t>
      </w:r>
    </w:p>
    <w:p>
      <w:pPr>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2、根据“四不放过”要求，继续加强对该项目的监管，对参建各方主体责任落实情况进行督查，限期整改。</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评估结论</w:t>
      </w:r>
    </w:p>
    <w:p>
      <w:pPr>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评估组按照事故调查报告及其批复要求，经资料审查、现场核查、专业评查，对该起事故处理、整改和防范措施落实情况进 行综合评估后认为：</w:t>
      </w:r>
    </w:p>
    <w:p>
      <w:pPr>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（一）相关单位及人员已履行行政处罚决定；相关单位对起事故责任人的处理已落实。</w:t>
      </w:r>
    </w:p>
    <w:p>
      <w:pPr>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（三）该起事故相关单位、属地政府及相关部门已实施事故 调查报告提出的整改和防范措施。</w:t>
      </w:r>
    </w:p>
    <w:p>
      <w:pPr>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综上，该起事故处理已全部落实，事故整改措施已全部落实。</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工作建议</w:t>
      </w:r>
    </w:p>
    <w:p>
      <w:pPr>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一）建议上海博进瑞和泰医疗科技有限公司在正式生产投入前，建立，健全本单位安全生产责任制；组织制定本单位安全生产规章制度和操作规程；组织制定并实施本单位安全生产教育和培训计划；组织制定本单位安全生产投入的计划；健全公司督促、隐患排查治理双重预防工作机制,及时消除生产安全事故隐患；组织制定并实施本单位的生产安全事故应急救援预案；</w:t>
      </w:r>
    </w:p>
    <w:p>
      <w:pPr>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（二）建议上海博进瑞和泰医疗科技有限公司在生产中加强安全风险分级管控和隐患排查治理双重预防工作机制，加强现场检查巡查。通过技术、管理措施，及时发现并消除生产安全事故隐患，谨防事故发生。</w:t>
      </w:r>
    </w:p>
    <w:p>
      <w:pPr>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（三）建议上海博进瑞和泰医疗科技有限公司生产中加强作业安全管理，严格执行特殊作业安全管理制度，安全工作许可证施行上锁挂牌规则。</w:t>
      </w:r>
    </w:p>
    <w:p>
      <w:pPr>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（四）建议上海博进瑞和泰医疗科技有限公司生产中加强企业高风险作业得安全管理，严格执行安全生产责任制度，加强现场隐患排查力度，发现隐患立即处理，防止潜在安全事故得发生。</w:t>
      </w:r>
    </w:p>
    <w:p>
      <w:pPr>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 xml:space="preserve">（五）建议上海博进瑞和泰医疗科技有限公司生产中加强承包商安全管理，严格执行承包商入厂教育培训规定，定期回顾各部门相关承包商安全生产上的表现；严格落实承包商现场施工安全责任，优化现场监督管理。 </w:t>
      </w:r>
    </w:p>
    <w:p>
      <w:pPr>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（六）建议上海博进瑞和泰医疗科技有限公司生产中加强对承租单位的安全生产工作统一协调.管理，定期的不定期的进行安全隐患排查检查，同时落实隐患整改责任人，限时整改限期回复。</w:t>
      </w:r>
    </w:p>
    <w:p>
      <w:pPr>
        <w:pStyle w:val="2"/>
        <w:rPr>
          <w:rStyle w:val="12"/>
          <w:rFonts w:hint="eastAsia" w:ascii="仿宋_GB2312" w:hAnsi="Calibri" w:eastAsia="仿宋_GB2312" w:cs="Times New Roman"/>
          <w:b w:val="0"/>
          <w:i w:val="0"/>
          <w:caps w:val="0"/>
          <w:snapToGrid/>
          <w:spacing w:val="0"/>
          <w:w w:val="100"/>
          <w:kern w:val="2"/>
          <w:sz w:val="32"/>
          <w:szCs w:val="32"/>
          <w:lang w:val="en-US" w:eastAsia="zh-CN" w:bidi="ar-SA"/>
        </w:rPr>
      </w:pPr>
    </w:p>
    <w:p>
      <w:pPr>
        <w:pStyle w:val="3"/>
        <w:rPr>
          <w:rFonts w:hint="eastAsia"/>
          <w:lang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right"/>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上海建坤建设工程有限公司”7.2”高处坠落</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right"/>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一般事故整改和防范措施情况评估组</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right"/>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2024 年 9月 30日</w:t>
      </w:r>
    </w:p>
    <w:sectPr>
      <w:footerReference r:id="rId3" w:type="default"/>
      <w:pgSz w:w="11906" w:h="16839"/>
      <w:pgMar w:top="1431" w:right="1381" w:bottom="1310" w:left="1596" w:header="0" w:footer="1025"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00"/>
    <w:family w:val="auto"/>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楷体-GB2312">
    <w:panose1 w:val="02000500000000000000"/>
    <w:charset w:val="86"/>
    <w:family w:val="auto"/>
    <w:pitch w:val="default"/>
    <w:sig w:usb0="800002BF" w:usb1="184F6CF8" w:usb2="00000012"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rPr>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7E8CD1"/>
    <w:multiLevelType w:val="singleLevel"/>
    <w:tmpl w:val="B27E8CD1"/>
    <w:lvl w:ilvl="0" w:tentative="0">
      <w:start w:val="1"/>
      <w:numFmt w:val="chineseCounting"/>
      <w:suff w:val="nothing"/>
      <w:lvlText w:val="%1、"/>
      <w:lvlJc w:val="left"/>
      <w:pPr>
        <w:ind w:left="600" w:firstLine="0"/>
      </w:pPr>
      <w:rPr>
        <w:rFonts w:hint="eastAsia"/>
      </w:rPr>
    </w:lvl>
  </w:abstractNum>
  <w:abstractNum w:abstractNumId="1">
    <w:nsid w:val="D7B7CA39"/>
    <w:multiLevelType w:val="singleLevel"/>
    <w:tmpl w:val="D7B7CA39"/>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bordersDoNotSurroundHeader w:val="true"/>
  <w:bordersDoNotSurroundFooter w:val="true"/>
  <w:documentProtection w:enforcement="0"/>
  <w:defaultTabStop w:val="420"/>
  <w:characterSpacingControl w:val="doNotCompress"/>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BjZjRhZGFhNTU0MzU5ZDI2ZTVmZmJkZjY2M2QxYjQifQ=="/>
  </w:docVars>
  <w:rsids>
    <w:rsidRoot w:val="00C869D6"/>
    <w:rsid w:val="000062E7"/>
    <w:rsid w:val="00013137"/>
    <w:rsid w:val="00033843"/>
    <w:rsid w:val="00060D57"/>
    <w:rsid w:val="000612EF"/>
    <w:rsid w:val="000B5CDE"/>
    <w:rsid w:val="000C10BF"/>
    <w:rsid w:val="000C1ADB"/>
    <w:rsid w:val="000D1332"/>
    <w:rsid w:val="000F0079"/>
    <w:rsid w:val="00135E28"/>
    <w:rsid w:val="00136FF6"/>
    <w:rsid w:val="00161533"/>
    <w:rsid w:val="00166A17"/>
    <w:rsid w:val="0018765D"/>
    <w:rsid w:val="00187BB6"/>
    <w:rsid w:val="001D686B"/>
    <w:rsid w:val="00215989"/>
    <w:rsid w:val="002172BB"/>
    <w:rsid w:val="002209AC"/>
    <w:rsid w:val="00224AD7"/>
    <w:rsid w:val="002318F6"/>
    <w:rsid w:val="00232F7F"/>
    <w:rsid w:val="002334BA"/>
    <w:rsid w:val="002533FC"/>
    <w:rsid w:val="00276526"/>
    <w:rsid w:val="00292217"/>
    <w:rsid w:val="002B18AB"/>
    <w:rsid w:val="002B23E2"/>
    <w:rsid w:val="002C42DE"/>
    <w:rsid w:val="00300D34"/>
    <w:rsid w:val="00346849"/>
    <w:rsid w:val="003559FC"/>
    <w:rsid w:val="003A3FD6"/>
    <w:rsid w:val="003C4C3B"/>
    <w:rsid w:val="003C66DD"/>
    <w:rsid w:val="003E3EEA"/>
    <w:rsid w:val="003E7CA8"/>
    <w:rsid w:val="004017D8"/>
    <w:rsid w:val="00441B51"/>
    <w:rsid w:val="0045440E"/>
    <w:rsid w:val="004851EA"/>
    <w:rsid w:val="004930F4"/>
    <w:rsid w:val="004C2307"/>
    <w:rsid w:val="004C2719"/>
    <w:rsid w:val="004C2CDA"/>
    <w:rsid w:val="004D05B6"/>
    <w:rsid w:val="004F28FF"/>
    <w:rsid w:val="00515C2F"/>
    <w:rsid w:val="005178CB"/>
    <w:rsid w:val="00550B57"/>
    <w:rsid w:val="00552E8F"/>
    <w:rsid w:val="0056251C"/>
    <w:rsid w:val="0058492E"/>
    <w:rsid w:val="005A24D8"/>
    <w:rsid w:val="005B7166"/>
    <w:rsid w:val="005D2381"/>
    <w:rsid w:val="005D3499"/>
    <w:rsid w:val="005E4C43"/>
    <w:rsid w:val="00602760"/>
    <w:rsid w:val="00627A60"/>
    <w:rsid w:val="006A18AE"/>
    <w:rsid w:val="006A58C8"/>
    <w:rsid w:val="006C2780"/>
    <w:rsid w:val="006C30CF"/>
    <w:rsid w:val="006F4831"/>
    <w:rsid w:val="007D58A2"/>
    <w:rsid w:val="008006D2"/>
    <w:rsid w:val="008422C4"/>
    <w:rsid w:val="008831FD"/>
    <w:rsid w:val="008B2555"/>
    <w:rsid w:val="008C14E7"/>
    <w:rsid w:val="008C2028"/>
    <w:rsid w:val="008C2463"/>
    <w:rsid w:val="008E2486"/>
    <w:rsid w:val="008F3F3F"/>
    <w:rsid w:val="008F4F29"/>
    <w:rsid w:val="009100ED"/>
    <w:rsid w:val="00953491"/>
    <w:rsid w:val="0095749B"/>
    <w:rsid w:val="0096514A"/>
    <w:rsid w:val="00966773"/>
    <w:rsid w:val="009A2FEF"/>
    <w:rsid w:val="009C7BA1"/>
    <w:rsid w:val="009D03C7"/>
    <w:rsid w:val="00A2572B"/>
    <w:rsid w:val="00A67385"/>
    <w:rsid w:val="00A75191"/>
    <w:rsid w:val="00A80DE3"/>
    <w:rsid w:val="00A82407"/>
    <w:rsid w:val="00A97E6E"/>
    <w:rsid w:val="00AA0C47"/>
    <w:rsid w:val="00B3521D"/>
    <w:rsid w:val="00B46AFF"/>
    <w:rsid w:val="00B8686E"/>
    <w:rsid w:val="00BB7B6E"/>
    <w:rsid w:val="00C23A7E"/>
    <w:rsid w:val="00C339C7"/>
    <w:rsid w:val="00C57041"/>
    <w:rsid w:val="00C72784"/>
    <w:rsid w:val="00C764CC"/>
    <w:rsid w:val="00C80C62"/>
    <w:rsid w:val="00C869D6"/>
    <w:rsid w:val="00CA0496"/>
    <w:rsid w:val="00CA52DD"/>
    <w:rsid w:val="00CE6D89"/>
    <w:rsid w:val="00D03AC5"/>
    <w:rsid w:val="00D12F4B"/>
    <w:rsid w:val="00D237E1"/>
    <w:rsid w:val="00D367D5"/>
    <w:rsid w:val="00D85665"/>
    <w:rsid w:val="00D94D48"/>
    <w:rsid w:val="00DA5986"/>
    <w:rsid w:val="00DE61C2"/>
    <w:rsid w:val="00E0434E"/>
    <w:rsid w:val="00E1320C"/>
    <w:rsid w:val="00E3494B"/>
    <w:rsid w:val="00E366F0"/>
    <w:rsid w:val="00E54B71"/>
    <w:rsid w:val="00E87D1F"/>
    <w:rsid w:val="00E87DE6"/>
    <w:rsid w:val="00F24A3E"/>
    <w:rsid w:val="00F41758"/>
    <w:rsid w:val="00F449E0"/>
    <w:rsid w:val="00F451AC"/>
    <w:rsid w:val="00F52B32"/>
    <w:rsid w:val="00F7641B"/>
    <w:rsid w:val="00F90966"/>
    <w:rsid w:val="00FB2118"/>
    <w:rsid w:val="178A899A"/>
    <w:rsid w:val="29B7E8FD"/>
    <w:rsid w:val="33552C1B"/>
    <w:rsid w:val="367F725C"/>
    <w:rsid w:val="3AC1758A"/>
    <w:rsid w:val="3DFF547F"/>
    <w:rsid w:val="3FA076F0"/>
    <w:rsid w:val="48FACE58"/>
    <w:rsid w:val="557A319D"/>
    <w:rsid w:val="5771D71A"/>
    <w:rsid w:val="5FFFE6EB"/>
    <w:rsid w:val="6B797FE3"/>
    <w:rsid w:val="6FCF283C"/>
    <w:rsid w:val="75FEDBF6"/>
    <w:rsid w:val="77E5C090"/>
    <w:rsid w:val="7DAFE67A"/>
    <w:rsid w:val="7F97BC70"/>
    <w:rsid w:val="7FBB9001"/>
    <w:rsid w:val="7FF73E8B"/>
    <w:rsid w:val="AABFAFD5"/>
    <w:rsid w:val="ADDBF745"/>
    <w:rsid w:val="B58FBA51"/>
    <w:rsid w:val="BB1F455F"/>
    <w:rsid w:val="BEBF775A"/>
    <w:rsid w:val="DB3550BC"/>
    <w:rsid w:val="DE5F63C1"/>
    <w:rsid w:val="EDBF28C6"/>
    <w:rsid w:val="F7C92C34"/>
    <w:rsid w:val="F97F5C1F"/>
    <w:rsid w:val="F9EB6BB7"/>
    <w:rsid w:val="FAFF706D"/>
    <w:rsid w:val="FCFFAB55"/>
    <w:rsid w:val="FEFD5ECA"/>
    <w:rsid w:val="FF2D5F05"/>
    <w:rsid w:val="FFDC07CE"/>
    <w:rsid w:val="FFFEF5AA"/>
    <w:rsid w:val="FFFF54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2"/>
    <w:basedOn w:val="1"/>
    <w:next w:val="3"/>
    <w:qFormat/>
    <w:uiPriority w:val="0"/>
    <w:pPr>
      <w:jc w:val="right"/>
    </w:pPr>
    <w:rPr>
      <w:rFonts w:ascii="黑体" w:eastAsia="黑体"/>
      <w:sz w:val="44"/>
    </w:rPr>
  </w:style>
  <w:style w:type="paragraph" w:styleId="3">
    <w:name w:val="Body Text First Indent 2"/>
    <w:basedOn w:val="4"/>
    <w:next w:val="1"/>
    <w:unhideWhenUsed/>
    <w:qFormat/>
    <w:uiPriority w:val="0"/>
    <w:pPr>
      <w:spacing w:after="120"/>
      <w:ind w:left="420" w:leftChars="200" w:firstLine="420" w:firstLineChars="200"/>
    </w:pPr>
    <w:rPr>
      <w:rFonts w:hint="default" w:ascii="Calibri" w:hAnsi="Calibri" w:eastAsia="宋体" w:cs="Times New Roman"/>
      <w:sz w:val="21"/>
    </w:rPr>
  </w:style>
  <w:style w:type="paragraph" w:styleId="4">
    <w:name w:val="Body Text Indent"/>
    <w:basedOn w:val="1"/>
    <w:next w:val="5"/>
    <w:qFormat/>
    <w:uiPriority w:val="0"/>
    <w:pPr>
      <w:ind w:leftChars="100"/>
    </w:pPr>
    <w:rPr>
      <w:rFonts w:hint="eastAsia" w:ascii="宋体" w:hAnsi="宋体" w:eastAsia="宋体"/>
      <w:sz w:val="28"/>
      <w:szCs w:val="24"/>
    </w:rPr>
  </w:style>
  <w:style w:type="paragraph" w:styleId="5">
    <w:name w:val="Normal Indent"/>
    <w:basedOn w:val="1"/>
    <w:next w:val="1"/>
    <w:qFormat/>
    <w:uiPriority w:val="0"/>
    <w:pPr>
      <w:ind w:firstLine="420" w:firstLineChars="200"/>
    </w:pPr>
    <w:rPr>
      <w:rFonts w:ascii="Times New Roman" w:hAnsi="Times New Roman" w:eastAsia="仿宋" w:cs="Times New Roman"/>
      <w:sz w:val="32"/>
    </w:rPr>
  </w:style>
  <w:style w:type="paragraph" w:styleId="6">
    <w:name w:val="Body Text"/>
    <w:basedOn w:val="1"/>
    <w:semiHidden/>
    <w:qFormat/>
    <w:uiPriority w:val="0"/>
    <w:rPr>
      <w:rFonts w:ascii="仿宋_GB2312" w:hAnsi="仿宋_GB2312" w:eastAsia="仿宋_GB2312" w:cs="仿宋_GB2312"/>
      <w:sz w:val="31"/>
      <w:szCs w:val="31"/>
    </w:rPr>
  </w:style>
  <w:style w:type="paragraph" w:styleId="7">
    <w:name w:val="footer"/>
    <w:basedOn w:val="1"/>
    <w:link w:val="15"/>
    <w:qFormat/>
    <w:uiPriority w:val="0"/>
    <w:pPr>
      <w:tabs>
        <w:tab w:val="center" w:pos="4153"/>
        <w:tab w:val="right" w:pos="8306"/>
      </w:tabs>
    </w:pPr>
    <w:rPr>
      <w:sz w:val="18"/>
      <w:szCs w:val="18"/>
    </w:rPr>
  </w:style>
  <w:style w:type="paragraph" w:styleId="8">
    <w:name w:val="header"/>
    <w:basedOn w:val="1"/>
    <w:link w:val="14"/>
    <w:qFormat/>
    <w:uiPriority w:val="0"/>
    <w:pPr>
      <w:tabs>
        <w:tab w:val="center" w:pos="4153"/>
        <w:tab w:val="right" w:pos="8306"/>
      </w:tabs>
      <w:jc w:val="center"/>
    </w:pPr>
    <w:rPr>
      <w:sz w:val="18"/>
      <w:szCs w:val="18"/>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NormalCharacter"/>
    <w:qFormat/>
    <w:uiPriority w:val="0"/>
  </w:style>
  <w:style w:type="paragraph" w:styleId="13">
    <w:name w:val="List Paragraph"/>
    <w:basedOn w:val="1"/>
    <w:unhideWhenUsed/>
    <w:qFormat/>
    <w:uiPriority w:val="99"/>
    <w:pPr>
      <w:ind w:firstLine="420" w:firstLineChars="200"/>
    </w:pPr>
  </w:style>
  <w:style w:type="character" w:customStyle="1" w:styleId="14">
    <w:name w:val="页眉 字符"/>
    <w:basedOn w:val="10"/>
    <w:link w:val="8"/>
    <w:qFormat/>
    <w:uiPriority w:val="0"/>
    <w:rPr>
      <w:rFonts w:eastAsia="Arial"/>
      <w:snapToGrid w:val="0"/>
      <w:color w:val="000000"/>
      <w:sz w:val="18"/>
      <w:szCs w:val="18"/>
      <w:lang w:eastAsia="en-US"/>
    </w:rPr>
  </w:style>
  <w:style w:type="character" w:customStyle="1" w:styleId="15">
    <w:name w:val="页脚 字符"/>
    <w:basedOn w:val="10"/>
    <w:link w:val="7"/>
    <w:qFormat/>
    <w:uiPriority w:val="0"/>
    <w:rPr>
      <w:rFonts w:eastAsia="Arial"/>
      <w:snapToGrid w:val="0"/>
      <w:color w:val="000000"/>
      <w:sz w:val="18"/>
      <w:szCs w:val="18"/>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493</Words>
  <Characters>2811</Characters>
  <Lines>23</Lines>
  <Paragraphs>6</Paragraphs>
  <TotalTime>179</TotalTime>
  <ScaleCrop>false</ScaleCrop>
  <LinksUpToDate>false</LinksUpToDate>
  <CharactersWithSpaces>3298</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2024-10-22T13:06:00Z</dcterms:created>
  <dc:creator>ms</dc:creator>
  <cp:lastModifiedBy>yjj-503</cp:lastModifiedBy>
  <cp:lastPrinted>2024-11-05T09:51:58Z</cp:lastPrinted>
  <dcterms:modified xsi:type="dcterms:W3CDTF">2024-11-05T10:02:13Z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2024-10-08T14:12:57Z</vt:filetime>
  </property>
  <property fmtid="{D5CDD505-2E9C-101B-9397-08002B2CF9AE}" pid="4" name="KSOProductBuildVer">
    <vt:lpwstr>2052-11.8.2.10251</vt:lpwstr>
  </property>
  <property fmtid="{D5CDD505-2E9C-101B-9397-08002B2CF9AE}" pid="5" name="ICV">
    <vt:lpwstr>470CCB2971BE4280A4FBD44C2BD2C97D_12</vt:lpwstr>
  </property>
</Properties>
</file>