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660" w:lineRule="exact"/>
        <w:jc w:val="left"/>
        <w:rPr>
          <w:rFonts w:hint="eastAsia" w:ascii="黑体" w:hAnsi="黑体" w:eastAsia="黑体" w:cs="黑体"/>
          <w:color w:val="000000"/>
          <w:sz w:val="32"/>
          <w:szCs w:val="32"/>
          <w:lang w:val="en-US" w:eastAsia="zh-CN"/>
        </w:rPr>
      </w:pPr>
      <w:bookmarkStart w:id="0" w:name="_Toc90561289"/>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4</w:t>
      </w:r>
      <w:bookmarkStart w:id="11" w:name="_GoBack"/>
      <w:bookmarkEnd w:id="11"/>
    </w:p>
    <w:p>
      <w:pPr>
        <w:wordWrap w:val="0"/>
        <w:spacing w:line="6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上海富赣建筑工程有限公司“2021.4.22”</w:t>
      </w:r>
    </w:p>
    <w:p>
      <w:pPr>
        <w:wordWrap w:val="0"/>
        <w:spacing w:line="6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高处坠落死亡事故整改</w:t>
      </w:r>
      <w:r>
        <w:rPr>
          <w:rFonts w:hint="eastAsia" w:ascii="方正小标宋简体" w:hAnsi="方正小标宋简体" w:eastAsia="方正小标宋简体" w:cs="方正小标宋简体"/>
          <w:sz w:val="44"/>
          <w:szCs w:val="44"/>
        </w:rPr>
        <w:t>措施</w:t>
      </w:r>
    </w:p>
    <w:p>
      <w:pPr>
        <w:wordWrap w:val="0"/>
        <w:spacing w:line="660" w:lineRule="exact"/>
        <w:jc w:val="center"/>
        <w:rPr>
          <w:rFonts w:ascii="黑体" w:hAnsi="黑体" w:eastAsia="黑体" w:cs="黑体"/>
          <w:sz w:val="32"/>
          <w:szCs w:val="32"/>
        </w:rPr>
      </w:pPr>
      <w:r>
        <w:rPr>
          <w:rFonts w:hint="eastAsia" w:ascii="方正小标宋简体" w:hAnsi="方正小标宋简体" w:eastAsia="方正小标宋简体" w:cs="方正小标宋简体"/>
          <w:color w:val="000000"/>
          <w:sz w:val="44"/>
          <w:szCs w:val="44"/>
        </w:rPr>
        <w:t>落实情况评估报告</w:t>
      </w:r>
    </w:p>
    <w:p>
      <w:pPr>
        <w:pStyle w:val="2"/>
        <w:spacing w:after="0" w:line="560" w:lineRule="exact"/>
        <w:ind w:firstLine="642" w:firstLineChars="200"/>
        <w:rPr>
          <w:rFonts w:ascii="黑体" w:hAnsi="黑体" w:eastAsia="黑体" w:cs="黑体"/>
          <w:sz w:val="32"/>
          <w:szCs w:val="32"/>
        </w:rPr>
      </w:pPr>
      <w:r>
        <w:rPr>
          <w:rFonts w:hint="eastAsia" w:ascii="黑体" w:hAnsi="黑体" w:eastAsia="黑体" w:cs="黑体"/>
          <w:sz w:val="32"/>
          <w:szCs w:val="32"/>
        </w:rPr>
        <w:t>一、前言</w:t>
      </w:r>
      <w:bookmarkEnd w:id="0"/>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2021年4月22日8时40分许，位于闵行区红松东路1116号内发生一起高处坠落死亡事故，造成一人死亡。事故发生后，依据相关法律法规，</w:t>
      </w:r>
      <w:r>
        <w:rPr>
          <w:rFonts w:hint="eastAsia" w:ascii="仿宋_GB2312" w:hAnsi="仿宋_GB2312" w:eastAsia="仿宋_GB2312" w:cs="仿宋_GB2312"/>
          <w:sz w:val="32"/>
          <w:szCs w:val="32"/>
          <w:lang w:eastAsia="zh-CN"/>
        </w:rPr>
        <w:t>闵行区</w:t>
      </w:r>
      <w:r>
        <w:rPr>
          <w:rFonts w:hint="eastAsia" w:ascii="仿宋_GB2312" w:hAnsi="仿宋_GB2312" w:eastAsia="仿宋_GB2312" w:cs="仿宋_GB2312"/>
          <w:sz w:val="32"/>
          <w:szCs w:val="32"/>
        </w:rPr>
        <w:t>应急管理局会同相关部门组织事故调查组展开调查。事故调查报告于202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日获批复同意。</w:t>
      </w:r>
    </w:p>
    <w:p>
      <w:pPr>
        <w:spacing w:line="560" w:lineRule="exact"/>
        <w:ind w:firstLine="640" w:firstLineChars="200"/>
        <w:rPr>
          <w:rFonts w:ascii="宋体" w:hAnsi="宋体" w:cs="宋体"/>
          <w:sz w:val="28"/>
          <w:szCs w:val="28"/>
        </w:rPr>
      </w:pPr>
      <w:r>
        <w:rPr>
          <w:rFonts w:hint="eastAsia" w:ascii="仿宋_GB2312" w:hAnsi="仿宋_GB2312" w:eastAsia="仿宋_GB2312" w:cs="仿宋_GB2312"/>
          <w:sz w:val="32"/>
          <w:szCs w:val="32"/>
        </w:rPr>
        <w:t>为确保事故责任单位安全隐患整改工作真正得到落实,更好地推进企业安全生产主体责任的落实,促使事故责任单位安全管理状况的改进。按照《中华人民共和国安全生产法》《生产安全事故防范和整改措施落实情况评估办法》（安委办〔2021〕4号）等相关法律法规和规范性文件要求，区应急局会同有关部门组成上海富赣建筑工程有限公司“2021.4.22”高处坠落死亡事故评估组（以下简称评估组），对上海富赣建筑工程有限公司“2021.4.22”高处坠落死亡事故责任追究及整改措施落实情况进行评估。</w:t>
      </w:r>
    </w:p>
    <w:p>
      <w:pPr>
        <w:pStyle w:val="2"/>
        <w:spacing w:before="0" w:after="0" w:line="560" w:lineRule="exact"/>
        <w:ind w:firstLine="642" w:firstLineChars="200"/>
      </w:pPr>
      <w:bookmarkStart w:id="1" w:name="_Toc90561290"/>
      <w:r>
        <w:rPr>
          <w:rFonts w:hint="eastAsia" w:ascii="黑体" w:hAnsi="黑体" w:eastAsia="黑体" w:cs="黑体"/>
          <w:sz w:val="32"/>
          <w:szCs w:val="32"/>
        </w:rPr>
        <w:t>二、评估工作组织及开展情况</w:t>
      </w:r>
      <w:bookmarkEnd w:id="1"/>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2022年3月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日,评估组明确了评估对象、评估内容、评估方法及工作安排。4月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日完成资料收集工作、核查评估工作并撰写完成本报告。</w:t>
      </w:r>
    </w:p>
    <w:p>
      <w:pPr>
        <w:pStyle w:val="2"/>
        <w:spacing w:before="0" w:after="0" w:line="560" w:lineRule="exact"/>
        <w:ind w:firstLine="642" w:firstLineChars="200"/>
      </w:pPr>
      <w:bookmarkStart w:id="2" w:name="_Toc90561291"/>
      <w:r>
        <w:rPr>
          <w:rFonts w:hint="eastAsia" w:ascii="黑体" w:hAnsi="黑体" w:eastAsia="黑体" w:cs="黑体"/>
          <w:sz w:val="32"/>
          <w:szCs w:val="32"/>
        </w:rPr>
        <w:t>三、评估方法</w:t>
      </w:r>
      <w:bookmarkEnd w:id="2"/>
    </w:p>
    <w:p>
      <w:pPr>
        <w:spacing w:line="560" w:lineRule="exact"/>
        <w:ind w:firstLine="640" w:firstLineChars="200"/>
        <w:rPr>
          <w:rFonts w:ascii="宋体" w:hAnsi="宋体" w:cs="宋体"/>
          <w:sz w:val="28"/>
          <w:szCs w:val="28"/>
        </w:rPr>
      </w:pPr>
      <w:r>
        <w:rPr>
          <w:rFonts w:hint="eastAsia" w:ascii="仿宋_GB2312" w:hAnsi="仿宋_GB2312" w:eastAsia="仿宋_GB2312" w:cs="仿宋_GB2312"/>
          <w:sz w:val="32"/>
          <w:szCs w:val="32"/>
        </w:rPr>
        <w:t>采用资料核实、现场核查、工作记录等方法进行。</w:t>
      </w:r>
    </w:p>
    <w:p>
      <w:pPr>
        <w:pStyle w:val="2"/>
        <w:spacing w:before="0" w:after="0" w:line="560" w:lineRule="exact"/>
        <w:ind w:firstLine="642" w:firstLineChars="200"/>
      </w:pPr>
      <w:bookmarkStart w:id="3" w:name="_Toc90561292"/>
      <w:r>
        <w:rPr>
          <w:rFonts w:hint="eastAsia" w:ascii="黑体" w:hAnsi="黑体" w:eastAsia="黑体" w:cs="黑体"/>
          <w:sz w:val="32"/>
          <w:szCs w:val="32"/>
        </w:rPr>
        <w:t>四、事故责任追究落实情况</w:t>
      </w:r>
      <w:bookmarkEnd w:id="3"/>
    </w:p>
    <w:p>
      <w:pPr>
        <w:pStyle w:val="3"/>
        <w:spacing w:before="0" w:after="0" w:line="560" w:lineRule="exact"/>
        <w:ind w:firstLine="642" w:firstLineChars="200"/>
      </w:pPr>
      <w:bookmarkStart w:id="4" w:name="_Toc90561293"/>
      <w:r>
        <w:rPr>
          <w:rFonts w:hint="eastAsia" w:ascii="楷体" w:hAnsi="楷体" w:eastAsia="楷体" w:cs="楷体"/>
        </w:rPr>
        <w:t>（一）刑事、行政责任迫究落实情况</w:t>
      </w:r>
      <w:bookmarkEnd w:id="4"/>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此事故未涉及刑事、行政责任追究。</w:t>
      </w:r>
    </w:p>
    <w:p>
      <w:pPr>
        <w:pStyle w:val="3"/>
        <w:spacing w:before="0" w:after="0" w:line="560" w:lineRule="exact"/>
        <w:ind w:firstLine="642" w:firstLineChars="200"/>
        <w:rPr>
          <w:rFonts w:ascii="楷体" w:hAnsi="楷体" w:eastAsia="楷体" w:cs="楷体"/>
        </w:rPr>
      </w:pPr>
      <w:bookmarkStart w:id="5" w:name="_Toc90561294"/>
      <w:r>
        <w:rPr>
          <w:rFonts w:hint="eastAsia" w:ascii="楷体" w:hAnsi="楷体" w:eastAsia="楷体" w:cs="楷体"/>
        </w:rPr>
        <w:t>（二）行政处罚落实情况</w:t>
      </w:r>
      <w:bookmarkEnd w:id="5"/>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评估组查阅相关材料，闵行区应急管理局分别于2021年7月12日和2021年7月19日向事故责任单位上海美力新建筑装饰股份有限公司、上海富赣建筑工程有限公司和事故责任人员上海美力新建筑装饰股份有限公司现场负责人朱帮勤</w:t>
      </w:r>
      <w:r>
        <w:rPr>
          <w:rFonts w:hint="eastAsia" w:ascii="仿宋_GB2312" w:hAnsi="仿宋_GB2312" w:eastAsia="仿宋_GB2312" w:cs="仿宋_GB2312"/>
          <w:sz w:val="32"/>
          <w:szCs w:val="32"/>
          <w:lang w:eastAsia="zh-CN"/>
        </w:rPr>
        <w:t>送达</w:t>
      </w:r>
      <w:r>
        <w:rPr>
          <w:rFonts w:hint="eastAsia" w:ascii="仿宋_GB2312" w:hAnsi="仿宋_GB2312" w:eastAsia="仿宋_GB2312" w:cs="仿宋_GB2312"/>
          <w:sz w:val="32"/>
          <w:szCs w:val="32"/>
        </w:rPr>
        <w:t>了行政处罚决定书；事故责任单位上海美力新建筑装饰股份有限公司与事故责任人员分别于2021年7月24日和2021年7月26日缴纳了行政处罚款。上海富赣建筑工程有限公司</w:t>
      </w:r>
      <w:r>
        <w:rPr>
          <w:rFonts w:hint="eastAsia" w:ascii="仿宋_GB2312" w:hAnsi="仿宋_GB2312" w:eastAsia="仿宋_GB2312" w:cs="仿宋_GB2312"/>
          <w:sz w:val="32"/>
          <w:szCs w:val="32"/>
          <w:lang w:eastAsia="zh-CN"/>
        </w:rPr>
        <w:t>在法定时间内未缴纳罚款，</w:t>
      </w:r>
      <w:r>
        <w:rPr>
          <w:rFonts w:hint="eastAsia" w:ascii="仿宋_GB2312" w:hAnsi="仿宋_GB2312" w:eastAsia="仿宋_GB2312" w:cs="仿宋_GB2312"/>
          <w:sz w:val="32"/>
          <w:szCs w:val="32"/>
        </w:rPr>
        <w:t>闵行区应急管理局</w:t>
      </w:r>
      <w:r>
        <w:rPr>
          <w:rFonts w:hint="eastAsia" w:ascii="仿宋_GB2312" w:hAnsi="仿宋_GB2312" w:eastAsia="仿宋_GB2312" w:cs="仿宋_GB2312"/>
          <w:sz w:val="32"/>
          <w:szCs w:val="32"/>
          <w:lang w:eastAsia="zh-CN"/>
        </w:rPr>
        <w:t>已于</w:t>
      </w:r>
      <w:r>
        <w:rPr>
          <w:rFonts w:hint="eastAsia" w:ascii="仿宋_GB2312" w:hAnsi="仿宋_GB2312" w:eastAsia="仿宋_GB2312" w:cs="仿宋_GB2312"/>
          <w:sz w:val="32"/>
          <w:szCs w:val="32"/>
          <w:lang w:val="en-US" w:eastAsia="zh-CN"/>
        </w:rPr>
        <w:t>2022年4月13日向闵行区人民法院申请强制执行。</w:t>
      </w:r>
    </w:p>
    <w:p>
      <w:pPr>
        <w:pStyle w:val="2"/>
        <w:spacing w:before="0" w:after="0" w:line="560" w:lineRule="exact"/>
        <w:ind w:firstLine="642" w:firstLineChars="200"/>
        <w:rPr>
          <w:rFonts w:ascii="黑体" w:hAnsi="黑体" w:eastAsia="黑体" w:cs="黑体"/>
          <w:sz w:val="32"/>
          <w:szCs w:val="32"/>
        </w:rPr>
      </w:pPr>
      <w:bookmarkStart w:id="6" w:name="_Toc90561295"/>
      <w:r>
        <w:rPr>
          <w:rFonts w:hint="eastAsia" w:ascii="黑体" w:hAnsi="黑体" w:eastAsia="黑体" w:cs="黑体"/>
          <w:sz w:val="32"/>
          <w:szCs w:val="32"/>
        </w:rPr>
        <w:t>五、事故责任单位安全整改工作落实情况</w:t>
      </w:r>
      <w:bookmarkEnd w:id="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上海美力新建筑装饰股份有限公司在本次事故中积极吸取教训,并根据事故调查报告提出的整改措施,结合公司实际情况,认真落实各项整改措施。安全整改工作落实情况如下：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3675"/>
        <w:gridCol w:w="3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Align w:val="center"/>
          </w:tcPr>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3675" w:type="dxa"/>
            <w:vAlign w:val="center"/>
          </w:tcPr>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调查报告中要求的事故防范和整改措施</w:t>
            </w:r>
          </w:p>
        </w:tc>
        <w:tc>
          <w:tcPr>
            <w:tcW w:w="3735"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94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未建全安全生产责任制和安全生产规章制度</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企业已经重新修订了相应安全管理制度并已发布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Align w:val="center"/>
          </w:tcPr>
          <w:p>
            <w:pPr>
              <w:spacing w:line="560" w:lineRule="exact"/>
              <w:jc w:val="center"/>
              <w:rPr>
                <w:rFonts w:ascii="仿宋_GB2312" w:hAnsi="仿宋_GB2312" w:eastAsia="仿宋_GB2312" w:cs="仿宋_GB2312"/>
                <w:sz w:val="32"/>
                <w:szCs w:val="32"/>
              </w:rPr>
            </w:pPr>
            <w:bookmarkStart w:id="7" w:name="_Toc90561296"/>
            <w:r>
              <w:rPr>
                <w:rFonts w:hint="eastAsia" w:ascii="仿宋_GB2312" w:hAnsi="仿宋_GB2312" w:eastAsia="仿宋_GB2312" w:cs="仿宋_GB2312"/>
                <w:sz w:val="32"/>
                <w:szCs w:val="32"/>
              </w:rPr>
              <w:t>2</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对施工现场安全生产管理不到位</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要求所有领导及管理人员认真学习和吸取此次事故血的教训，认真查找本次事故中存在的问题，深刻反省，总结自身工作中存在的问题和不足，结合自身工作的职责，查找安全生产工作中的薄弱环节，并制定和完善的工作计划，牢固树立安全第一的思想，时刻不放松，把安全工作作为自身工作的重要部分，让“管生产必须管安全”思想深入人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对施工人员安全教育不够</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开展全体员工的安全培训再教育工作。事故发生后公司立即组织对所有员工的安全培训教育工作，对此次事故的原因和不足对全体员工进行通报，同时进行安全技能和安全意识教育，要求全员提高安全意识和防范能力，要求按章作业，坚决杜绝“三违”行为，预防事故的发生，并明确常态化的安全培训每月至少一次全员安全培训，班组不定期培训情况，公司安全管理要进行检查，确保安全培训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未及时消除施工现场安全事故隐患</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组织开展全方位的隐患排查整改活动。组织公司各部门科室相关人员开展一次全方位的隐患排查工作，隐患排查工作从严从细，不留死角，从现场管理制度的完善，从员工思想到队伍建设，供应商的评价进行全面的排查，排查出的问题形成决议，明确责任，限期进行整改，并对整改结果进行检查通报，纳入考核。</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开展现场危险源辨识和整改工作。对即将开工或复工的项目以及生产运营点开展一次风险源辨识工作，不走过场，不走形式，必须认真严肃对待，查找员工身边潜在的危险隐患，制定有效的预防措施，并形成文件组织员工进行学习，将事故消除在萌芽状态，给员工创造一个安全的工作环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3、开展多部门的联合检查活动，查制度，查管理，查隐患，查整改，通过检查不断完善公司安全管理制度，让员工牢牢树立“安全第一，预防为主”思想不放松。</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22"/>
                <w:szCs w:val="22"/>
              </w:rPr>
            </w:pPr>
            <w:r>
              <w:rPr>
                <w:rFonts w:hint="eastAsia" w:ascii="仿宋_GB2312" w:hAnsi="仿宋_GB2312" w:eastAsia="仿宋_GB2312" w:cs="仿宋_GB2312"/>
                <w:sz w:val="24"/>
                <w:szCs w:val="24"/>
              </w:rPr>
              <w:t>4、针对此事故发生项目，组织各部门对维修工艺、施工方案、施工工序、危险源辨识、应急措施等进行讨论，彻底的将施工可能存在的风险挖掘并制定措施进行避免，如果项目中存在风险决不复工。同时严格施工设计、施工方案等审核，所有审核人员必须严格把关，否则将追究相关责任。</w:t>
            </w:r>
          </w:p>
        </w:tc>
      </w:tr>
    </w:tbl>
    <w:p>
      <w:pPr>
        <w:pStyle w:val="2"/>
        <w:spacing w:before="0" w:after="0" w:line="560" w:lineRule="exact"/>
        <w:ind w:firstLine="642" w:firstLineChars="200"/>
        <w:rPr>
          <w:rFonts w:ascii="宋体" w:hAnsi="宋体"/>
        </w:rPr>
      </w:pPr>
      <w:bookmarkStart w:id="8" w:name="_Toc120697275"/>
      <w:bookmarkStart w:id="9" w:name="_Toc90553614"/>
      <w:r>
        <w:rPr>
          <w:rFonts w:hint="eastAsia" w:ascii="黑体" w:hAnsi="黑体" w:eastAsia="黑体" w:cs="黑体"/>
          <w:sz w:val="32"/>
          <w:szCs w:val="32"/>
        </w:rPr>
        <w:t>六、标准、规范的修订完善情况</w:t>
      </w:r>
      <w:bookmarkEnd w:id="8"/>
      <w:bookmarkEnd w:id="9"/>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企业修订完善了《安全生产责任制管理制度》并已发布实施。</w:t>
      </w:r>
    </w:p>
    <w:p>
      <w:pPr>
        <w:pStyle w:val="2"/>
        <w:spacing w:before="0" w:after="0" w:line="560" w:lineRule="exact"/>
        <w:ind w:firstLine="642" w:firstLineChars="200"/>
      </w:pPr>
      <w:r>
        <w:rPr>
          <w:rFonts w:hint="eastAsia" w:ascii="黑体" w:hAnsi="黑体" w:eastAsia="黑体" w:cs="黑体"/>
          <w:sz w:val="32"/>
          <w:szCs w:val="32"/>
        </w:rPr>
        <w:t>七、评估结论</w:t>
      </w:r>
      <w:bookmarkEnd w:id="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评估组通过事故调查报告、资料核查等工作，得出以下核查评估结果：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事故责任单位已</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善后处理赔偿工作。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事故责任单位已基本按照事故调查报告和行业主管部门整改</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落实相关整改工作。</w:t>
      </w:r>
    </w:p>
    <w:p>
      <w:pPr>
        <w:pStyle w:val="2"/>
        <w:spacing w:before="0" w:after="0" w:line="560" w:lineRule="exact"/>
        <w:ind w:firstLine="642" w:firstLineChars="200"/>
      </w:pPr>
      <w:bookmarkStart w:id="10" w:name="_Toc90561297"/>
      <w:r>
        <w:rPr>
          <w:rFonts w:hint="eastAsia" w:ascii="黑体" w:hAnsi="黑体" w:eastAsia="黑体" w:cs="黑体"/>
          <w:sz w:val="32"/>
          <w:szCs w:val="32"/>
        </w:rPr>
        <w:t>八、意见和建议</w:t>
      </w:r>
      <w:bookmarkEnd w:id="10"/>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kern w:val="2"/>
          <w:sz w:val="32"/>
          <w:szCs w:val="32"/>
          <w:lang w:val="en-US" w:eastAsia="zh-CN" w:bidi="ar-SA"/>
        </w:rPr>
        <w:t>（一）</w:t>
      </w:r>
      <w:r>
        <w:rPr>
          <w:rFonts w:hint="eastAsia" w:ascii="仿宋_GB2312" w:hAnsi="仿宋_GB2312" w:eastAsia="仿宋_GB2312" w:cs="仿宋_GB2312"/>
          <w:sz w:val="32"/>
          <w:szCs w:val="32"/>
          <w:lang w:val="en-US" w:eastAsia="zh-CN"/>
        </w:rPr>
        <w:t>事</w:t>
      </w:r>
      <w:r>
        <w:rPr>
          <w:rFonts w:hint="eastAsia" w:ascii="仿宋_GB2312" w:hAnsi="仿宋_GB2312" w:eastAsia="仿宋_GB2312" w:cs="仿宋_GB2312"/>
          <w:sz w:val="32"/>
          <w:szCs w:val="32"/>
        </w:rPr>
        <w:t>故责任单位要牢固树立科学发展、安全发展的理念,切实履行安全生产的有关规定,坚守“发展决不能牺牲人的生命为代价”红线,完善企业安全生产责任制内容,严格落实企业安全生产主体责任。</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kern w:val="2"/>
          <w:sz w:val="32"/>
          <w:szCs w:val="32"/>
          <w:lang w:val="en-US" w:eastAsia="zh-CN" w:bidi="ar-SA"/>
        </w:rPr>
        <w:t>（二）</w:t>
      </w:r>
      <w:r>
        <w:rPr>
          <w:rFonts w:hint="eastAsia" w:ascii="仿宋_GB2312" w:hAnsi="仿宋_GB2312" w:eastAsia="仿宋_GB2312" w:cs="仿宋_GB2312"/>
          <w:sz w:val="32"/>
          <w:szCs w:val="32"/>
        </w:rPr>
        <w:t>安全生产事关社会稳定,事关广大人民群众生命财产安全,事故责任单位要从思想上对安全生产工作引起高度重视,切实落实有效措施,全力防范各类事故再次发生。</w:t>
      </w:r>
    </w:p>
    <w:p>
      <w:pPr>
        <w:rPr>
          <w:rFonts w:ascii="宋体" w:hAnsi="宋体" w:cs="宋体"/>
          <w:sz w:val="28"/>
          <w:szCs w:val="28"/>
        </w:rPr>
      </w:pPr>
    </w:p>
    <w:p>
      <w:pPr>
        <w:spacing w:line="560" w:lineRule="exact"/>
        <w:jc w:val="center"/>
        <w:rPr>
          <w:rFonts w:ascii="仿宋_GB2312" w:hAnsi="仿宋_GB2312" w:eastAsia="仿宋_GB2312" w:cs="仿宋_GB2312"/>
          <w:sz w:val="32"/>
          <w:szCs w:val="32"/>
        </w:rPr>
      </w:pPr>
      <w:r>
        <w:rPr>
          <w:rFonts w:hint="eastAsia" w:ascii="宋体" w:hAnsi="宋体" w:cs="宋体"/>
          <w:sz w:val="28"/>
          <w:szCs w:val="28"/>
        </w:rPr>
        <w:t xml:space="preserve">                    </w:t>
      </w:r>
      <w:r>
        <w:rPr>
          <w:rFonts w:hint="eastAsia" w:ascii="仿宋_GB2312" w:hAnsi="仿宋_GB2312" w:eastAsia="仿宋_GB2312" w:cs="仿宋_GB2312"/>
          <w:sz w:val="32"/>
          <w:szCs w:val="32"/>
        </w:rPr>
        <w:t xml:space="preserve"> 上海富赣建筑工程有限公司     </w:t>
      </w: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“2021.4.22”高处坠落死亡事故评估组</w:t>
      </w: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2022年4月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0ZjcyMDE1OTNjMTEzZTc3OTgxMTEyNmI5MzBkNmEifQ=="/>
  </w:docVars>
  <w:rsids>
    <w:rsidRoot w:val="3B5748EA"/>
    <w:rsid w:val="00790F4B"/>
    <w:rsid w:val="007B7721"/>
    <w:rsid w:val="00E1298F"/>
    <w:rsid w:val="00FC3235"/>
    <w:rsid w:val="1CD91AC7"/>
    <w:rsid w:val="39BF9192"/>
    <w:rsid w:val="3B5748EA"/>
    <w:rsid w:val="3BF72684"/>
    <w:rsid w:val="6FBF4F06"/>
    <w:rsid w:val="77F34388"/>
    <w:rsid w:val="7FA733FF"/>
    <w:rsid w:val="DF7B935B"/>
    <w:rsid w:val="EB7F4A7F"/>
    <w:rsid w:val="EDFE058F"/>
    <w:rsid w:val="FF7FD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等线 Light" w:hAnsi="等线 Light" w:eastAsia="等线 Light"/>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页脚 字符"/>
    <w:basedOn w:val="7"/>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340</Words>
  <Characters>1939</Characters>
  <Lines>16</Lines>
  <Paragraphs>4</Paragraphs>
  <TotalTime>0</TotalTime>
  <ScaleCrop>false</ScaleCrop>
  <LinksUpToDate>false</LinksUpToDate>
  <CharactersWithSpaces>2275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2023-02-02T01:39:00Z</dcterms:created>
  <dc:creator>WPS_1649229312</dc:creator>
  <cp:lastModifiedBy>mh</cp:lastModifiedBy>
  <dcterms:modified xsi:type="dcterms:W3CDTF">2023-02-09T17:27:16Z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7F61BA6A38FB4F4A899F67097BEDE5B4</vt:lpwstr>
  </property>
</Properties>
</file>