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90" w:lineRule="auto"/>
      </w:pPr>
    </w:p>
    <w:p>
      <w:pPr>
        <w:spacing w:line="290" w:lineRule="auto"/>
      </w:pPr>
    </w:p>
    <w:p>
      <w:pPr>
        <w:spacing w:line="290" w:lineRule="auto"/>
      </w:pPr>
    </w:p>
    <w:p>
      <w:pPr>
        <w:spacing w:line="290" w:lineRule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/>
        </w:rPr>
        <w:t>上海鹤洋工贸公司“5 ·23”机械伤害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kern w:val="2"/>
          <w:sz w:val="44"/>
          <w:szCs w:val="44"/>
          <w:highlight w:val="none"/>
          <w:lang w:val="en-US" w:eastAsia="zh-CN"/>
        </w:rPr>
        <w:t>一般事故整改和防范措施落实情况评估报告</w:t>
      </w:r>
    </w:p>
    <w:p>
      <w:pPr>
        <w:spacing w:line="251" w:lineRule="auto"/>
        <w:rPr>
          <w:lang w:eastAsia="zh-CN"/>
        </w:rPr>
      </w:pPr>
    </w:p>
    <w:p>
      <w:pPr>
        <w:spacing w:line="251" w:lineRule="auto"/>
        <w:rPr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2023年5月23日上午，上海市青浦区外青松公路2657号上海鹤洋工贸有限公司处，一名行人(陆全娥,女，上海人，87岁)进入货梯间捡拾垃圾时，被下降的货梯挤压致死。事故造成1人死亡，直接经济损失约人民币53.5万元整。事发后，上海市青浦区应急管理局会同相关部门依法开展事故调查，形成《上海鹤洋工贸公司“5·23”机械伤害一般事故调查报告》（以下简称事故调查报告）并报经青浦区人民政府批复同意。根据《中华人民共和国安全生产法》《生产安全事故报告和调查处理条例》《上海市实施〈生产安全事故报告和调查处理条例〉的若干规定》《生产安全事故防范和整改措施落实情况评估办法》等有关规定，青浦区应急管理局牵头会同相关部门成立评估组，于2024年4月22日至6月14日开展事故整改和防范措施落实情况评估，形成本评估报告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leftChars="0" w:firstLine="632" w:firstLineChars="200"/>
        <w:outlineLvl w:val="0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3"/>
          <w:position w:val="1"/>
          <w:sz w:val="31"/>
          <w:szCs w:val="31"/>
          <w:lang w:eastAsia="zh-CN"/>
        </w:rPr>
        <w:t>一、基本情况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按照“谁牵头调查，谁组织评估”原则，青浦区应急管理局、公安青浦分局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、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区总工会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、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白鹤镇人民政府组成上海鹤洋工贸公司“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val="en-US" w:eastAsia="zh-CN"/>
        </w:rPr>
        <w:t>5 ·23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”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机械伤害一般事故整改和防范措施落实情况评估组（以下简称评估组），委托上海欣企安全生产服务咨询有限公司及相关专家参与评估。</w:t>
      </w:r>
      <w:bookmarkStart w:id="0" w:name="_GoBack"/>
      <w:bookmarkEnd w:id="0"/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按照“科学严谨，依法依规，实事求是，注重实效”的原则评估组对照事故调查报告及批复，听取工作汇报，查阅台账资料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，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通过座谈问询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、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走访核查事发现场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，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逐项核查事故相关单位责任追究、整改和防范措施落实等情况，并结合专家意见，进行了综合评估并提出工作建议。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20" w:firstLineChars="200"/>
        <w:jc w:val="left"/>
        <w:textAlignment w:val="baseline"/>
        <w:outlineLvl w:val="0"/>
        <w:rPr>
          <w:rFonts w:hint="eastAsia" w:ascii="黑体" w:hAnsi="黑体" w:eastAsia="黑体" w:cs="黑体"/>
          <w:kern w:val="0"/>
          <w:position w:val="1"/>
          <w:sz w:val="31"/>
          <w:szCs w:val="31"/>
          <w:lang w:eastAsia="zh-CN"/>
        </w:rPr>
      </w:pPr>
      <w:r>
        <w:rPr>
          <w:rFonts w:ascii="黑体" w:hAnsi="黑体" w:eastAsia="黑体" w:cs="黑体"/>
          <w:kern w:val="0"/>
          <w:position w:val="1"/>
          <w:sz w:val="31"/>
          <w:szCs w:val="31"/>
          <w:lang w:eastAsia="zh-CN"/>
        </w:rPr>
        <w:t>二、事故处理落实情况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行政处罚落实情况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2023年8月30日，上海市青浦区应急管理局按照事故责任认定及处理建议，对事故责任单位上海鹤洋工贸公司作出罚款31万元的行政处罚决定；对事故责任人上海海鹤洋工贸公司法定代表人韩全荣作出罚款3.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val="en-US" w:eastAsia="zh-CN"/>
        </w:rPr>
        <w:t>0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4万元的行政处罚决定。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以上行政处罚均已执行。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企业按有关规章制度处理落实情况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40" w:firstLineChars="200"/>
        <w:jc w:val="left"/>
        <w:textAlignment w:val="baseline"/>
        <w:outlineLvl w:val="0"/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韩全荣，上海鹤洋工贸公司法定代表人，公司给予其警告处分，并扣除全年安全生产奖。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620" w:firstLineChars="200"/>
        <w:jc w:val="left"/>
        <w:textAlignment w:val="baseline"/>
        <w:outlineLvl w:val="0"/>
        <w:rPr>
          <w:rFonts w:hint="eastAsia"/>
          <w:lang w:eastAsia="zh-CN"/>
        </w:rPr>
      </w:pPr>
      <w:r>
        <w:rPr>
          <w:rFonts w:ascii="黑体" w:hAnsi="黑体" w:eastAsia="黑体" w:cs="黑体"/>
          <w:kern w:val="0"/>
          <w:position w:val="1"/>
          <w:sz w:val="31"/>
          <w:szCs w:val="31"/>
          <w:lang w:eastAsia="zh-CN"/>
        </w:rPr>
        <w:t>三、事故整改措施落实情况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（一）上海鹤洋工贸公司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（1）对升降机加装联动装置，升降机所到达的楼层，其对应的卷帘门才能打开，其余楼层升降机的卷帘门均无法打开。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（2）升降机只要从底楼升起，联动安全门就会落下拦在底楼升降停驻处，排除了升降机上升后人员进入升降机底部的隐患。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（3）底楼升降机外另加卷帘门，进行双道防护。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（4）重新编写升降机操作规程，并对全体使用人员进行培训教育及考核。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（5）指定升降机专人负责制，定期维护保养及日常点检记录。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（6）对厂内消防通道，消防设施，用电安全等进行了全面检查和整改。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（7）与承租企业重新签订安全管理协议，明确各自安全职责。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4153"/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1" w:firstLineChars="200"/>
        <w:jc w:val="both"/>
        <w:textAlignment w:val="auto"/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CESI楷体-GB2312" w:cs="黑体"/>
          <w:b/>
          <w:bCs/>
          <w:snapToGrid/>
          <w:kern w:val="2"/>
          <w:sz w:val="32"/>
          <w:szCs w:val="32"/>
          <w:lang w:val="en-US" w:eastAsia="zh-CN"/>
        </w:rPr>
        <w:t>（二）白鹤镇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1）针对该企业强化排查整改，切实消除安全事故隐患。要求点位内涉及企业停工停产，开展兜底式隐患排查整治，针对企业存在的问题，向企业作出责令限期整改指令，整改完成后，由镇安委办进行核实，通过方可复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（2）要求该企业房东立即建立健全安全生产规章制度该企业先后制定了《全员安全生产责任制度》、《安全生产教育培训制度及计划》、《设备安全生产操作规程》、《生产安全事故应急救援预案》等制度。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（3）帮扶该企业开展安全生产教育培训。于 2023 年 11月份白鹤镇人民政府召开了生产安全和消防安全大培训，通过安全生产相关法律、法规的宣讲，要求参加培训的企业每月每周组织定期开展相关培训，确保从业人员熟悉有关安全操作规程、掌握安全操作技能，提高自我保护意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（4）严格执行安全技术交底。要求该企业严格按照《升降机安全操作规程》、《安全生产责任制》、《安全生产规章制度》规定要求，针对每家企业员工发放书面安全责任书且应有记录并签字。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5）进一步加强安全检查。对该点位内所有承租单位加强了安全检查频率，确保安全措施落实到位，及时发现安全问题，纠正现场违规操作，消除事故隐患。同时要求相关企业安全员对办公场所、生产车间及设备安全隐患进行排查制定防范措施，及时落实相关方面措施。并且要求定期组织安全检查，杜绝事故发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四、评估结论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评估组按照事故调查报告及其批复要求，经资料审查、现场核查、专业评查，对该起事故处理、整改和防范措施落实情况进行综合评估后认为：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（一）上海鹤洋工贸公司及相关责任人员已履行行政处罚决定。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（二）该起事故相关单位、属地政府及相关部门已实施事故调查报告提出的整改和防范措施。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综上，该起事故处理已全部落实，事故整改措施已全部落实。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五、工作建议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（一）建议企业围绕该起事故暴露的问题，持续完善安全生产基础性工作。对整改难度较大的隐患可分级督办，对暂不具备条件治理的隐患应加强检查、监测，做必要的安全保障措施。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（二）建议企业加强设备设施管理，切实举一反三，对升降机等设备设施做经常性维护保养，并定期安排有资质的专业机构进行检测，确保其安全性能。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（三）建议企业继续严格落实隐患排查治理制度，协助承租企业做好生产安全隐患的定期排查，做好隐患的闭环处理，并建立完善安全检查记录档案。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baseline"/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spacing w:val="0"/>
          <w:w w:val="100"/>
          <w:kern w:val="2"/>
          <w:sz w:val="32"/>
          <w:szCs w:val="32"/>
          <w:lang w:val="en-US" w:eastAsia="zh-CN" w:bidi="ar-SA"/>
        </w:rPr>
        <w:t>（四）建议企业在日常的管理工作中，严格落实安全生产责任制，公司管理人员及安全人员要切实做好作业人员的安全培训教育工作，加强检维修作业的危害分析和控制措施的制定及现场的监督管理，督促作业人员遵守安全管理规定，加大隐患排查力度，及时发现并制止作业过程中动态安全隐患，不断提高人员安全意识和行为，避免事故的发生。</w:t>
      </w:r>
    </w:p>
    <w:p>
      <w:pPr>
        <w:pStyle w:val="3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pStyle w:val="6"/>
        <w:spacing w:before="101" w:line="219" w:lineRule="auto"/>
        <w:ind w:left="2539"/>
        <w:jc w:val="right"/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val="en-US" w:eastAsia="zh-CN"/>
        </w:rPr>
        <w:t>上海鹤洋工贸公司“5·23”机械伤害</w:t>
      </w:r>
    </w:p>
    <w:p>
      <w:pPr>
        <w:pStyle w:val="6"/>
        <w:spacing w:before="101" w:line="219" w:lineRule="auto"/>
        <w:ind w:left="2539"/>
        <w:jc w:val="right"/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一般事故整改和防范措施情况评估组</w:t>
      </w:r>
    </w:p>
    <w:p>
      <w:pPr>
        <w:pStyle w:val="6"/>
        <w:spacing w:before="101" w:line="219" w:lineRule="auto"/>
        <w:ind w:left="2539"/>
        <w:jc w:val="right"/>
        <w:rPr>
          <w:rFonts w:hint="eastAsia" w:ascii="黑体" w:hAnsi="黑体" w:eastAsia="黑体" w:cs="黑体"/>
          <w:spacing w:val="4"/>
          <w:kern w:val="0"/>
          <w:position w:val="1"/>
          <w:sz w:val="31"/>
          <w:szCs w:val="31"/>
          <w:lang w:eastAsia="zh-CN"/>
        </w:rPr>
      </w:pP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</w:rPr>
        <w:t>202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eastAsia="zh-CN"/>
        </w:rPr>
        <w:t>4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val="en-US" w:eastAsia="zh-CN"/>
        </w:rPr>
        <w:t xml:space="preserve"> 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</w:rPr>
        <w:t>年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val="en-US"/>
        </w:rPr>
        <w:t xml:space="preserve"> 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val="en-US" w:eastAsia="zh-CN"/>
        </w:rPr>
        <w:t>6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val="en-US" w:eastAsia="zh-CN"/>
        </w:rPr>
        <w:t xml:space="preserve"> 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</w:rPr>
        <w:t>月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val="en-US"/>
        </w:rPr>
        <w:t xml:space="preserve"> 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val="en-US" w:eastAsia="zh-CN"/>
        </w:rPr>
        <w:t>14</w:t>
      </w:r>
      <w:r>
        <w:rPr>
          <w:rStyle w:val="15"/>
          <w:rFonts w:hint="eastAsia" w:hAnsi="Calibri"/>
          <w:b w:val="0"/>
          <w:i w:val="0"/>
          <w:caps w:val="0"/>
          <w:snapToGrid/>
          <w:color w:val="000000"/>
          <w:spacing w:val="0"/>
          <w:w w:val="100"/>
          <w:szCs w:val="32"/>
          <w:lang w:val="en-US" w:eastAsia="zh-CN"/>
        </w:rPr>
        <w:t xml:space="preserve"> </w:t>
      </w:r>
      <w:r>
        <w:rPr>
          <w:rStyle w:val="15"/>
          <w:rFonts w:hint="eastAsia" w:ascii="仿宋_GB2312" w:hAnsi="Calibri"/>
          <w:b w:val="0"/>
          <w:i w:val="0"/>
          <w:caps w:val="0"/>
          <w:snapToGrid/>
          <w:color w:val="000000"/>
          <w:spacing w:val="0"/>
          <w:w w:val="100"/>
          <w:szCs w:val="32"/>
        </w:rPr>
        <w:t>日</w:t>
      </w:r>
    </w:p>
    <w:sectPr>
      <w:footerReference r:id="rId3" w:type="default"/>
      <w:pgSz w:w="11906" w:h="16839"/>
      <w:pgMar w:top="1431" w:right="1381" w:bottom="1310" w:left="1596" w:header="0" w:footer="1025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汉仪中宋简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B7CA39"/>
    <w:multiLevelType w:val="singleLevel"/>
    <w:tmpl w:val="D7B7CA3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jZjRhZGFhNTU0MzU5ZDI2ZTVmZmJkZjY2M2QxYjQifQ=="/>
  </w:docVars>
  <w:rsids>
    <w:rsidRoot w:val="004E01A2"/>
    <w:rsid w:val="0000461E"/>
    <w:rsid w:val="00047A9F"/>
    <w:rsid w:val="000936C8"/>
    <w:rsid w:val="000B574D"/>
    <w:rsid w:val="00373255"/>
    <w:rsid w:val="003D7244"/>
    <w:rsid w:val="00440DF9"/>
    <w:rsid w:val="0044703C"/>
    <w:rsid w:val="004B0969"/>
    <w:rsid w:val="004E01A2"/>
    <w:rsid w:val="005A0A63"/>
    <w:rsid w:val="00787751"/>
    <w:rsid w:val="007B0CD7"/>
    <w:rsid w:val="00A45644"/>
    <w:rsid w:val="00A81CA9"/>
    <w:rsid w:val="00BF5C2B"/>
    <w:rsid w:val="00C40DF4"/>
    <w:rsid w:val="00C92566"/>
    <w:rsid w:val="00CF4737"/>
    <w:rsid w:val="00D63B98"/>
    <w:rsid w:val="00DC4EC2"/>
    <w:rsid w:val="00DC560E"/>
    <w:rsid w:val="00E04AE5"/>
    <w:rsid w:val="26764394"/>
    <w:rsid w:val="2B56BCFD"/>
    <w:rsid w:val="333F6CAF"/>
    <w:rsid w:val="37BD2B04"/>
    <w:rsid w:val="39DB9A23"/>
    <w:rsid w:val="3EF77239"/>
    <w:rsid w:val="3F375FBA"/>
    <w:rsid w:val="3FA076F0"/>
    <w:rsid w:val="3FBFDAE0"/>
    <w:rsid w:val="5EDBED68"/>
    <w:rsid w:val="5FFFC36C"/>
    <w:rsid w:val="66FBBFDF"/>
    <w:rsid w:val="6E676D2C"/>
    <w:rsid w:val="72EFFCBB"/>
    <w:rsid w:val="7776DAA8"/>
    <w:rsid w:val="77DBF1B6"/>
    <w:rsid w:val="77DF57A1"/>
    <w:rsid w:val="77EF2B7F"/>
    <w:rsid w:val="7CD55C9C"/>
    <w:rsid w:val="7EDF82C0"/>
    <w:rsid w:val="7FBFA630"/>
    <w:rsid w:val="7FDA8FFA"/>
    <w:rsid w:val="7FDECD35"/>
    <w:rsid w:val="7FE590A1"/>
    <w:rsid w:val="7FEF320F"/>
    <w:rsid w:val="7FFD5704"/>
    <w:rsid w:val="7FFFD3D0"/>
    <w:rsid w:val="8AB1520D"/>
    <w:rsid w:val="ABDFD970"/>
    <w:rsid w:val="AC5743D8"/>
    <w:rsid w:val="ADDAB76D"/>
    <w:rsid w:val="AFB345B2"/>
    <w:rsid w:val="B6B2CE05"/>
    <w:rsid w:val="BB8C65E5"/>
    <w:rsid w:val="CFE76CD7"/>
    <w:rsid w:val="DDED5BCB"/>
    <w:rsid w:val="DDFF0438"/>
    <w:rsid w:val="DF71BCA3"/>
    <w:rsid w:val="DFBE38EE"/>
    <w:rsid w:val="DFFE41D2"/>
    <w:rsid w:val="E37F327A"/>
    <w:rsid w:val="ED7BE995"/>
    <w:rsid w:val="EE7E3D6D"/>
    <w:rsid w:val="F7F721E2"/>
    <w:rsid w:val="F97B53F4"/>
    <w:rsid w:val="FBF72BC3"/>
    <w:rsid w:val="FBFD6AB7"/>
    <w:rsid w:val="FD5FC389"/>
    <w:rsid w:val="FDFFD133"/>
    <w:rsid w:val="FF5E09F7"/>
    <w:rsid w:val="FF7FDE65"/>
    <w:rsid w:val="FFB63BAF"/>
    <w:rsid w:val="FFCF87D5"/>
    <w:rsid w:val="FFEC3CF6"/>
    <w:rsid w:val="FFFDB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next w:val="3"/>
    <w:qFormat/>
    <w:uiPriority w:val="0"/>
    <w:pPr>
      <w:jc w:val="right"/>
    </w:pPr>
    <w:rPr>
      <w:rFonts w:ascii="黑体" w:eastAsia="黑体"/>
      <w:sz w:val="44"/>
    </w:rPr>
  </w:style>
  <w:style w:type="paragraph" w:styleId="3">
    <w:name w:val="Body Text First Indent 2"/>
    <w:basedOn w:val="4"/>
    <w:next w:val="1"/>
    <w:unhideWhenUsed/>
    <w:qFormat/>
    <w:uiPriority w:val="0"/>
    <w:pPr>
      <w:spacing w:after="120"/>
      <w:ind w:left="420" w:leftChars="200" w:firstLine="420" w:firstLineChars="200"/>
    </w:pPr>
    <w:rPr>
      <w:rFonts w:hint="default" w:ascii="Calibri" w:hAnsi="Calibri" w:eastAsia="宋体" w:cs="Times New Roman"/>
      <w:sz w:val="21"/>
    </w:rPr>
  </w:style>
  <w:style w:type="paragraph" w:styleId="4">
    <w:name w:val="Body Text Indent"/>
    <w:basedOn w:val="1"/>
    <w:next w:val="5"/>
    <w:qFormat/>
    <w:uiPriority w:val="0"/>
    <w:pPr>
      <w:ind w:leftChars="100"/>
    </w:pPr>
    <w:rPr>
      <w:rFonts w:hint="eastAsia" w:ascii="宋体" w:hAnsi="宋体" w:eastAsia="宋体"/>
      <w:sz w:val="28"/>
      <w:szCs w:val="24"/>
    </w:r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 w:eastAsia="仿宋" w:cs="Times New Roman"/>
      <w:sz w:val="32"/>
    </w:rPr>
  </w:style>
  <w:style w:type="paragraph" w:styleId="6">
    <w:name w:val="Body Text"/>
    <w:basedOn w:val="1"/>
    <w:semiHidden/>
    <w:qFormat/>
    <w:uiPriority w:val="0"/>
    <w:rPr>
      <w:rFonts w:ascii="仿宋_GB2312" w:hAnsi="仿宋_GB2312" w:eastAsia="仿宋_GB2312" w:cs="仿宋_GB2312"/>
      <w:sz w:val="31"/>
      <w:szCs w:val="31"/>
    </w:r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页眉 字符"/>
    <w:basedOn w:val="10"/>
    <w:link w:val="8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3">
    <w:name w:val="页脚 字符"/>
    <w:basedOn w:val="10"/>
    <w:link w:val="7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NormalCharacter"/>
    <w:qFormat/>
    <w:uiPriority w:val="0"/>
    <w:rPr>
      <w:rFonts w:ascii="等线" w:hAnsi="等线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350</Words>
  <Characters>1999</Characters>
  <Lines>16</Lines>
  <Paragraphs>4</Paragraphs>
  <TotalTime>7</TotalTime>
  <ScaleCrop>false</ScaleCrop>
  <LinksUpToDate>false</LinksUpToDate>
  <CharactersWithSpaces>2345</CharactersWithSpaces>
  <Application>WPS Office_11.8.2.10251_F1E327BC-269C-435d-A152-05C5408002CA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2024-10-22T23:29:00Z</dcterms:created>
  <dc:creator>ms</dc:creator>
  <cp:lastModifiedBy>yjj-503</cp:lastModifiedBy>
  <cp:lastPrinted>2024-11-05T09:50:20Z</cp:lastPrinted>
  <dcterms:modified xsi:type="dcterms:W3CDTF">2024-11-05T09:57:45Z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2024-10-08T14:12:57Z</vt:filetime>
  </property>
  <property fmtid="{D5CDD505-2E9C-101B-9397-08002B2CF9AE}" pid="4" name="KSOProductBuildVer">
    <vt:lpwstr>2052-11.8.2.10251</vt:lpwstr>
  </property>
  <property fmtid="{D5CDD505-2E9C-101B-9397-08002B2CF9AE}" pid="5" name="ICV">
    <vt:lpwstr>470CCB2971BE4280A4FBD44C2BD2C97D_12</vt:lpwstr>
  </property>
</Properties>
</file>