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heme="minorEastAsia" w:hAnsiTheme="minorEastAsia" w:eastAsiaTheme="minorEastAsia" w:cstheme="minorEastAsia"/>
          <w:b w:val="0"/>
          <w:bCs w:val="0"/>
          <w:snapToGrid/>
          <w:color w:val="auto"/>
          <w:kern w:val="2"/>
          <w:sz w:val="21"/>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上海诚贾再生资源有限公司“5·6”机械伤害</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5月6日18时许，上海市青浦区华新镇嘉松中路518号厂区内2号厂房处，上海诚贾再生资源有限公司一名工作人员（刘元听，男，贵州人，48岁）在操作打包机时，擅自进入打包机料斗，在料斗内被设备挤压致死。事故造成1人死亡。</w:t>
      </w:r>
      <w:r>
        <w:rPr>
          <w:rStyle w:val="12"/>
          <w:rFonts w:ascii="仿宋_GB2312" w:hAnsi="Calibri" w:eastAsia="仿宋_GB2312" w:cs="Times New Roman"/>
          <w:snapToGrid/>
          <w:kern w:val="2"/>
          <w:sz w:val="32"/>
          <w:szCs w:val="32"/>
          <w:lang w:eastAsia="zh-CN"/>
        </w:rPr>
        <w:t>直接经济损失约人民币</w:t>
      </w:r>
      <w:r>
        <w:rPr>
          <w:rStyle w:val="12"/>
          <w:rFonts w:hint="eastAsia" w:ascii="仿宋_GB2312" w:hAnsi="Calibri" w:eastAsia="仿宋_GB2312" w:cs="Times New Roman"/>
          <w:snapToGrid/>
          <w:kern w:val="2"/>
          <w:sz w:val="32"/>
          <w:szCs w:val="32"/>
          <w:lang w:eastAsia="zh-CN"/>
        </w:rPr>
        <w:t>240</w:t>
      </w:r>
      <w:r>
        <w:rPr>
          <w:rStyle w:val="12"/>
          <w:rFonts w:ascii="仿宋_GB2312" w:hAnsi="Calibri" w:eastAsia="仿宋_GB2312" w:cs="Times New Roman"/>
          <w:snapToGrid/>
          <w:kern w:val="2"/>
          <w:sz w:val="32"/>
          <w:szCs w:val="32"/>
          <w:lang w:eastAsia="zh-CN"/>
        </w:rPr>
        <w:t>万元整</w:t>
      </w:r>
      <w:r>
        <w:rPr>
          <w:rStyle w:val="12"/>
          <w:rFonts w:hint="eastAsia" w:ascii="仿宋_GB2312" w:hAnsi="Calibri" w:eastAsia="仿宋_GB2312" w:cs="Times New Roman"/>
          <w:snapToGrid/>
          <w:kern w:val="2"/>
          <w:sz w:val="32"/>
          <w:szCs w:val="32"/>
          <w:lang w:eastAsia="zh-CN"/>
        </w:rPr>
        <w:t>。</w:t>
      </w:r>
      <w:r>
        <w:rPr>
          <w:rStyle w:val="12"/>
          <w:rFonts w:ascii="仿宋_GB2312" w:hAnsi="Calibri" w:eastAsia="仿宋_GB2312" w:cs="Times New Roman"/>
          <w:snapToGrid/>
          <w:kern w:val="2"/>
          <w:sz w:val="32"/>
          <w:szCs w:val="32"/>
          <w:lang w:eastAsia="zh-CN"/>
        </w:rPr>
        <w:t>事发后，上海市</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应急管理局会同相关部门依法开展事故调查，形成《</w:t>
      </w:r>
      <w:r>
        <w:rPr>
          <w:rStyle w:val="12"/>
          <w:rFonts w:hint="eastAsia" w:ascii="仿宋_GB2312" w:hAnsi="Calibri" w:eastAsia="仿宋_GB2312" w:cs="Times New Roman"/>
          <w:snapToGrid/>
          <w:kern w:val="2"/>
          <w:sz w:val="32"/>
          <w:szCs w:val="32"/>
          <w:lang w:eastAsia="zh-CN"/>
        </w:rPr>
        <w:t>青浦华新上海诚贾再生资源</w:t>
      </w:r>
      <w:r>
        <w:rPr>
          <w:rStyle w:val="12"/>
          <w:rFonts w:ascii="仿宋_GB2312" w:hAnsi="Calibri" w:eastAsia="仿宋_GB2312" w:cs="Times New Roman"/>
          <w:snapToGrid/>
          <w:kern w:val="2"/>
          <w:sz w:val="32"/>
          <w:szCs w:val="32"/>
          <w:lang w:eastAsia="zh-CN"/>
        </w:rPr>
        <w:t>有限公司</w:t>
      </w:r>
      <w:r>
        <w:rPr>
          <w:rStyle w:val="12"/>
          <w:rFonts w:hint="eastAsia" w:ascii="仿宋_GB2312" w:hAnsi="Calibri" w:eastAsia="仿宋_GB2312" w:cs="Times New Roman"/>
          <w:snapToGrid/>
          <w:kern w:val="2"/>
          <w:sz w:val="32"/>
          <w:szCs w:val="32"/>
          <w:lang w:eastAsia="zh-CN"/>
        </w:rPr>
        <w:t>“5·6</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高处坠落一般</w:t>
      </w:r>
      <w:r>
        <w:rPr>
          <w:rStyle w:val="12"/>
          <w:rFonts w:ascii="仿宋_GB2312" w:hAnsi="Calibri" w:eastAsia="仿宋_GB2312" w:cs="Times New Roman"/>
          <w:snapToGrid/>
          <w:kern w:val="2"/>
          <w:sz w:val="32"/>
          <w:szCs w:val="32"/>
          <w:lang w:eastAsia="zh-CN"/>
        </w:rPr>
        <w:t>事故调查报告》（以下简称事故调查报告）并报经</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人</w:t>
      </w:r>
      <w:r>
        <w:rPr>
          <w:rStyle w:val="12"/>
          <w:rFonts w:hint="eastAsia" w:ascii="仿宋_GB2312" w:hAnsi="Calibri" w:eastAsia="仿宋_GB2312" w:cs="Times New Roman"/>
          <w:snapToGrid/>
          <w:kern w:val="2"/>
          <w:sz w:val="32"/>
          <w:szCs w:val="32"/>
          <w:lang w:eastAsia="zh-CN"/>
        </w:rPr>
        <w:t>民</w:t>
      </w:r>
      <w:r>
        <w:rPr>
          <w:rStyle w:val="12"/>
          <w:rFonts w:ascii="仿宋_GB2312" w:hAnsi="Calibri" w:eastAsia="仿宋_GB2312" w:cs="Times New Roman"/>
          <w:snapToGrid/>
          <w:kern w:val="2"/>
          <w:sz w:val="32"/>
          <w:szCs w:val="32"/>
          <w:lang w:eastAsia="zh-CN"/>
        </w:rPr>
        <w:t>政府批复同意。根据《中华人民共和国安全生产法》《生产安全事故报告和调查处理条例》《上海市实施〈生产安全事故报告和调查处理条例〉的若干规定》《生产安全事故防范和整改措施落实情况评估办法》等有关规定，</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应急管理局牵头会同相关部门成立评估组，于202</w:t>
      </w:r>
      <w:r>
        <w:rPr>
          <w:rStyle w:val="12"/>
          <w:rFonts w:hint="eastAsia" w:ascii="仿宋_GB2312" w:hAnsi="Calibri" w:eastAsia="仿宋_GB2312" w:cs="Times New Roman"/>
          <w:snapToGrid/>
          <w:kern w:val="2"/>
          <w:sz w:val="32"/>
          <w:szCs w:val="32"/>
          <w:lang w:eastAsia="zh-CN"/>
        </w:rPr>
        <w:t>4</w:t>
      </w:r>
      <w:r>
        <w:rPr>
          <w:rStyle w:val="12"/>
          <w:rFonts w:ascii="仿宋_GB2312" w:hAnsi="Calibri" w:eastAsia="仿宋_GB2312" w:cs="Times New Roman"/>
          <w:snapToGrid/>
          <w:kern w:val="2"/>
          <w:sz w:val="32"/>
          <w:szCs w:val="32"/>
          <w:lang w:eastAsia="zh-CN"/>
        </w:rPr>
        <w:t>年</w:t>
      </w:r>
      <w:r>
        <w:rPr>
          <w:rStyle w:val="12"/>
          <w:rFonts w:hint="eastAsia" w:ascii="仿宋_GB2312" w:hAnsi="Calibri" w:eastAsia="仿宋_GB2312" w:cs="Times New Roman"/>
          <w:snapToGrid/>
          <w:kern w:val="2"/>
          <w:sz w:val="32"/>
          <w:szCs w:val="32"/>
          <w:lang w:eastAsia="zh-CN"/>
        </w:rPr>
        <w:t>11</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1</w:t>
      </w:r>
      <w:r>
        <w:rPr>
          <w:rStyle w:val="12"/>
          <w:rFonts w:ascii="仿宋_GB2312" w:hAnsi="Calibri" w:eastAsia="仿宋_GB2312" w:cs="Times New Roman"/>
          <w:snapToGrid/>
          <w:kern w:val="2"/>
          <w:sz w:val="32"/>
          <w:szCs w:val="32"/>
          <w:lang w:eastAsia="zh-CN"/>
        </w:rPr>
        <w:t>日至</w:t>
      </w:r>
      <w:r>
        <w:rPr>
          <w:rStyle w:val="12"/>
          <w:rFonts w:hint="eastAsia" w:ascii="仿宋_GB2312" w:hAnsi="Calibri" w:eastAsia="仿宋_GB2312" w:cs="Times New Roman"/>
          <w:snapToGrid/>
          <w:kern w:val="2"/>
          <w:sz w:val="32"/>
          <w:szCs w:val="32"/>
          <w:lang w:eastAsia="zh-CN"/>
        </w:rPr>
        <w:t>11</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19</w:t>
      </w:r>
      <w:r>
        <w:rPr>
          <w:rStyle w:val="12"/>
          <w:rFonts w:ascii="仿宋_GB2312" w:hAnsi="Calibri" w:eastAsia="仿宋_GB2312" w:cs="Times New Roman"/>
          <w:snapToGrid/>
          <w:kern w:val="2"/>
          <w:sz w:val="32"/>
          <w:szCs w:val="32"/>
          <w:lang w:eastAsia="zh-CN"/>
        </w:rPr>
        <w:t>日开展事故整改和防范措施落实情况评估，形成本评估报</w:t>
      </w:r>
      <w:r>
        <w:rPr>
          <w:rStyle w:val="12"/>
          <w:rFonts w:hint="eastAsia" w:ascii="仿宋_GB2312" w:hAnsi="Calibri" w:eastAsia="仿宋_GB2312" w:cs="Times New Roman"/>
          <w:snapToGrid/>
          <w:kern w:val="2"/>
          <w:sz w:val="32"/>
          <w:szCs w:val="32"/>
          <w:lang w:eastAsia="zh-CN"/>
        </w:rPr>
        <w:t>告</w:t>
      </w:r>
      <w:r>
        <w:rPr>
          <w:rStyle w:val="12"/>
          <w:rFonts w:ascii="仿宋_GB2312" w:hAnsi="Calibri" w:eastAsia="仿宋_GB2312" w:cs="Times New Roman"/>
          <w:snapToGrid/>
          <w:kern w:val="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按照“谁牵头调查，谁组织评估”原则，区应急管理局会同公安青浦分局、区总工会、华新镇人民政府组成青浦华新上海诚贾再生资源有限公司“5·6”机械伤害一般事故整改和防范措施落实情况评估组（以下简称评估组），委托上海欣企安全生产咨询服务有限公司及相关专家参与评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事故处理落实情况 </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0"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pStyle w:val="6"/>
        <w:keepNext w:val="0"/>
        <w:keepLines w:val="0"/>
        <w:pageBreakBefore w:val="0"/>
        <w:wordWrap/>
        <w:overflowPunct/>
        <w:topLinePunct w:val="0"/>
        <w:bidi w:val="0"/>
        <w:spacing w:line="560" w:lineRule="exact"/>
        <w:ind w:left="0" w:leftChars="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color w:val="000000"/>
          <w:kern w:val="2"/>
          <w:sz w:val="32"/>
          <w:szCs w:val="32"/>
          <w:lang w:val="en-US" w:eastAsia="zh-CN" w:bidi="ar-SA"/>
        </w:rPr>
        <w:t>2024年9月9日，上海市青浦区应急管理局（以下简称区应急管理局）按照事故责任认定及处理建议</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对事故责任单位上海诚贾再生资源有限公司</w:t>
      </w:r>
      <w:r>
        <w:rPr>
          <w:rStyle w:val="12"/>
          <w:rFonts w:hint="eastAsia" w:ascii="仿宋_GB2312" w:hAnsi="Calibri" w:eastAsia="仿宋_GB2312" w:cs="Times New Roman"/>
          <w:snapToGrid/>
          <w:kern w:val="2"/>
          <w:sz w:val="32"/>
          <w:szCs w:val="32"/>
          <w:lang w:eastAsia="zh-CN"/>
        </w:rPr>
        <w:t>作出罚款</w:t>
      </w:r>
      <w:r>
        <w:rPr>
          <w:rStyle w:val="12"/>
          <w:rFonts w:hint="eastAsia" w:hAnsi="Calibri" w:cs="Times New Roman"/>
          <w:snapToGrid/>
          <w:kern w:val="2"/>
          <w:sz w:val="32"/>
          <w:szCs w:val="32"/>
          <w:lang w:val="en-US" w:eastAsia="zh-CN"/>
        </w:rPr>
        <w:t>50</w:t>
      </w:r>
      <w:r>
        <w:rPr>
          <w:rStyle w:val="12"/>
          <w:rFonts w:hint="eastAsia" w:ascii="仿宋_GB2312" w:hAnsi="Calibri" w:eastAsia="仿宋_GB2312" w:cs="Times New Roman"/>
          <w:snapToGrid/>
          <w:kern w:val="2"/>
          <w:sz w:val="32"/>
          <w:szCs w:val="32"/>
          <w:lang w:eastAsia="zh-CN"/>
        </w:rPr>
        <w:t>万元的行政处罚决定</w:t>
      </w:r>
      <w:r>
        <w:rPr>
          <w:rStyle w:val="12"/>
          <w:rFonts w:hint="eastAsia" w:ascii="仿宋_GB2312" w:hAnsi="Calibri" w:eastAsia="仿宋_GB2312" w:cs="Times New Roman"/>
          <w:snapToGrid/>
          <w:color w:val="000000"/>
          <w:kern w:val="2"/>
          <w:sz w:val="32"/>
          <w:szCs w:val="32"/>
          <w:lang w:val="en-US" w:eastAsia="zh-CN" w:bidi="ar-SA"/>
        </w:rPr>
        <w:t>；</w:t>
      </w:r>
      <w:r>
        <w:rPr>
          <w:rStyle w:val="12"/>
          <w:rFonts w:hint="eastAsia" w:ascii="仿宋_GB2312" w:hAnsi="Calibri" w:eastAsia="仿宋_GB2312" w:cs="Times New Roman"/>
          <w:snapToGrid/>
          <w:kern w:val="2"/>
          <w:sz w:val="32"/>
          <w:szCs w:val="32"/>
          <w:lang w:eastAsia="zh-CN"/>
        </w:rPr>
        <w:t>对事故责任人</w:t>
      </w:r>
      <w:r>
        <w:rPr>
          <w:rStyle w:val="12"/>
          <w:rFonts w:hint="eastAsia" w:ascii="仿宋_GB2312" w:hAnsi="Calibri" w:eastAsia="仿宋_GB2312" w:cs="Times New Roman"/>
          <w:snapToGrid/>
          <w:color w:val="000000"/>
          <w:kern w:val="2"/>
          <w:sz w:val="32"/>
          <w:szCs w:val="32"/>
          <w:lang w:val="en-US" w:eastAsia="zh-CN" w:bidi="ar-SA"/>
        </w:rPr>
        <w:t>上海诚贾再生资源有限公司负责人李艳、上海诚贾再生资源有限公司总经理陈德建</w:t>
      </w:r>
      <w:r>
        <w:rPr>
          <w:rStyle w:val="12"/>
          <w:rFonts w:hint="eastAsia" w:ascii="仿宋_GB2312" w:hAnsi="Calibri" w:eastAsia="仿宋_GB2312" w:cs="Times New Roman"/>
          <w:snapToGrid/>
          <w:kern w:val="2"/>
          <w:sz w:val="32"/>
          <w:szCs w:val="32"/>
          <w:lang w:val="en-US" w:eastAsia="zh-CN"/>
        </w:rPr>
        <w:t>分别</w:t>
      </w:r>
      <w:r>
        <w:rPr>
          <w:rStyle w:val="12"/>
          <w:rFonts w:hint="eastAsia" w:ascii="仿宋_GB2312" w:hAnsi="Calibri" w:eastAsia="仿宋_GB2312" w:cs="Times New Roman"/>
          <w:snapToGrid/>
          <w:kern w:val="2"/>
          <w:sz w:val="32"/>
          <w:szCs w:val="32"/>
          <w:lang w:eastAsia="zh-CN"/>
        </w:rPr>
        <w:t>作出罚款</w:t>
      </w:r>
      <w:r>
        <w:rPr>
          <w:rStyle w:val="12"/>
          <w:rFonts w:hint="eastAsia" w:ascii="仿宋_GB2312" w:hAnsi="Calibri" w:eastAsia="仿宋_GB2312" w:cs="Times New Roman"/>
          <w:snapToGrid/>
          <w:color w:val="000000"/>
          <w:kern w:val="2"/>
          <w:sz w:val="32"/>
          <w:szCs w:val="32"/>
          <w:lang w:val="en-US" w:eastAsia="zh-CN" w:bidi="ar-SA"/>
        </w:rPr>
        <w:t>24000元</w:t>
      </w:r>
      <w:r>
        <w:rPr>
          <w:rStyle w:val="12"/>
          <w:rFonts w:hint="eastAsia" w:hAnsi="Calibri" w:cs="Times New Roman"/>
          <w:snapToGrid/>
          <w:color w:val="000000"/>
          <w:kern w:val="2"/>
          <w:sz w:val="32"/>
          <w:szCs w:val="32"/>
          <w:lang w:val="en-US" w:eastAsia="zh-CN" w:bidi="ar-SA"/>
        </w:rPr>
        <w:t>、</w:t>
      </w:r>
      <w:r>
        <w:rPr>
          <w:rStyle w:val="12"/>
          <w:rFonts w:hint="eastAsia" w:ascii="仿宋_GB2312" w:hAnsi="Calibri" w:eastAsia="仿宋_GB2312" w:cs="Times New Roman"/>
          <w:snapToGrid/>
          <w:color w:val="000000"/>
          <w:kern w:val="2"/>
          <w:sz w:val="32"/>
          <w:szCs w:val="32"/>
          <w:lang w:val="en-US" w:eastAsia="zh-CN" w:bidi="ar-SA"/>
        </w:rPr>
        <w:t>24000元</w:t>
      </w:r>
      <w:r>
        <w:rPr>
          <w:rStyle w:val="12"/>
          <w:rFonts w:hint="eastAsia" w:ascii="仿宋_GB2312" w:hAnsi="Calibri" w:eastAsia="仿宋_GB2312" w:cs="Times New Roman"/>
          <w:snapToGrid/>
          <w:kern w:val="2"/>
          <w:sz w:val="32"/>
          <w:szCs w:val="32"/>
          <w:lang w:eastAsia="zh-CN"/>
        </w:rPr>
        <w:t>的行政处罚决定。</w:t>
      </w:r>
    </w:p>
    <w:p>
      <w:pPr>
        <w:pStyle w:val="6"/>
        <w:keepNext w:val="0"/>
        <w:keepLines w:val="0"/>
        <w:pageBreakBefore w:val="0"/>
        <w:wordWrap/>
        <w:overflowPunct/>
        <w:topLinePunct w:val="0"/>
        <w:bidi w:val="0"/>
        <w:spacing w:line="560" w:lineRule="exact"/>
        <w:ind w:left="0" w:leftChars="0" w:firstLine="640" w:firstLineChars="200"/>
        <w:jc w:val="both"/>
        <w:rPr>
          <w:rStyle w:val="12"/>
          <w:rFonts w:hint="eastAsia" w:hAnsi="Calibri" w:cs="Times New Roman"/>
          <w:snapToGrid/>
          <w:kern w:val="2"/>
          <w:sz w:val="32"/>
          <w:szCs w:val="32"/>
          <w:lang w:eastAsia="zh-CN"/>
        </w:rPr>
      </w:pPr>
      <w:r>
        <w:rPr>
          <w:rStyle w:val="12"/>
          <w:rFonts w:hint="eastAsia" w:hAnsi="Calibri" w:cs="Times New Roman"/>
          <w:snapToGrid/>
          <w:kern w:val="2"/>
          <w:sz w:val="32"/>
          <w:szCs w:val="32"/>
          <w:lang w:eastAsia="zh-CN"/>
        </w:rPr>
        <w:t>经核实，以上行政处罚均已执行。</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企业按有关规章制度处理落实情况</w:t>
      </w:r>
    </w:p>
    <w:p>
      <w:pPr>
        <w:pStyle w:val="6"/>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640" w:firstLineChars="200"/>
        <w:jc w:val="both"/>
        <w:textAlignment w:val="baseline"/>
        <w:rPr>
          <w:rStyle w:val="12"/>
          <w:rFonts w:hint="eastAsia" w:hAnsi="Calibri" w:cs="Times New Roman"/>
          <w:snapToGrid/>
          <w:kern w:val="2"/>
          <w:sz w:val="32"/>
          <w:szCs w:val="32"/>
          <w:lang w:val="en-US" w:eastAsia="zh-CN"/>
        </w:rPr>
      </w:pPr>
      <w:r>
        <w:rPr>
          <w:rStyle w:val="12"/>
          <w:rFonts w:hint="eastAsia" w:ascii="仿宋_GB2312" w:hAnsi="Calibri" w:eastAsia="仿宋_GB2312" w:cs="Times New Roman"/>
          <w:snapToGrid/>
          <w:color w:val="000000"/>
          <w:kern w:val="2"/>
          <w:sz w:val="32"/>
          <w:szCs w:val="32"/>
          <w:lang w:val="en-US" w:eastAsia="zh-CN" w:bidi="ar-SA"/>
        </w:rPr>
        <w:t>2024年7月16日，上海新朋实业股份有限公司根据公司《员工手册》</w:t>
      </w:r>
      <w:r>
        <w:rPr>
          <w:rStyle w:val="12"/>
          <w:rFonts w:hint="eastAsia" w:hAnsi="Calibri" w:cs="Times New Roman"/>
          <w:snapToGrid/>
          <w:color w:val="000000"/>
          <w:kern w:val="2"/>
          <w:sz w:val="32"/>
          <w:szCs w:val="32"/>
          <w:lang w:val="en-US" w:eastAsia="zh-CN" w:bidi="ar-SA"/>
        </w:rPr>
        <w:t>对</w:t>
      </w:r>
      <w:r>
        <w:rPr>
          <w:rStyle w:val="12"/>
          <w:rFonts w:hint="eastAsia" w:ascii="仿宋_GB2312" w:hAnsi="Calibri" w:eastAsia="仿宋_GB2312" w:cs="Times New Roman"/>
          <w:snapToGrid/>
          <w:color w:val="000000"/>
          <w:kern w:val="2"/>
          <w:sz w:val="32"/>
          <w:szCs w:val="32"/>
          <w:lang w:val="en-US" w:eastAsia="zh-CN" w:bidi="ar-SA"/>
        </w:rPr>
        <w:t>运营管理中心安全管理专职李秉臣给予黄色警告，扣4分的处分，并同时扣发当月考核奖金50%。</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w:t>
      </w:r>
      <w:bookmarkStart w:id="0" w:name="OLE_LINK3"/>
      <w:r>
        <w:rPr>
          <w:rFonts w:hint="eastAsia" w:ascii="黑体" w:hAnsi="黑体" w:eastAsia="CESI楷体-GB2312" w:cs="黑体"/>
          <w:b/>
          <w:bCs/>
          <w:snapToGrid/>
          <w:kern w:val="2"/>
          <w:sz w:val="32"/>
          <w:szCs w:val="32"/>
          <w:lang w:val="en-US" w:eastAsia="zh-CN"/>
        </w:rPr>
        <w:t>上海诚贾再生资源有限公司</w:t>
      </w:r>
      <w:bookmarkEnd w:id="0"/>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1、事故后整改落实情况。企业建立了较为完善的安全生产责任体系、安全生产规章制度和操作规程，配备了安全管理人员，各项安全生产工作基本按照规定进行。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2、扎实开展隐患排查治理。上海诚贾再生资源有限公司全面组织隐患排查，对存在安全风险的设备、设施采取管理措施，消除设备本质安全隐患，尤其对打包机下料口及周边设备、设施区域等事故易发区域进行重点管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3、强化安全教育和培训。上海诚贾再生资源有限公司组织制定并实施本单位安全生产教育和培训计划,落实从业人员安全教育培训制度。并结合岗位风险因素，确保从业人员掌握安全生产知识，熟悉有关的安全生产规章制度和安全操作。上海诚贾再生资源有限公司严格按照相关规定配齐安全管理人员，提高安全生产管理水平，避免安全事故发生。</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firstLine="641" w:firstLineChars="200"/>
        <w:jc w:val="both"/>
        <w:textAlignment w:val="auto"/>
        <w:rPr>
          <w:rFonts w:hint="eastAsia" w:ascii="黑体" w:hAnsi="黑体" w:eastAsia="CESI楷体-GB2312" w:cs="黑体"/>
          <w:b/>
          <w:bCs/>
          <w:snapToGrid/>
          <w:kern w:val="2"/>
          <w:sz w:val="32"/>
          <w:szCs w:val="32"/>
          <w:lang w:val="en-US" w:eastAsia="zh-CN"/>
        </w:rPr>
      </w:pPr>
      <w:bookmarkStart w:id="1" w:name="OLE_LINK1"/>
      <w:r>
        <w:rPr>
          <w:rFonts w:hint="eastAsia" w:ascii="黑体" w:hAnsi="黑体" w:eastAsia="CESI楷体-GB2312" w:cs="黑体"/>
          <w:b/>
          <w:bCs/>
          <w:snapToGrid/>
          <w:kern w:val="2"/>
          <w:sz w:val="32"/>
          <w:szCs w:val="32"/>
          <w:lang w:val="en-US" w:eastAsia="zh-CN"/>
        </w:rPr>
        <w:t>（二）上海新朋实业股份有限公司</w:t>
      </w:r>
    </w:p>
    <w:bookmarkEnd w:id="1"/>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1、进一步规范安全和环境管理工作机制。每季度召开一次集团公司安环委会议，每月召开安全管理工作月会，各公司主管安全的总经理或副总经理汇报公司月度安全和环境管理工作开展情况；公司总裁对各子公司的重大问题进行协调，督察和决策；新朋股份安全环境管理工作小组每月参与下属子公司的安全环境管理现场检查；每月组织对租赁企业的安全环境管理情况检查，重点租赁企业每两周或每周检查一次；所有的检查均形成书面跟踪报告并跟踪落实整改情况；新朋股份安全管理工作小组每月召开两次会议，跟踪落实安环委和月度工作会议决定的各项工作，协调解决工作小组安全检查发现的问题。</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2、完善安全和环境管理制度。事故发生后，新朋股份运营管理中心根据法律法规要求，结合新朋股份具体业态，进一步完善了安全环境管理制度，包括《相关方安全环保管理制度》等，进一步强化了对各租赁企业安全监督管理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3、完善公司对租赁企业的监督管理细节。完善了租赁企业安全管理措施，包括租赁企业资质审核是否有合法的经营执照、经营许可证、企业资质等；以往安全业绩；分包行为管理；人员资质和特种设备审核；特种作业人员持证上岗，并核对作业人员是否与证件对应；特种设备检验证明、日常检查记录、维保记录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4、作业现场风险识别。制定工作计划，新朋股份将于8月份辅助生安公司完成作业场所风险识别工作，包括现场生产流程、生产设备、生产工具、各个工作岗位、各工作场所等，全面查找作业现场安全隐患，识别出风险后将对全体员工进行安全培训，讲解现场存在的风险点和安全措施，进一步强化员工风险处置能力，杜绝安全事故发生。</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0" w:leftChars="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（三）华新镇人民政府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1、严格落实行业部门“三管三必须”。经发办牵头组织对再生资源回收企业安全督查工作，重点关注企业生产安全管理制度、操作现场安全管理等落实情况，以及涉及易燃易爆危险品处置、无证和转包经营类网点，督促企业落实相关生产安全管理制度，以及施工现场安全防范措施，严防发生安全事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2、加强安全监督检查，严格落实隐患治理。（1）镇党委、政府班子领导带队采取“四不两直”等方式，突击检查，深入企业特别是涉及再生资源回收企业，开展安全工作监督检查，同时充分利用镇安委会平台针对重点行业、重点领域、重点企业，坚持问题导向，按计划开展专项检查和隐患排查，及时发现和整改安全隐患。对重大隐患，由镇安委办牵头，实行部门联动、限期整改、跟踪治理等措施，确保隐患得到有效治理。（2）聘请第三方专业机构协助镇、村安全监管检查人员开展日常巡查，及时发现并指导企业落实隐患问题整改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baseline"/>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3、加强安全教育培训，落实安全防控措施。（1）强化落实企业单位对出租场所、发包业务的生产安全管理制度，要督促并对其开展常态化安全生产工作检查，及时消除生产安全事故隐患；（2）结合安全生产治本攻坚三年行动工作，积极组织开展事故隐患排查治理专项培训及从业人员安全素质能力提升行动宣讲活动，同时督促企业加强内部安全管理和安全教育，切实提升从业人员安全意识；（3）充分运用公众号、微信群宣传矩阵力量，通过定期讲解转发安全生产知识、介绍安全生产典型经验做法、曝光典型案例等方式开展安全宣传教育。</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评估组按照事故调查报告及其批复要求，经资料审查、现场核查、专业评查，对该起事故处理、整改和防范措施落实情况进行综合评估后认为：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（一）相关单位及人员已履行行政处罚决定；相关单位对该起事故责任人的处理已落实。</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（二）该起事故相关单位、属地政府及相关部门已实施事故 调查报告提出的整改和防范措施。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val="en-US" w:eastAsia="zh-CN"/>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建议上海诚贾再生资源有限公司在设备管理中加强对设备的日常管理。深入了解并掌握设备性能并制定设备保养检维修计划。实施“五定原则”，即定检维修方案、定检维修人员、定安全措施、定检维修质量、定检维修进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（二）建议上海诚贾再生资源有限公司在生产中加强安全风险分级管控和隐患排查治理双重预防工作机制，加强现场检查巡查。通过技术、管理、教育措施，及时发现并消除生产安全事故隐患，谨防事故发生。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（三）建议上海诚贾再生资源有限公司生产中加强作业安全管理，严格执行特殊作业安全管理制度，安全工作许可证施行上锁挂牌规则。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（四）建议上海诚贾再生资源有限公司生产中加强企业高风险作业得安全管理，严格执行安全生产责任制度，加强现场隐患排查力度，发现隐患立即处理，防止潜在安全事故得发生。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（五）建议上海诚贾再生资源有限公司生产中加强承包商安全管理，严格执行承包商入厂教育培训规定，定期回顾各部门相关承包商安全表现业绩；严格落实承包商现场施工安全责任，优化现场监督管理。</w:t>
      </w:r>
    </w:p>
    <w:p>
      <w:pPr>
        <w:keepNext w:val="0"/>
        <w:keepLines w:val="0"/>
        <w:pageBreakBefore w:val="0"/>
        <w:wordWrap/>
        <w:overflowPunct/>
        <w:topLinePunct w:val="0"/>
        <w:bidi w:val="0"/>
        <w:spacing w:line="560" w:lineRule="exact"/>
        <w:ind w:firstLine="640" w:firstLineChars="200"/>
        <w:rPr>
          <w:rFonts w:hint="eastAsia" w:ascii="宋体" w:hAnsi="宋体" w:eastAsiaTheme="minorEastAsia"/>
          <w:sz w:val="32"/>
          <w:szCs w:val="32"/>
          <w:lang w:eastAsia="zh-CN"/>
        </w:rPr>
      </w:pPr>
    </w:p>
    <w:p>
      <w:pPr>
        <w:spacing w:line="360" w:lineRule="auto"/>
        <w:rPr>
          <w:rFonts w:hint="eastAsia" w:ascii="宋体" w:hAnsi="宋体" w:eastAsiaTheme="minorEastAsia"/>
          <w:sz w:val="32"/>
          <w:szCs w:val="32"/>
          <w:lang w:eastAsia="zh-CN"/>
        </w:rPr>
      </w:pPr>
    </w:p>
    <w:p>
      <w:pPr>
        <w:spacing w:line="360" w:lineRule="auto"/>
        <w:rPr>
          <w:rFonts w:hint="eastAsia" w:ascii="宋体" w:hAnsi="宋体" w:eastAsiaTheme="minorEastAsia"/>
          <w:sz w:val="32"/>
          <w:szCs w:val="32"/>
          <w:lang w:eastAsia="zh-CN"/>
        </w:rPr>
      </w:pP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上海诚贾再生资源有限公司“5·6”机械伤害</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一般事故整改和防范措施情况评估组</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2024年11</w:t>
      </w:r>
      <w:bookmarkStart w:id="2" w:name="_GoBack"/>
      <w:bookmarkEnd w:id="2"/>
      <w:r>
        <w:rPr>
          <w:rStyle w:val="12"/>
          <w:rFonts w:hint="eastAsia" w:ascii="仿宋_GB2312" w:hAnsi="Calibri" w:eastAsia="仿宋_GB2312" w:cs="Times New Roman"/>
          <w:snapToGrid/>
          <w:kern w:val="2"/>
          <w:sz w:val="32"/>
          <w:szCs w:val="32"/>
          <w:lang w:eastAsia="zh-CN"/>
        </w:rPr>
        <w:t>月19日</w:t>
      </w:r>
    </w:p>
    <w:sectPr>
      <w:footerReference r:id="rId3" w:type="default"/>
      <w:pgSz w:w="11906" w:h="16839"/>
      <w:pgMar w:top="1418" w:right="1418" w:bottom="1418" w:left="1418"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33843"/>
    <w:rsid w:val="00060D57"/>
    <w:rsid w:val="000612EF"/>
    <w:rsid w:val="000B5CDE"/>
    <w:rsid w:val="000C10BF"/>
    <w:rsid w:val="000C1ADB"/>
    <w:rsid w:val="000D1332"/>
    <w:rsid w:val="000F0079"/>
    <w:rsid w:val="000F0921"/>
    <w:rsid w:val="0012684F"/>
    <w:rsid w:val="00135E28"/>
    <w:rsid w:val="00136FF6"/>
    <w:rsid w:val="00161533"/>
    <w:rsid w:val="00166A17"/>
    <w:rsid w:val="0018765D"/>
    <w:rsid w:val="00187BB6"/>
    <w:rsid w:val="001D686B"/>
    <w:rsid w:val="00215989"/>
    <w:rsid w:val="002172BB"/>
    <w:rsid w:val="002209AC"/>
    <w:rsid w:val="00220BE3"/>
    <w:rsid w:val="00224AD7"/>
    <w:rsid w:val="002318F6"/>
    <w:rsid w:val="00232F7F"/>
    <w:rsid w:val="002334BA"/>
    <w:rsid w:val="002533FC"/>
    <w:rsid w:val="00276526"/>
    <w:rsid w:val="00292217"/>
    <w:rsid w:val="002B18AB"/>
    <w:rsid w:val="002B23E2"/>
    <w:rsid w:val="002C42DE"/>
    <w:rsid w:val="00346849"/>
    <w:rsid w:val="003559FC"/>
    <w:rsid w:val="003A3FD6"/>
    <w:rsid w:val="003C4C3B"/>
    <w:rsid w:val="003C66DD"/>
    <w:rsid w:val="003E3EEA"/>
    <w:rsid w:val="003E7CA8"/>
    <w:rsid w:val="004017D8"/>
    <w:rsid w:val="00434F79"/>
    <w:rsid w:val="00436589"/>
    <w:rsid w:val="00441B51"/>
    <w:rsid w:val="0045440E"/>
    <w:rsid w:val="004851EA"/>
    <w:rsid w:val="004930F4"/>
    <w:rsid w:val="004A0ED6"/>
    <w:rsid w:val="004C2307"/>
    <w:rsid w:val="004C2719"/>
    <w:rsid w:val="004C2CDA"/>
    <w:rsid w:val="004D05B6"/>
    <w:rsid w:val="004F28FF"/>
    <w:rsid w:val="00515C2F"/>
    <w:rsid w:val="005178CB"/>
    <w:rsid w:val="00550B57"/>
    <w:rsid w:val="0056251C"/>
    <w:rsid w:val="0058492E"/>
    <w:rsid w:val="005A24D8"/>
    <w:rsid w:val="005B7166"/>
    <w:rsid w:val="005D2381"/>
    <w:rsid w:val="005D3499"/>
    <w:rsid w:val="005E4C43"/>
    <w:rsid w:val="00602760"/>
    <w:rsid w:val="00627A60"/>
    <w:rsid w:val="006A18AE"/>
    <w:rsid w:val="006A58C8"/>
    <w:rsid w:val="006B4EB5"/>
    <w:rsid w:val="006C2780"/>
    <w:rsid w:val="006F4831"/>
    <w:rsid w:val="007347D8"/>
    <w:rsid w:val="00753911"/>
    <w:rsid w:val="007C60FE"/>
    <w:rsid w:val="008006D2"/>
    <w:rsid w:val="008422C4"/>
    <w:rsid w:val="0085223F"/>
    <w:rsid w:val="008831FD"/>
    <w:rsid w:val="008C2028"/>
    <w:rsid w:val="008C2463"/>
    <w:rsid w:val="008E2486"/>
    <w:rsid w:val="008F3F3F"/>
    <w:rsid w:val="008F4F29"/>
    <w:rsid w:val="009100ED"/>
    <w:rsid w:val="00953491"/>
    <w:rsid w:val="0095749B"/>
    <w:rsid w:val="0096514A"/>
    <w:rsid w:val="00966773"/>
    <w:rsid w:val="00976E20"/>
    <w:rsid w:val="009C7BA1"/>
    <w:rsid w:val="009D03C7"/>
    <w:rsid w:val="00A2198D"/>
    <w:rsid w:val="00A2572B"/>
    <w:rsid w:val="00A67385"/>
    <w:rsid w:val="00A75191"/>
    <w:rsid w:val="00A80DE3"/>
    <w:rsid w:val="00A82407"/>
    <w:rsid w:val="00A97E6E"/>
    <w:rsid w:val="00AA0C47"/>
    <w:rsid w:val="00B3521D"/>
    <w:rsid w:val="00B46AFF"/>
    <w:rsid w:val="00B67A8B"/>
    <w:rsid w:val="00B8686E"/>
    <w:rsid w:val="00B978E6"/>
    <w:rsid w:val="00BB7B6E"/>
    <w:rsid w:val="00C25E97"/>
    <w:rsid w:val="00C305BE"/>
    <w:rsid w:val="00C32BDF"/>
    <w:rsid w:val="00C339C7"/>
    <w:rsid w:val="00C57041"/>
    <w:rsid w:val="00C72784"/>
    <w:rsid w:val="00C764CC"/>
    <w:rsid w:val="00C80C62"/>
    <w:rsid w:val="00C869D6"/>
    <w:rsid w:val="00CA0496"/>
    <w:rsid w:val="00CA4061"/>
    <w:rsid w:val="00CA52DD"/>
    <w:rsid w:val="00CE6D89"/>
    <w:rsid w:val="00D03AC5"/>
    <w:rsid w:val="00D12F4B"/>
    <w:rsid w:val="00D237E1"/>
    <w:rsid w:val="00D367D5"/>
    <w:rsid w:val="00D707CF"/>
    <w:rsid w:val="00D85665"/>
    <w:rsid w:val="00D94D48"/>
    <w:rsid w:val="00DA5986"/>
    <w:rsid w:val="00DE61C2"/>
    <w:rsid w:val="00E0434E"/>
    <w:rsid w:val="00E1320C"/>
    <w:rsid w:val="00E3494B"/>
    <w:rsid w:val="00E366F0"/>
    <w:rsid w:val="00E54B71"/>
    <w:rsid w:val="00E87D1F"/>
    <w:rsid w:val="00E87DE6"/>
    <w:rsid w:val="00EE1C6F"/>
    <w:rsid w:val="00F24A3E"/>
    <w:rsid w:val="00F41758"/>
    <w:rsid w:val="00F449E0"/>
    <w:rsid w:val="00F451AC"/>
    <w:rsid w:val="00F52B32"/>
    <w:rsid w:val="00F7641B"/>
    <w:rsid w:val="00F86E81"/>
    <w:rsid w:val="00F90966"/>
    <w:rsid w:val="00FB2118"/>
    <w:rsid w:val="36FF5F3D"/>
    <w:rsid w:val="377F370A"/>
    <w:rsid w:val="3F17328A"/>
    <w:rsid w:val="3FA076F0"/>
    <w:rsid w:val="3FD15BBC"/>
    <w:rsid w:val="47749F47"/>
    <w:rsid w:val="56DF654E"/>
    <w:rsid w:val="5B1ED4C3"/>
    <w:rsid w:val="5BF765D1"/>
    <w:rsid w:val="5DFF57E9"/>
    <w:rsid w:val="6CDB830A"/>
    <w:rsid w:val="6FFDC991"/>
    <w:rsid w:val="757D0EE3"/>
    <w:rsid w:val="75EF0DE4"/>
    <w:rsid w:val="79BC5F7C"/>
    <w:rsid w:val="7AA2F295"/>
    <w:rsid w:val="7BFB01FA"/>
    <w:rsid w:val="7CFC7AD1"/>
    <w:rsid w:val="7D609104"/>
    <w:rsid w:val="7DFBA819"/>
    <w:rsid w:val="7EC3DCAA"/>
    <w:rsid w:val="7EF31876"/>
    <w:rsid w:val="7EFFC962"/>
    <w:rsid w:val="7FDB6A56"/>
    <w:rsid w:val="8FEDA1A7"/>
    <w:rsid w:val="BBAD1D7D"/>
    <w:rsid w:val="D7FDA6F6"/>
    <w:rsid w:val="E3ECE2FE"/>
    <w:rsid w:val="E4FF0068"/>
    <w:rsid w:val="E7F506BA"/>
    <w:rsid w:val="F4EA0D84"/>
    <w:rsid w:val="F6F951B7"/>
    <w:rsid w:val="F9367A0B"/>
    <w:rsid w:val="FB3BD7B7"/>
    <w:rsid w:val="FC0B6037"/>
    <w:rsid w:val="FCFE15DD"/>
    <w:rsid w:val="FFBFFE11"/>
    <w:rsid w:val="FFDF88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cs="Times New Roman"/>
      <w:sz w:val="21"/>
    </w:rPr>
  </w:style>
  <w:style w:type="paragraph" w:styleId="4">
    <w:name w:val="Body Text Indent"/>
    <w:basedOn w:val="1"/>
    <w:next w:val="5"/>
    <w:qFormat/>
    <w:uiPriority w:val="0"/>
    <w:pPr>
      <w:ind w:left="100"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521</Words>
  <Characters>2973</Characters>
  <Lines>24</Lines>
  <Paragraphs>6</Paragraphs>
  <TotalTime>2</TotalTime>
  <ScaleCrop>false</ScaleCrop>
  <LinksUpToDate>false</LinksUpToDate>
  <CharactersWithSpaces>3488</CharactersWithSpaces>
  <Application>WPS Office_11.8.2.10251_F1E327BC-269C-435d-A152-05C5408002CA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2024-11-27T16:18:00Z</dcterms:created>
  <dc:creator>ms</dc:creator>
  <cp:lastModifiedBy>yjj-503</cp:lastModifiedBy>
  <dcterms:modified xsi:type="dcterms:W3CDTF">2025-10-27T10:36:32Z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