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闵行区光华路2800号“2023.10.19”高处</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坠落重伤事故责任追究和整改</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措施落实情况评估报告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auto"/>
          <w:sz w:val="32"/>
          <w:szCs w:val="22"/>
          <w:lang w:val="en-US" w:eastAsia="zh-CN"/>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年生产安全事故整改和防范措施落实情况的评估工作方案》（闵安委办〔2024〕27 号）等有关规定，区安委会办公室于2024</w:t>
      </w:r>
      <w:r>
        <w:rPr>
          <w:rFonts w:hint="eastAsia" w:ascii="仿宋_GB2312" w:hAnsi="宋体" w:eastAsia="仿宋_GB2312"/>
          <w:color w:val="auto"/>
          <w:sz w:val="32"/>
          <w:szCs w:val="22"/>
          <w:lang w:val="en-US" w:eastAsia="zh-CN"/>
        </w:rPr>
        <w:t>年</w:t>
      </w:r>
      <w:r>
        <w:rPr>
          <w:rFonts w:hint="eastAsia" w:ascii="仿宋_GB2312" w:hAnsi="宋体" w:eastAsia="仿宋_GB2312"/>
          <w:color w:val="auto"/>
          <w:sz w:val="32"/>
          <w:szCs w:val="22"/>
          <w:highlight w:val="none"/>
          <w:lang w:val="en-US" w:eastAsia="zh-CN"/>
        </w:rPr>
        <w:t>10</w:t>
      </w:r>
      <w:r>
        <w:rPr>
          <w:rFonts w:hint="eastAsia" w:ascii="仿宋_GB2312" w:hAnsi="宋体" w:eastAsia="仿宋_GB2312"/>
          <w:color w:val="auto"/>
          <w:sz w:val="32"/>
          <w:szCs w:val="22"/>
          <w:lang w:val="en-US" w:eastAsia="zh-CN"/>
        </w:rPr>
        <w:t>月份牵头成立闵行区光华路2800号“2023.10.19”高处坠落重伤事故后评估小组成员单位包括区应急局、区公安分局、区市场局、区总工会、上海柏科管理咨询股份有限公司（事故后评估技术服务第三方）。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auto"/>
          <w:sz w:val="32"/>
          <w:szCs w:val="22"/>
          <w:lang w:val="en-US" w:eastAsia="zh-CN"/>
        </w:rPr>
        <w:t>评估小组以该起事故的《事故调查报告》为依据，依据科学严谨、依法依规、实事求是、注重实效和“四不放过”的原则，制定事故评估工作方案，确定以事故责任追究及整改措施落实为重点的评估资料清单。</w:t>
      </w:r>
      <w:r>
        <w:rPr>
          <w:rFonts w:hint="eastAsia" w:ascii="仿宋_GB2312" w:hAnsi="宋体" w:eastAsia="仿宋_GB2312"/>
          <w:color w:val="auto"/>
          <w:sz w:val="32"/>
          <w:szCs w:val="22"/>
          <w:highlight w:val="none"/>
          <w:lang w:val="en-US" w:eastAsia="zh-CN"/>
        </w:rPr>
        <w:t>10月30日</w:t>
      </w:r>
      <w:r>
        <w:rPr>
          <w:rFonts w:hint="eastAsia" w:ascii="仿宋_GB2312" w:hAnsi="宋体" w:eastAsia="仿宋_GB2312"/>
          <w:color w:val="auto"/>
          <w:sz w:val="32"/>
          <w:szCs w:val="22"/>
          <w:lang w:val="en-US" w:eastAsia="zh-CN"/>
        </w:rPr>
        <w:t>，</w:t>
      </w:r>
      <w:r>
        <w:rPr>
          <w:rFonts w:hint="eastAsia" w:ascii="仿宋_GB2312" w:hAnsi="宋体" w:eastAsia="仿宋_GB2312"/>
          <w:color w:val="000000" w:themeColor="text1"/>
          <w:sz w:val="32"/>
          <w:szCs w:val="22"/>
          <w:lang w:val="en-US" w:eastAsia="zh-CN"/>
          <w14:textFill>
            <w14:solidFill>
              <w14:schemeClr w14:val="tx1"/>
            </w14:solidFill>
          </w14:textFill>
        </w:rPr>
        <w:t>由区应急局牵头，在区应急局举行了评估小组成员单位、事故责任单位单位联席会议，区应急局有关负责人就该起事故后评估的目的、意义、后续评估工作流程安排、时间节点、工作要求等进行了说明与沟通，并就事故评估工作方案责任分工、时间进度等内容做了确认，达成一致意见。与会各方就本次事故教训吸取和后续事故预防发表了各自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区市场局、马桥镇，采取远程沟通和资料收集方式进行评估，主要确认事故发生后，相关单位综合监管、行业监管、属地监管、以及事故责任和关联单位主体责任落实情况。对事故责任单位上海力兴起重设备有限公司、上海华普电缆有限公司采取资料收集、现场走访、远程沟通方式</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进行了评估。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行业及属地安全生产监管部门、事故责任单位基本能按本起事故的《事故调查报告》要求，落实处理意见与防范措施，在事故责任追究与教训吸取、安全生产行业和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rPr>
          <w:rFonts w:hint="default"/>
          <w:lang w:val="en-US"/>
        </w:rPr>
      </w:pPr>
      <w:r>
        <w:rPr>
          <w:rFonts w:hint="eastAsia" w:ascii="仿宋_GB2312" w:hAnsi="宋体" w:eastAsia="仿宋_GB2312"/>
          <w:color w:val="000000" w:themeColor="text1"/>
          <w:sz w:val="32"/>
          <w:szCs w:val="22"/>
          <w:highlight w:val="none"/>
          <w:lang w:val="en-US" w:eastAsia="zh-CN"/>
          <w14:textFill>
            <w14:solidFill>
              <w14:schemeClr w14:val="tx1"/>
            </w14:solidFill>
          </w14:textFill>
        </w:rPr>
        <w:t>查见对</w:t>
      </w:r>
      <w:r>
        <w:rPr>
          <w:rFonts w:hint="eastAsia" w:ascii="仿宋_GB2312" w:hAnsi="宋体" w:eastAsia="仿宋_GB2312"/>
          <w:color w:val="000000" w:themeColor="text1"/>
          <w:sz w:val="32"/>
          <w:szCs w:val="22"/>
          <w:lang w:val="en-US" w:eastAsia="zh-CN"/>
          <w14:textFill>
            <w14:solidFill>
              <w14:schemeClr w14:val="tx1"/>
            </w14:solidFill>
          </w14:textFill>
        </w:rPr>
        <w:t>上海力兴起重设备有限公司现场负责人顾勤齐“行政处罚决定书”（沪闵应急罚〔2023〕1241号），对该人员给予1.5万元的行政处罚，并查见缴费凭证（缴款码：31011224000000234237），罚没款执行到位</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；查见</w:t>
      </w:r>
      <w:r>
        <w:rPr>
          <w:rFonts w:hint="eastAsia" w:ascii="仿宋_GB2312" w:hAnsi="宋体" w:eastAsia="仿宋_GB2312"/>
          <w:color w:val="000000" w:themeColor="text1"/>
          <w:sz w:val="32"/>
          <w:szCs w:val="22"/>
          <w:lang w:val="en-US" w:eastAsia="zh-CN"/>
          <w14:textFill>
            <w14:solidFill>
              <w14:schemeClr w14:val="tx1"/>
            </w14:solidFill>
          </w14:textFill>
        </w:rPr>
        <w:t>上海力兴起重设备有限公司内部对事故责任人屠学云“处罚决定书”（2023年12月25日），罚款2000元</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w:t>
      </w:r>
      <w:r>
        <w:rPr>
          <w:rFonts w:hint="eastAsia" w:ascii="仿宋_GB2312" w:hAnsi="宋体" w:eastAsia="仿宋_GB2312"/>
          <w:color w:val="000000" w:themeColor="text1"/>
          <w:sz w:val="32"/>
          <w:szCs w:val="22"/>
          <w:lang w:val="en-US" w:eastAsia="zh-CN"/>
          <w14:textFill>
            <w14:solidFill>
              <w14:schemeClr w14:val="tx1"/>
            </w14:solidFill>
          </w14:textFill>
        </w:rPr>
        <w:t>查见对</w:t>
      </w:r>
      <w:r>
        <w:rPr>
          <w:rFonts w:hint="eastAsia" w:ascii="仿宋_GB2312" w:hAnsi="宋体" w:eastAsia="仿宋_GB2312"/>
          <w:color w:val="auto"/>
          <w:sz w:val="32"/>
          <w:szCs w:val="22"/>
          <w:lang w:val="en-US" w:eastAsia="zh-CN"/>
        </w:rPr>
        <w:t>上海华普电缆有限公司现场安全管理员高志强</w:t>
      </w:r>
      <w:r>
        <w:rPr>
          <w:rFonts w:hint="eastAsia" w:ascii="仿宋_GB2312" w:hAnsi="宋体" w:eastAsia="仿宋_GB2312"/>
          <w:color w:val="000000" w:themeColor="text1"/>
          <w:sz w:val="32"/>
          <w:szCs w:val="22"/>
          <w:lang w:val="en-US" w:eastAsia="zh-CN"/>
          <w14:textFill>
            <w14:solidFill>
              <w14:schemeClr w14:val="tx1"/>
            </w14:solidFill>
          </w14:textFill>
        </w:rPr>
        <w:t>“行政处罚决定书”（沪闵应急罚〔2023〕1242号），对该人员给予0.93万元的行政处罚，并查见缴费凭证（缴费日期：2024年2月6日），罚没款执行到位</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；查见</w:t>
      </w:r>
      <w:r>
        <w:rPr>
          <w:rFonts w:hint="eastAsia" w:ascii="仿宋_GB2312" w:hAnsi="宋体" w:eastAsia="仿宋_GB2312"/>
          <w:color w:val="000000" w:themeColor="text1"/>
          <w:sz w:val="32"/>
          <w:szCs w:val="22"/>
          <w:lang w:val="en-US" w:eastAsia="zh-CN"/>
          <w14:textFill>
            <w14:solidFill>
              <w14:schemeClr w14:val="tx1"/>
            </w14:solidFill>
          </w14:textFill>
        </w:rPr>
        <w:t>上海华普电缆有限公司内部对仓库主管徐演峰“关于对徐演峰的处理决定”（2023年11月27日），罚款2000元</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；并查见事故责任单位</w:t>
      </w:r>
      <w:r>
        <w:rPr>
          <w:rFonts w:hint="eastAsia" w:ascii="仿宋_GB2312" w:hAnsi="宋体" w:eastAsia="仿宋_GB2312"/>
          <w:color w:val="000000" w:themeColor="text1"/>
          <w:sz w:val="32"/>
          <w:szCs w:val="22"/>
          <w:lang w:val="en-US" w:eastAsia="zh-CN"/>
          <w14:textFill>
            <w14:solidFill>
              <w14:schemeClr w14:val="tx1"/>
            </w14:solidFill>
          </w14:textFill>
        </w:rPr>
        <w:t>内部对其他相关人员进行处理通报和警示约谈记录。相关单位和人员的行政处罚、警示教育符合本起《事故调查报告》的要求。区应急局反馈，鉴于本起事故为重伤事故，考虑到减轻事故责任单位上海力兴起重设备有限公司、</w:t>
      </w:r>
      <w:r>
        <w:rPr>
          <w:rFonts w:hint="eastAsia" w:ascii="仿宋_GB2312" w:hAnsi="宋体" w:eastAsia="仿宋_GB2312"/>
          <w:color w:val="auto"/>
          <w:sz w:val="32"/>
          <w:szCs w:val="22"/>
          <w:lang w:val="en-US" w:eastAsia="zh-CN"/>
        </w:rPr>
        <w:t>上海华普电缆有限公司企业负担，两家责任单位未根据</w:t>
      </w:r>
      <w:r>
        <w:rPr>
          <w:rFonts w:hint="eastAsia" w:ascii="仿宋_GB2312" w:hAnsi="宋体" w:eastAsia="仿宋_GB2312"/>
          <w:color w:val="000000" w:themeColor="text1"/>
          <w:sz w:val="32"/>
          <w:szCs w:val="22"/>
          <w:lang w:val="en-US" w:eastAsia="zh-CN"/>
          <w14:textFill>
            <w14:solidFill>
              <w14:schemeClr w14:val="tx1"/>
            </w14:solidFill>
          </w14:textFill>
        </w:rPr>
        <w:t>《事故调查报告》要求</w:t>
      </w:r>
      <w:r>
        <w:rPr>
          <w:rFonts w:hint="eastAsia" w:ascii="仿宋_GB2312" w:hAnsi="宋体" w:eastAsia="仿宋_GB2312"/>
          <w:color w:val="auto"/>
          <w:sz w:val="32"/>
          <w:szCs w:val="22"/>
          <w:lang w:val="en-US" w:eastAsia="zh-CN"/>
        </w:rPr>
        <w:t>进行行政处罚。</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评估小组通过资料审查，现场走访、人员电话问询沟通等形式，对事故责任及关联单位事故处理、事故后续整改措施落实、事故预防长效机制等情况进行了针对性检查评估。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责任单位基本能按照“四不放过”原则，查明事故原因，落实整改措施，排查现场安全隐患，堵塞安全生产漏洞，教育与培训了事故相关责任人员，对从业人员进行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（一）进一步完善安全生产管理制度体系。建立了较为健全的安全生产责任制、安全生产规章制度，包括全员</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安全生产责任制、风险辨识评估与控制、安全教育培训、隐患排查与治理、作业安全管理、危险作业审批、消防安全管理等制度。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（二）建立单位安全生产管理组织架构、配备了专兼职安全生产管理人员，特种作业人员做到持证上岗。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编制隐患排查方案、计划，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（四）落实安全教育培训工作。对从业人员进行入职三级安全教育、事故警示教育，持续的安全教育，保留有教育培训记录和档案资料。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（五）规范和严格了动火、登高等危险作业审批许可程序。查见了动火、登高等作业许可资料、相关作业安全交底记录等台账资料。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（六）编制了单位应急预案并开展应急演练。应急预案包括火灾、高坠事故等，查见了相关演练方案、演练报告、演练照片和签到记录等。</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综合监管、行业监管、属地监管职责。落实企业主体责任，完善内部安全管理制度流程，加强人员事故警示教育，加大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综合资料审查、现场走访、人员问询交流确认结果，评估小组认为此次事故处理、内部责任追究符合该起《事故调查报告》要求，后续整改措施落实有效。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重大风险辨识与管控、隐患排查与治理、危险作业许可与监管、从业人员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加强从业人员的安全意识与能力培训。特别要做好持证人员（如厂内机动车驾驶人员等）、危险作业人员（如登高、动火、用电作业等）、相关外包方作业人员的培训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现场安全检查与隐患问题整改。严格落实现场安全监管责任，确定现场安全管理人员，负责作业过程的问题隐患排查与督促整改，建立隐患台账，保留检查记录。针对华普电缆现场走访提出的问题，吊具定期检查管理、危险化学品安全检查管理、相关方交叉作业管理、入职人员的三级安全教育时数分配等存在的问题，应立即进行整改，做到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（四）完善应急预案，开展应急演练。编制与完善符合预案编制导则且符合单位作业特点的应急预案，并组织开展预案的演练与评估，以提升从业人员的应急响应能力。</w:t>
      </w:r>
    </w:p>
    <w:p>
      <w:pPr>
        <w:spacing w:line="620" w:lineRule="exact"/>
        <w:jc w:val="right"/>
        <w:rPr>
          <w:rFonts w:hint="eastAsia" w:ascii="仿宋_GB2312" w:hAnsi="Calibri" w:eastAsia="仿宋_GB2312"/>
          <w:b/>
          <w:snapToGrid w:val="0"/>
          <w:kern w:val="0"/>
          <w:szCs w:val="32"/>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auto"/>
          <w:sz w:val="32"/>
          <w:szCs w:val="22"/>
          <w:lang w:val="en-US" w:eastAsia="zh-CN"/>
        </w:rPr>
      </w:pPr>
      <w:r>
        <w:rPr>
          <w:rFonts w:hint="eastAsia" w:ascii="仿宋_GB2312" w:hAnsi="宋体" w:eastAsia="仿宋_GB2312"/>
          <w:color w:val="auto"/>
          <w:sz w:val="32"/>
          <w:szCs w:val="22"/>
          <w:lang w:val="en-US" w:eastAsia="zh-CN"/>
        </w:rPr>
        <w:t>闵行区光华路2800号“2023.10.19”</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3520" w:firstLineChars="1100"/>
        <w:jc w:val="both"/>
        <w:textAlignment w:val="auto"/>
        <w:outlineLvl w:val="9"/>
        <w:rPr>
          <w:rFonts w:hint="default" w:ascii="仿宋_GB2312" w:hAnsi="宋体" w:eastAsia="仿宋_GB2312"/>
          <w:b/>
          <w:bCs/>
          <w:color w:val="000000" w:themeColor="text1"/>
          <w:sz w:val="32"/>
          <w:szCs w:val="22"/>
          <w:lang w:val="en-US" w:eastAsia="zh-CN"/>
          <w14:textFill>
            <w14:solidFill>
              <w14:schemeClr w14:val="tx1"/>
            </w14:solidFill>
          </w14:textFill>
        </w:rPr>
      </w:pPr>
      <w:r>
        <w:rPr>
          <w:rFonts w:hint="eastAsia" w:ascii="仿宋_GB2312" w:hAnsi="宋体" w:eastAsia="仿宋_GB2312"/>
          <w:color w:val="auto"/>
          <w:sz w:val="32"/>
          <w:szCs w:val="22"/>
          <w:lang w:val="en-US" w:eastAsia="zh-CN"/>
        </w:rPr>
        <w:t xml:space="preserve">高处坠落重伤事故后评估小组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480" w:firstLineChars="1400"/>
        <w:jc w:val="left"/>
        <w:textAlignment w:val="auto"/>
        <w:outlineLvl w:val="9"/>
        <w:rPr>
          <w:rFonts w:hint="eastAsia" w:ascii="仿宋_GB2312" w:hAnsi="宋体" w:eastAsia="仿宋_GB2312"/>
          <w:b w:val="0"/>
          <w:bCs w:val="0"/>
          <w:color w:val="auto"/>
          <w:sz w:val="32"/>
          <w:szCs w:val="22"/>
          <w:highlight w:val="none"/>
          <w:lang w:val="en-US" w:eastAsia="zh-CN"/>
        </w:rPr>
      </w:pPr>
      <w:r>
        <w:rPr>
          <w:rFonts w:hint="eastAsia" w:ascii="仿宋_GB2312" w:hAnsi="宋体" w:eastAsia="仿宋_GB2312"/>
          <w:b w:val="0"/>
          <w:bCs w:val="0"/>
          <w:color w:val="auto"/>
          <w:sz w:val="32"/>
          <w:szCs w:val="22"/>
          <w:highlight w:val="none"/>
          <w:lang w:val="en-US" w:eastAsia="zh-CN"/>
        </w:rPr>
        <w:t>2024年11月11日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1D17528"/>
    <w:rsid w:val="0201016A"/>
    <w:rsid w:val="021D3908"/>
    <w:rsid w:val="034D105A"/>
    <w:rsid w:val="03E07543"/>
    <w:rsid w:val="04185498"/>
    <w:rsid w:val="0506130B"/>
    <w:rsid w:val="05A43D64"/>
    <w:rsid w:val="087062B5"/>
    <w:rsid w:val="097519BC"/>
    <w:rsid w:val="09842A15"/>
    <w:rsid w:val="0AC3245B"/>
    <w:rsid w:val="0B18779D"/>
    <w:rsid w:val="0B245862"/>
    <w:rsid w:val="0C3A2CE9"/>
    <w:rsid w:val="0D911883"/>
    <w:rsid w:val="0F6A77FB"/>
    <w:rsid w:val="1373256D"/>
    <w:rsid w:val="147A3417"/>
    <w:rsid w:val="149A61E1"/>
    <w:rsid w:val="175514A2"/>
    <w:rsid w:val="175D721C"/>
    <w:rsid w:val="17C45868"/>
    <w:rsid w:val="17FBE8D8"/>
    <w:rsid w:val="19DB60F9"/>
    <w:rsid w:val="1A366198"/>
    <w:rsid w:val="1C42294D"/>
    <w:rsid w:val="1C704B5E"/>
    <w:rsid w:val="1DFC091B"/>
    <w:rsid w:val="1E765F50"/>
    <w:rsid w:val="1F992D2A"/>
    <w:rsid w:val="21FA7E47"/>
    <w:rsid w:val="237D7293"/>
    <w:rsid w:val="239C1BED"/>
    <w:rsid w:val="2467441E"/>
    <w:rsid w:val="25E93097"/>
    <w:rsid w:val="2782275D"/>
    <w:rsid w:val="2A41087D"/>
    <w:rsid w:val="2B0D78A5"/>
    <w:rsid w:val="2C651EED"/>
    <w:rsid w:val="310B75DF"/>
    <w:rsid w:val="31C81974"/>
    <w:rsid w:val="32A20421"/>
    <w:rsid w:val="33E76D48"/>
    <w:rsid w:val="35104F58"/>
    <w:rsid w:val="35D825ED"/>
    <w:rsid w:val="369D022E"/>
    <w:rsid w:val="37360BA2"/>
    <w:rsid w:val="3B874946"/>
    <w:rsid w:val="3BD821B5"/>
    <w:rsid w:val="3DBA0C7B"/>
    <w:rsid w:val="3DE9465E"/>
    <w:rsid w:val="3EE338FA"/>
    <w:rsid w:val="3EE9514F"/>
    <w:rsid w:val="4379487C"/>
    <w:rsid w:val="449A462F"/>
    <w:rsid w:val="46AC79A1"/>
    <w:rsid w:val="47692A3C"/>
    <w:rsid w:val="47821829"/>
    <w:rsid w:val="48BE4B9A"/>
    <w:rsid w:val="48FD1513"/>
    <w:rsid w:val="496F78AA"/>
    <w:rsid w:val="4AF11E5F"/>
    <w:rsid w:val="4C153D43"/>
    <w:rsid w:val="4D4261B3"/>
    <w:rsid w:val="4EFD1998"/>
    <w:rsid w:val="514C116E"/>
    <w:rsid w:val="52EC1BFF"/>
    <w:rsid w:val="53E1285D"/>
    <w:rsid w:val="57DB0FE8"/>
    <w:rsid w:val="5AD93B85"/>
    <w:rsid w:val="5BD451EC"/>
    <w:rsid w:val="5C945403"/>
    <w:rsid w:val="5CC72843"/>
    <w:rsid w:val="5EBB61F8"/>
    <w:rsid w:val="5EBDEF7B"/>
    <w:rsid w:val="5EC96258"/>
    <w:rsid w:val="5F326928"/>
    <w:rsid w:val="5F39B20B"/>
    <w:rsid w:val="5F582E1B"/>
    <w:rsid w:val="5FFDD7B5"/>
    <w:rsid w:val="60AB2DEE"/>
    <w:rsid w:val="60D74757"/>
    <w:rsid w:val="61624E28"/>
    <w:rsid w:val="622A2592"/>
    <w:rsid w:val="62895BA0"/>
    <w:rsid w:val="660A72D8"/>
    <w:rsid w:val="666842C9"/>
    <w:rsid w:val="67131EDF"/>
    <w:rsid w:val="6B5B6524"/>
    <w:rsid w:val="6C6E3A97"/>
    <w:rsid w:val="6CD1637E"/>
    <w:rsid w:val="6E1D08FF"/>
    <w:rsid w:val="6EA0059F"/>
    <w:rsid w:val="6EA22FE5"/>
    <w:rsid w:val="6ED335A5"/>
    <w:rsid w:val="6EFF061A"/>
    <w:rsid w:val="6FF2019B"/>
    <w:rsid w:val="702F0840"/>
    <w:rsid w:val="70904AD9"/>
    <w:rsid w:val="70942346"/>
    <w:rsid w:val="73901771"/>
    <w:rsid w:val="77C7E2CA"/>
    <w:rsid w:val="78730186"/>
    <w:rsid w:val="78CA90EC"/>
    <w:rsid w:val="79FF681C"/>
    <w:rsid w:val="7AEFED13"/>
    <w:rsid w:val="7BCB0BF9"/>
    <w:rsid w:val="7D5E48C2"/>
    <w:rsid w:val="7E3428CE"/>
    <w:rsid w:val="7E481C50"/>
    <w:rsid w:val="7EFD3964"/>
    <w:rsid w:val="7F733F80"/>
    <w:rsid w:val="7FBF8646"/>
    <w:rsid w:val="7FFFB5A8"/>
    <w:rsid w:val="B3DA92A4"/>
    <w:rsid w:val="B3EFCFD0"/>
    <w:rsid w:val="BBD628CC"/>
    <w:rsid w:val="BD3BE8A9"/>
    <w:rsid w:val="BF4FF59A"/>
    <w:rsid w:val="BF6FE6AA"/>
    <w:rsid w:val="C7BE4CA6"/>
    <w:rsid w:val="D5F9CF57"/>
    <w:rsid w:val="DCFD18E4"/>
    <w:rsid w:val="EFBB4AC4"/>
    <w:rsid w:val="FC8D774A"/>
    <w:rsid w:val="FFB77D6C"/>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2941</Words>
  <Characters>3095</Characters>
  <Lines>39</Lines>
  <Paragraphs>11</Paragraphs>
  <TotalTime>0</TotalTime>
  <ScaleCrop>false</ScaleCrop>
  <LinksUpToDate>false</LinksUpToDate>
  <CharactersWithSpaces>3103</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2021-04-02T05:34:00Z</dcterms:created>
  <dc:creator>陈满松</dc:creator>
  <cp:lastModifiedBy>mhxc-langchao</cp:lastModifiedBy>
  <cp:lastPrinted>2022-12-18T17:55:00Z</cp:lastPrinted>
  <dcterms:modified xsi:type="dcterms:W3CDTF">2025-11-10T09:12:07Z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