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heme="minorEastAsia" w:hAnsiTheme="minorEastAsia" w:eastAsiaTheme="minorEastAsia" w:cstheme="minorEastAsia"/>
          <w:b w:val="0"/>
          <w:bCs w:val="0"/>
          <w:snapToGrid/>
          <w:color w:val="auto"/>
          <w:kern w:val="2"/>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山东鸿典建设有限公司“4·9”高处坠落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4月9日早晨6点20分许，青浦区华新镇嘉松中路228弄55号上海烽铭实业有限公司厂区内1号厂房顶部，山东鸿典建设有限公司1名施工人员苏文卫在屋顶作业过程中行走至屋顶采光带时，采光带突然破碎，苏文卫随即坠落至厂房地面，坠落高度约8米。事故共造成1人死亡。直接损失约158万元整。事发后，上海市青浦区应急管理局会同相关部门依法开展事故调查，形成《青浦华新山东鸿典建设有限公司“4·9”高处坠落一般事故调查报告》（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2024年11月1日至11月19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pStyle w:val="6"/>
        <w:keepNext w:val="0"/>
        <w:keepLines w:val="0"/>
        <w:pageBreakBefore w:val="0"/>
        <w:wordWrap/>
        <w:overflowPunct/>
        <w:topLinePunct w:val="0"/>
        <w:bidi w:val="0"/>
        <w:spacing w:line="560" w:lineRule="exact"/>
        <w:ind w:left="0" w:leftChars="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ascii="仿宋_GB2312" w:hAnsi="Calibri" w:eastAsia="仿宋_GB2312" w:cs="Times New Roman"/>
          <w:snapToGrid/>
          <w:color w:val="000000"/>
          <w:kern w:val="2"/>
          <w:sz w:val="32"/>
          <w:szCs w:val="32"/>
          <w:lang w:val="en-US" w:eastAsia="zh-CN" w:bidi="ar-SA"/>
        </w:rPr>
        <w:t>按照“谁牵头调查，谁组织评估”原则，</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应急管理局会同公安</w:t>
      </w:r>
      <w:r>
        <w:rPr>
          <w:rStyle w:val="12"/>
          <w:rFonts w:hint="eastAsia" w:ascii="仿宋_GB2312" w:hAnsi="Calibri" w:eastAsia="仿宋_GB2312" w:cs="Times New Roman"/>
          <w:snapToGrid/>
          <w:color w:val="000000"/>
          <w:kern w:val="2"/>
          <w:sz w:val="32"/>
          <w:szCs w:val="32"/>
          <w:lang w:val="en-US" w:eastAsia="zh-CN" w:bidi="ar-SA"/>
        </w:rPr>
        <w:t>青浦分局</w:t>
      </w:r>
      <w:r>
        <w:rPr>
          <w:rStyle w:val="12"/>
          <w:rFonts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区</w:t>
      </w:r>
      <w:r>
        <w:rPr>
          <w:rStyle w:val="12"/>
          <w:rFonts w:ascii="仿宋_GB2312" w:hAnsi="Calibri" w:eastAsia="仿宋_GB2312" w:cs="Times New Roman"/>
          <w:snapToGrid/>
          <w:color w:val="000000"/>
          <w:kern w:val="2"/>
          <w:sz w:val="32"/>
          <w:szCs w:val="32"/>
          <w:lang w:val="en-US" w:eastAsia="zh-CN" w:bidi="ar-SA"/>
        </w:rPr>
        <w:t>总工会、</w:t>
      </w:r>
      <w:r>
        <w:rPr>
          <w:rStyle w:val="12"/>
          <w:rFonts w:hint="eastAsia" w:ascii="仿宋_GB2312" w:hAnsi="Calibri" w:eastAsia="仿宋_GB2312" w:cs="Times New Roman"/>
          <w:snapToGrid/>
          <w:color w:val="000000"/>
          <w:kern w:val="2"/>
          <w:sz w:val="32"/>
          <w:szCs w:val="32"/>
          <w:lang w:val="en-US" w:eastAsia="zh-CN" w:bidi="ar-SA"/>
        </w:rPr>
        <w:t>区建管委、华新镇人民政府</w:t>
      </w:r>
      <w:r>
        <w:rPr>
          <w:rStyle w:val="12"/>
          <w:rFonts w:ascii="仿宋_GB2312" w:hAnsi="Calibri" w:eastAsia="仿宋_GB2312" w:cs="Times New Roman"/>
          <w:snapToGrid/>
          <w:color w:val="000000"/>
          <w:kern w:val="2"/>
          <w:sz w:val="32"/>
          <w:szCs w:val="32"/>
          <w:lang w:val="en-US" w:eastAsia="zh-CN" w:bidi="ar-SA"/>
        </w:rPr>
        <w:t>组成</w:t>
      </w:r>
      <w:r>
        <w:rPr>
          <w:rStyle w:val="12"/>
          <w:rFonts w:hint="eastAsia" w:ascii="仿宋_GB2312" w:hAnsi="Calibri" w:eastAsia="仿宋_GB2312" w:cs="Times New Roman"/>
          <w:snapToGrid/>
          <w:color w:val="000000"/>
          <w:kern w:val="2"/>
          <w:sz w:val="32"/>
          <w:szCs w:val="32"/>
          <w:lang w:val="en-US" w:eastAsia="zh-CN" w:bidi="ar-SA"/>
        </w:rPr>
        <w:t>青浦华新山东鸿典建设有限公司“4·9”高处坠落一般</w:t>
      </w:r>
      <w:r>
        <w:rPr>
          <w:rStyle w:val="12"/>
          <w:rFonts w:ascii="仿宋_GB2312" w:hAnsi="Calibri" w:eastAsia="仿宋_GB2312" w:cs="Times New Roman"/>
          <w:snapToGrid/>
          <w:color w:val="000000"/>
          <w:kern w:val="2"/>
          <w:sz w:val="32"/>
          <w:szCs w:val="32"/>
          <w:lang w:val="en-US" w:eastAsia="zh-CN" w:bidi="ar-SA"/>
        </w:rPr>
        <w:t>事故整改和防范措施落实情况评估组（以下简称评估组），委托上海</w:t>
      </w:r>
      <w:r>
        <w:rPr>
          <w:rStyle w:val="12"/>
          <w:rFonts w:hint="eastAsia" w:ascii="仿宋_GB2312" w:hAnsi="Calibri" w:eastAsia="仿宋_GB2312" w:cs="Times New Roman"/>
          <w:snapToGrid/>
          <w:color w:val="000000"/>
          <w:kern w:val="2"/>
          <w:sz w:val="32"/>
          <w:szCs w:val="32"/>
          <w:lang w:val="en-US" w:eastAsia="zh-CN" w:bidi="ar-SA"/>
        </w:rPr>
        <w:t>欣企安全生产咨询服务有限公司</w:t>
      </w:r>
      <w:r>
        <w:rPr>
          <w:rStyle w:val="12"/>
          <w:rFonts w:ascii="仿宋_GB2312" w:hAnsi="Calibri" w:eastAsia="仿宋_GB2312" w:cs="Times New Roman"/>
          <w:snapToGrid/>
          <w:color w:val="000000"/>
          <w:kern w:val="2"/>
          <w:sz w:val="32"/>
          <w:szCs w:val="32"/>
          <w:lang w:val="en-US" w:eastAsia="zh-CN" w:bidi="ar-SA"/>
        </w:rPr>
        <w:t>及相关专家参与评估。</w:t>
      </w:r>
    </w:p>
    <w:p>
      <w:pPr>
        <w:pStyle w:val="6"/>
        <w:keepNext w:val="0"/>
        <w:keepLines w:val="0"/>
        <w:pageBreakBefore w:val="0"/>
        <w:wordWrap/>
        <w:overflowPunct/>
        <w:topLinePunct w:val="0"/>
        <w:bidi w:val="0"/>
        <w:spacing w:line="560" w:lineRule="exact"/>
        <w:ind w:left="0" w:leftChars="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 追究、整改和防范措施落实等情况，并结合专家意见，进行了综 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7月29日，上海市青浦区应急管理局（以下简称区应急管理局）按照事故责任认定及处理建议，对事故责任单位山东鸿典建设有限公司作出罚款50万元的行政处罚决定；对事故责任人山东鸿典建设有限公司总经理陈建民、山东鸿典建设有限公司项目现场负责人尹承杰、上海烽铭实业有限公司副总经理侯艳红分别作出罚款26400元、12000元、24000元的行政处罚决定。</w:t>
      </w:r>
    </w:p>
    <w:p>
      <w:pPr>
        <w:pStyle w:val="6"/>
        <w:keepNext w:val="0"/>
        <w:keepLines w:val="0"/>
        <w:pageBreakBefore w:val="0"/>
        <w:wordWrap/>
        <w:overflowPunct/>
        <w:topLinePunct w:val="0"/>
        <w:bidi w:val="0"/>
        <w:spacing w:line="560" w:lineRule="exact"/>
        <w:ind w:left="0" w:leftChars="0" w:right="0" w:firstLine="640" w:firstLineChars="200"/>
        <w:jc w:val="both"/>
        <w:rPr>
          <w:rStyle w:val="12"/>
          <w:rFonts w:hAnsi="Calibri" w:cs="Times New Roman"/>
          <w:snapToGrid/>
          <w:kern w:val="2"/>
          <w:sz w:val="32"/>
          <w:szCs w:val="32"/>
          <w:lang w:eastAsia="zh-CN"/>
        </w:rPr>
      </w:pPr>
      <w:r>
        <w:rPr>
          <w:rStyle w:val="12"/>
          <w:rFonts w:hint="eastAsia" w:hAnsi="Calibri" w:cs="Times New Roman"/>
          <w:snapToGrid/>
          <w:kern w:val="2"/>
          <w:sz w:val="32"/>
          <w:szCs w:val="32"/>
          <w:lang w:eastAsia="zh-CN"/>
        </w:rPr>
        <w:t>经核实，以上行政处罚均已执行。</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（一）山东鸿典建设有限公司</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1、开展</w:t>
      </w:r>
      <w:r>
        <w:rPr>
          <w:rStyle w:val="12"/>
          <w:rFonts w:hint="eastAsia" w:hAnsi="Calibri" w:cs="Times New Roman"/>
          <w:snapToGrid/>
          <w:color w:val="000000"/>
          <w:kern w:val="2"/>
          <w:sz w:val="32"/>
          <w:szCs w:val="32"/>
          <w:lang w:val="en-US" w:eastAsia="zh-CN" w:bidi="ar-SA"/>
        </w:rPr>
        <w:t>风险隐患</w:t>
      </w:r>
      <w:r>
        <w:rPr>
          <w:rStyle w:val="12"/>
          <w:rFonts w:hint="eastAsia" w:ascii="仿宋_GB2312" w:hAnsi="Calibri" w:eastAsia="仿宋_GB2312" w:cs="Times New Roman"/>
          <w:snapToGrid/>
          <w:color w:val="000000"/>
          <w:kern w:val="2"/>
          <w:sz w:val="32"/>
          <w:szCs w:val="32"/>
          <w:lang w:val="en-US" w:eastAsia="zh-CN" w:bidi="ar-SA"/>
        </w:rPr>
        <w:t>点排查。以房顶为中心，</w:t>
      </w:r>
      <w:r>
        <w:rPr>
          <w:rStyle w:val="12"/>
          <w:rFonts w:hint="eastAsia" w:hAnsi="Calibri" w:cs="Times New Roman"/>
          <w:snapToGrid/>
          <w:color w:val="000000"/>
          <w:kern w:val="2"/>
          <w:sz w:val="32"/>
          <w:szCs w:val="32"/>
          <w:lang w:val="en-US" w:eastAsia="zh-CN" w:bidi="ar-SA"/>
        </w:rPr>
        <w:t>根据对</w:t>
      </w:r>
      <w:r>
        <w:rPr>
          <w:rStyle w:val="12"/>
          <w:rFonts w:hint="eastAsia" w:ascii="仿宋_GB2312" w:hAnsi="Calibri" w:eastAsia="仿宋_GB2312" w:cs="Times New Roman"/>
          <w:snapToGrid/>
          <w:color w:val="000000"/>
          <w:kern w:val="2"/>
          <w:sz w:val="32"/>
          <w:szCs w:val="32"/>
          <w:lang w:val="en-US" w:eastAsia="zh-CN" w:bidi="ar-SA"/>
        </w:rPr>
        <w:t>房顶下方</w:t>
      </w:r>
      <w:r>
        <w:rPr>
          <w:rStyle w:val="12"/>
          <w:rFonts w:hint="eastAsia" w:hAnsi="Calibri" w:cs="Times New Roman"/>
          <w:snapToGrid/>
          <w:color w:val="000000"/>
          <w:kern w:val="2"/>
          <w:sz w:val="32"/>
          <w:szCs w:val="32"/>
          <w:lang w:val="en-US" w:eastAsia="zh-CN" w:bidi="ar-SA"/>
        </w:rPr>
        <w:t>存在</w:t>
      </w:r>
      <w:r>
        <w:rPr>
          <w:rStyle w:val="12"/>
          <w:rFonts w:hint="eastAsia" w:ascii="仿宋_GB2312" w:hAnsi="Calibri" w:eastAsia="仿宋_GB2312" w:cs="Times New Roman"/>
          <w:snapToGrid/>
          <w:color w:val="000000"/>
          <w:kern w:val="2"/>
          <w:sz w:val="32"/>
          <w:szCs w:val="32"/>
          <w:lang w:val="en-US" w:eastAsia="zh-CN" w:bidi="ar-SA"/>
        </w:rPr>
        <w:t>坠落</w:t>
      </w:r>
      <w:r>
        <w:rPr>
          <w:rStyle w:val="12"/>
          <w:rFonts w:hint="eastAsia" w:hAnsi="Calibri" w:cs="Times New Roman"/>
          <w:snapToGrid/>
          <w:color w:val="000000"/>
          <w:kern w:val="2"/>
          <w:sz w:val="32"/>
          <w:szCs w:val="32"/>
          <w:lang w:val="en-US" w:eastAsia="zh-CN" w:bidi="ar-SA"/>
        </w:rPr>
        <w:t>风险</w:t>
      </w:r>
      <w:r>
        <w:rPr>
          <w:rStyle w:val="12"/>
          <w:rFonts w:hint="eastAsia" w:ascii="仿宋_GB2312" w:hAnsi="Calibri" w:eastAsia="仿宋_GB2312" w:cs="Times New Roman"/>
          <w:snapToGrid/>
          <w:color w:val="000000"/>
          <w:kern w:val="2"/>
          <w:sz w:val="32"/>
          <w:szCs w:val="32"/>
          <w:lang w:val="en-US" w:eastAsia="zh-CN" w:bidi="ar-SA"/>
        </w:rPr>
        <w:t>的非承重部位</w:t>
      </w:r>
      <w:r>
        <w:rPr>
          <w:rStyle w:val="12"/>
          <w:rFonts w:hint="eastAsia" w:hAnsi="Calibri" w:cs="Times New Roman"/>
          <w:snapToGrid/>
          <w:color w:val="000000"/>
          <w:kern w:val="2"/>
          <w:sz w:val="32"/>
          <w:szCs w:val="32"/>
          <w:lang w:val="en-US" w:eastAsia="zh-CN" w:bidi="ar-SA"/>
        </w:rPr>
        <w:t>的</w:t>
      </w:r>
      <w:r>
        <w:rPr>
          <w:rStyle w:val="12"/>
          <w:rFonts w:hint="eastAsia" w:ascii="仿宋_GB2312" w:hAnsi="Calibri" w:eastAsia="仿宋_GB2312" w:cs="Times New Roman"/>
          <w:snapToGrid/>
          <w:color w:val="000000"/>
          <w:kern w:val="2"/>
          <w:sz w:val="32"/>
          <w:szCs w:val="32"/>
          <w:lang w:val="en-US" w:eastAsia="zh-CN" w:bidi="ar-SA"/>
        </w:rPr>
        <w:t>多次盘查，</w:t>
      </w:r>
      <w:r>
        <w:rPr>
          <w:rStyle w:val="12"/>
          <w:rFonts w:hint="eastAsia" w:hAnsi="Calibri" w:cs="Times New Roman"/>
          <w:snapToGrid/>
          <w:color w:val="000000"/>
          <w:kern w:val="2"/>
          <w:sz w:val="32"/>
          <w:szCs w:val="32"/>
          <w:lang w:val="en-US" w:eastAsia="zh-CN" w:bidi="ar-SA"/>
        </w:rPr>
        <w:t>设定</w:t>
      </w:r>
      <w:r>
        <w:rPr>
          <w:rStyle w:val="12"/>
          <w:rFonts w:hint="eastAsia" w:ascii="仿宋_GB2312" w:hAnsi="Calibri" w:eastAsia="仿宋_GB2312" w:cs="Times New Roman"/>
          <w:snapToGrid/>
          <w:color w:val="000000"/>
          <w:kern w:val="2"/>
          <w:sz w:val="32"/>
          <w:szCs w:val="32"/>
          <w:lang w:val="en-US" w:eastAsia="zh-CN" w:bidi="ar-SA"/>
        </w:rPr>
        <w:t>行走安全通道</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采光带</w:t>
      </w:r>
      <w:r>
        <w:rPr>
          <w:rStyle w:val="12"/>
          <w:rFonts w:hint="eastAsia" w:hAnsi="Calibri" w:cs="Times New Roman"/>
          <w:snapToGrid/>
          <w:color w:val="000000"/>
          <w:kern w:val="2"/>
          <w:sz w:val="32"/>
          <w:szCs w:val="32"/>
          <w:lang w:val="en-US" w:eastAsia="zh-CN" w:bidi="ar-SA"/>
        </w:rPr>
        <w:t>、有</w:t>
      </w:r>
      <w:r>
        <w:rPr>
          <w:rStyle w:val="12"/>
          <w:rFonts w:hint="eastAsia" w:ascii="仿宋_GB2312" w:hAnsi="Calibri" w:eastAsia="仿宋_GB2312" w:cs="Times New Roman"/>
          <w:snapToGrid/>
          <w:color w:val="000000"/>
          <w:kern w:val="2"/>
          <w:sz w:val="32"/>
          <w:szCs w:val="32"/>
          <w:lang w:val="en-US" w:eastAsia="zh-CN" w:bidi="ar-SA"/>
        </w:rPr>
        <w:t>黑色或者灰色防水部位</w:t>
      </w:r>
      <w:r>
        <w:rPr>
          <w:rStyle w:val="12"/>
          <w:rFonts w:hint="eastAsia" w:hAnsi="Calibri" w:cs="Times New Roman"/>
          <w:snapToGrid/>
          <w:color w:val="000000"/>
          <w:kern w:val="2"/>
          <w:sz w:val="32"/>
          <w:szCs w:val="32"/>
          <w:lang w:val="en-US" w:eastAsia="zh-CN" w:bidi="ar-SA"/>
        </w:rPr>
        <w:t>、有</w:t>
      </w:r>
      <w:r>
        <w:rPr>
          <w:rStyle w:val="12"/>
          <w:rFonts w:hint="eastAsia" w:ascii="仿宋_GB2312" w:hAnsi="Calibri" w:eastAsia="仿宋_GB2312" w:cs="Times New Roman"/>
          <w:snapToGrid/>
          <w:color w:val="000000"/>
          <w:kern w:val="2"/>
          <w:sz w:val="32"/>
          <w:szCs w:val="32"/>
          <w:lang w:val="en-US" w:eastAsia="zh-CN" w:bidi="ar-SA"/>
        </w:rPr>
        <w:t>可疑部位</w:t>
      </w:r>
      <w:r>
        <w:rPr>
          <w:rStyle w:val="12"/>
          <w:rFonts w:hint="eastAsia" w:hAnsi="Calibri" w:cs="Times New Roman"/>
          <w:snapToGrid/>
          <w:color w:val="000000"/>
          <w:kern w:val="2"/>
          <w:sz w:val="32"/>
          <w:szCs w:val="32"/>
          <w:lang w:val="en-US" w:eastAsia="zh-CN" w:bidi="ar-SA"/>
        </w:rPr>
        <w:t>等</w:t>
      </w:r>
      <w:r>
        <w:rPr>
          <w:rStyle w:val="12"/>
          <w:rFonts w:hint="eastAsia" w:ascii="仿宋_GB2312" w:hAnsi="Calibri" w:eastAsia="仿宋_GB2312" w:cs="Times New Roman"/>
          <w:snapToGrid/>
          <w:color w:val="000000"/>
          <w:kern w:val="2"/>
          <w:sz w:val="32"/>
          <w:szCs w:val="32"/>
          <w:lang w:val="en-US" w:eastAsia="zh-CN" w:bidi="ar-SA"/>
        </w:rPr>
        <w:t>严禁踩踏。</w:t>
      </w:r>
      <w:r>
        <w:rPr>
          <w:rStyle w:val="12"/>
          <w:rFonts w:hint="eastAsia" w:hAnsi="Calibri" w:cs="Times New Roman"/>
          <w:snapToGrid/>
          <w:color w:val="000000"/>
          <w:kern w:val="2"/>
          <w:sz w:val="32"/>
          <w:szCs w:val="32"/>
          <w:lang w:val="en-US" w:eastAsia="zh-CN" w:bidi="ar-SA"/>
        </w:rPr>
        <w:t>设定</w:t>
      </w:r>
      <w:r>
        <w:rPr>
          <w:rStyle w:val="12"/>
          <w:rFonts w:hint="eastAsia" w:ascii="仿宋_GB2312" w:hAnsi="Calibri" w:eastAsia="仿宋_GB2312" w:cs="Times New Roman"/>
          <w:snapToGrid/>
          <w:color w:val="000000"/>
          <w:kern w:val="2"/>
          <w:sz w:val="32"/>
          <w:szCs w:val="32"/>
          <w:lang w:val="en-US" w:eastAsia="zh-CN" w:bidi="ar-SA"/>
        </w:rPr>
        <w:t>的安全通道路线，采光带上面铺设木板。避开有可能的非承重部位</w:t>
      </w:r>
      <w:r>
        <w:rPr>
          <w:rStyle w:val="12"/>
          <w:rFonts w:hint="eastAsia" w:hAnsi="Calibri" w:cs="Times New Roman"/>
          <w:snapToGrid/>
          <w:color w:val="000000"/>
          <w:kern w:val="2"/>
          <w:sz w:val="32"/>
          <w:szCs w:val="32"/>
          <w:lang w:val="en-US" w:eastAsia="zh-CN" w:bidi="ar-SA"/>
        </w:rPr>
        <w:t>，合理</w:t>
      </w:r>
      <w:r>
        <w:rPr>
          <w:rStyle w:val="12"/>
          <w:rFonts w:hint="eastAsia" w:ascii="仿宋_GB2312" w:hAnsi="Calibri" w:eastAsia="仿宋_GB2312" w:cs="Times New Roman"/>
          <w:snapToGrid/>
          <w:color w:val="000000"/>
          <w:kern w:val="2"/>
          <w:sz w:val="32"/>
          <w:szCs w:val="32"/>
          <w:lang w:val="en-US" w:eastAsia="zh-CN" w:bidi="ar-SA"/>
        </w:rPr>
        <w:t>设置生命线。</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2、成立</w:t>
      </w:r>
      <w:r>
        <w:rPr>
          <w:rStyle w:val="12"/>
          <w:rFonts w:hint="eastAsia" w:hAnsi="Calibri" w:cs="Times New Roman"/>
          <w:snapToGrid/>
          <w:color w:val="000000"/>
          <w:kern w:val="2"/>
          <w:sz w:val="32"/>
          <w:szCs w:val="32"/>
          <w:lang w:val="en-US" w:eastAsia="zh-CN" w:bidi="ar-SA"/>
        </w:rPr>
        <w:t>施工安全</w:t>
      </w:r>
      <w:r>
        <w:rPr>
          <w:rStyle w:val="12"/>
          <w:rFonts w:hint="eastAsia" w:ascii="仿宋_GB2312" w:hAnsi="Calibri" w:eastAsia="仿宋_GB2312" w:cs="Times New Roman"/>
          <w:snapToGrid/>
          <w:color w:val="000000"/>
          <w:kern w:val="2"/>
          <w:sz w:val="32"/>
          <w:szCs w:val="32"/>
          <w:lang w:val="en-US" w:eastAsia="zh-CN" w:bidi="ar-SA"/>
        </w:rPr>
        <w:t>整改小组。根据施工安全整改报告，成立安全整改小组，组员为全体施工人员。召开项目部管理人员会议，统一思想，提高</w:t>
      </w:r>
      <w:r>
        <w:rPr>
          <w:rStyle w:val="12"/>
          <w:rFonts w:hint="eastAsia" w:hAnsi="Calibri" w:cs="Times New Roman"/>
          <w:snapToGrid/>
          <w:color w:val="000000"/>
          <w:kern w:val="2"/>
          <w:sz w:val="32"/>
          <w:szCs w:val="32"/>
          <w:lang w:val="en-US" w:eastAsia="zh-CN" w:bidi="ar-SA"/>
        </w:rPr>
        <w:t>安全意识</w:t>
      </w:r>
      <w:r>
        <w:rPr>
          <w:rStyle w:val="12"/>
          <w:rFonts w:hint="eastAsia" w:ascii="仿宋_GB2312" w:hAnsi="Calibri" w:eastAsia="仿宋_GB2312" w:cs="Times New Roman"/>
          <w:snapToGrid/>
          <w:color w:val="000000"/>
          <w:kern w:val="2"/>
          <w:sz w:val="32"/>
          <w:szCs w:val="32"/>
          <w:lang w:val="en-US" w:eastAsia="zh-CN" w:bidi="ar-SA"/>
        </w:rPr>
        <w:t>，明确任务、要求、目标，引以为戒，坚决杜绝事故发生。</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3</w:t>
      </w:r>
      <w:r>
        <w:rPr>
          <w:rStyle w:val="12"/>
          <w:rFonts w:hint="eastAsia" w:ascii="仿宋_GB2312" w:hAnsi="Calibri" w:eastAsia="仿宋_GB2312" w:cs="Times New Roman"/>
          <w:snapToGrid/>
          <w:color w:val="000000"/>
          <w:kern w:val="2"/>
          <w:sz w:val="32"/>
          <w:szCs w:val="32"/>
          <w:lang w:val="en-US" w:eastAsia="zh-CN" w:bidi="ar-SA"/>
        </w:rPr>
        <w:t>、深刻吸取教训，建立健全安全管理体系。建立健全安全管理制度和安全操作规程，强化对实施方案的编制和完善工作。</w:t>
      </w:r>
      <w:r>
        <w:rPr>
          <w:rStyle w:val="12"/>
          <w:rFonts w:hint="eastAsia" w:hAnsi="Calibri" w:cs="Times New Roman"/>
          <w:snapToGrid/>
          <w:color w:val="000000"/>
          <w:kern w:val="2"/>
          <w:sz w:val="32"/>
          <w:szCs w:val="32"/>
          <w:lang w:val="en-US" w:eastAsia="zh-CN" w:bidi="ar-SA"/>
        </w:rPr>
        <w:t>对</w:t>
      </w:r>
      <w:r>
        <w:rPr>
          <w:rStyle w:val="12"/>
          <w:rFonts w:hint="eastAsia" w:ascii="仿宋_GB2312" w:hAnsi="Calibri" w:eastAsia="仿宋_GB2312" w:cs="Times New Roman"/>
          <w:snapToGrid/>
          <w:color w:val="000000"/>
          <w:kern w:val="2"/>
          <w:sz w:val="32"/>
          <w:szCs w:val="32"/>
          <w:lang w:val="en-US" w:eastAsia="zh-CN" w:bidi="ar-SA"/>
        </w:rPr>
        <w:t>可能出现的安全风险做好辨识工作。进一步加强现场安全标志的布置和维护，并根据施工进度及时补充安全标志，确保施工过程中施工现场始终保持浓厚的安全生产氛围。</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4</w:t>
      </w:r>
      <w:r>
        <w:rPr>
          <w:rStyle w:val="12"/>
          <w:rFonts w:hint="eastAsia" w:ascii="仿宋_GB2312" w:hAnsi="Calibri" w:eastAsia="仿宋_GB2312" w:cs="Times New Roman"/>
          <w:snapToGrid/>
          <w:color w:val="000000"/>
          <w:kern w:val="2"/>
          <w:sz w:val="32"/>
          <w:szCs w:val="32"/>
          <w:lang w:val="en-US" w:eastAsia="zh-CN" w:bidi="ar-SA"/>
        </w:rPr>
        <w:t>、加强特种作业证件管理，严格落实法律法规的要求。完善各种作业的证件管理工作，仔细核对特种作业目录。健全特种作业相关的安全规章制度。加强特种作业人员的审核工作，确保特种作业持证施工。</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hAnsi="Calibri" w:cs="Times New Roman"/>
          <w:snapToGrid/>
          <w:color w:val="000000"/>
          <w:kern w:val="2"/>
          <w:sz w:val="32"/>
          <w:szCs w:val="32"/>
          <w:lang w:val="en-US" w:eastAsia="zh-CN" w:bidi="ar-SA"/>
        </w:rPr>
        <w:t>5</w:t>
      </w:r>
      <w:r>
        <w:rPr>
          <w:rStyle w:val="12"/>
          <w:rFonts w:hint="eastAsia" w:ascii="仿宋_GB2312" w:hAnsi="Calibri" w:eastAsia="仿宋_GB2312" w:cs="Times New Roman"/>
          <w:snapToGrid/>
          <w:color w:val="000000"/>
          <w:kern w:val="2"/>
          <w:sz w:val="32"/>
          <w:szCs w:val="32"/>
          <w:lang w:val="en-US" w:eastAsia="zh-CN" w:bidi="ar-SA"/>
        </w:rPr>
        <w:t>、</w:t>
      </w:r>
      <w:r>
        <w:rPr>
          <w:rStyle w:val="12"/>
          <w:rFonts w:hint="eastAsia" w:hAnsi="Calibri" w:cs="Times New Roman"/>
          <w:snapToGrid/>
          <w:color w:val="000000"/>
          <w:kern w:val="2"/>
          <w:sz w:val="32"/>
          <w:szCs w:val="32"/>
          <w:lang w:val="en-US" w:eastAsia="zh-CN" w:bidi="ar-SA"/>
        </w:rPr>
        <w:t>落实隐患排查整改工作</w:t>
      </w:r>
      <w:r>
        <w:rPr>
          <w:rStyle w:val="12"/>
          <w:rFonts w:hint="eastAsia" w:ascii="仿宋_GB2312" w:hAnsi="Calibri" w:eastAsia="仿宋_GB2312" w:cs="Times New Roman"/>
          <w:snapToGrid/>
          <w:color w:val="000000"/>
          <w:kern w:val="2"/>
          <w:sz w:val="32"/>
          <w:szCs w:val="32"/>
          <w:lang w:val="en-US" w:eastAsia="zh-CN" w:bidi="ar-SA"/>
        </w:rPr>
        <w:t>。。定期检查，及时发现隐患</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及时整改到位。强化现场管理，确保作业人员按照施工方案要求进行施工，定期对现场进行检查。保障安全措施完备、有效。加强巡检工作，通过各种手段如技术、管理、教育等有效措施发现隐患</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谨防事故的发生。</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bookmarkStart w:id="0" w:name="OLE_LINK1"/>
      <w:r>
        <w:rPr>
          <w:rFonts w:hint="eastAsia" w:ascii="黑体" w:hAnsi="黑体" w:eastAsia="CESI楷体-GB2312" w:cs="黑体"/>
          <w:b/>
          <w:bCs/>
          <w:snapToGrid/>
          <w:kern w:val="2"/>
          <w:sz w:val="32"/>
          <w:szCs w:val="32"/>
          <w:lang w:val="en-US" w:eastAsia="zh-CN"/>
        </w:rPr>
        <w:t>（二）上海烽铭实业有限公司</w:t>
      </w:r>
    </w:p>
    <w:bookmarkEnd w:id="0"/>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1、</w:t>
      </w:r>
      <w:r>
        <w:rPr>
          <w:rStyle w:val="12"/>
          <w:rFonts w:hint="eastAsia" w:hAnsi="Calibri" w:cs="Times New Roman"/>
          <w:snapToGrid/>
          <w:color w:val="000000"/>
          <w:kern w:val="2"/>
          <w:sz w:val="32"/>
          <w:szCs w:val="32"/>
          <w:lang w:val="en-US" w:eastAsia="zh-CN" w:bidi="ar-SA"/>
        </w:rPr>
        <w:t>加强</w:t>
      </w:r>
      <w:r>
        <w:rPr>
          <w:rStyle w:val="12"/>
          <w:rFonts w:hint="eastAsia" w:ascii="仿宋_GB2312" w:hAnsi="Calibri" w:eastAsia="仿宋_GB2312" w:cs="Times New Roman"/>
          <w:snapToGrid/>
          <w:color w:val="000000"/>
          <w:kern w:val="2"/>
          <w:sz w:val="32"/>
          <w:szCs w:val="32"/>
          <w:lang w:val="en-US" w:eastAsia="zh-CN" w:bidi="ar-SA"/>
        </w:rPr>
        <w:t>人员管理。</w:t>
      </w:r>
      <w:r>
        <w:rPr>
          <w:rStyle w:val="12"/>
          <w:rFonts w:hint="eastAsia" w:hAnsi="Calibri" w:cs="Times New Roman"/>
          <w:snapToGrid/>
          <w:color w:val="000000"/>
          <w:kern w:val="2"/>
          <w:sz w:val="32"/>
          <w:szCs w:val="32"/>
          <w:lang w:val="en-US" w:eastAsia="zh-CN" w:bidi="ar-SA"/>
        </w:rPr>
        <w:t>对</w:t>
      </w:r>
      <w:r>
        <w:rPr>
          <w:rStyle w:val="12"/>
          <w:rFonts w:hint="eastAsia" w:ascii="仿宋_GB2312" w:hAnsi="Calibri" w:eastAsia="仿宋_GB2312" w:cs="Times New Roman"/>
          <w:snapToGrid/>
          <w:color w:val="000000"/>
          <w:kern w:val="2"/>
          <w:sz w:val="32"/>
          <w:szCs w:val="32"/>
          <w:lang w:val="en-US" w:eastAsia="zh-CN" w:bidi="ar-SA"/>
        </w:rPr>
        <w:t>作业人员提前报备和资格审查，检查施工人员</w:t>
      </w:r>
      <w:r>
        <w:rPr>
          <w:rStyle w:val="12"/>
          <w:rFonts w:hint="eastAsia" w:hAnsi="Calibri" w:cs="Times New Roman"/>
          <w:snapToGrid/>
          <w:color w:val="000000"/>
          <w:kern w:val="2"/>
          <w:sz w:val="32"/>
          <w:szCs w:val="32"/>
          <w:lang w:val="en-US" w:eastAsia="zh-CN" w:bidi="ar-SA"/>
        </w:rPr>
        <w:t>持证情况，</w:t>
      </w:r>
      <w:r>
        <w:rPr>
          <w:rStyle w:val="12"/>
          <w:rFonts w:hint="eastAsia" w:ascii="仿宋_GB2312" w:hAnsi="Calibri" w:eastAsia="仿宋_GB2312" w:cs="Times New Roman"/>
          <w:snapToGrid/>
          <w:color w:val="000000"/>
          <w:kern w:val="2"/>
          <w:sz w:val="32"/>
          <w:szCs w:val="32"/>
          <w:lang w:val="en-US" w:eastAsia="zh-CN" w:bidi="ar-SA"/>
        </w:rPr>
        <w:t>包括登高证、特种作业证和健康证明等，严格做到人证合一，无合法合规资格</w:t>
      </w:r>
      <w:r>
        <w:rPr>
          <w:rStyle w:val="12"/>
          <w:rFonts w:hint="eastAsia" w:hAnsi="Calibri" w:cs="Times New Roman"/>
          <w:snapToGrid/>
          <w:color w:val="000000"/>
          <w:kern w:val="2"/>
          <w:sz w:val="32"/>
          <w:szCs w:val="32"/>
          <w:lang w:val="en-US" w:eastAsia="zh-CN" w:bidi="ar-SA"/>
        </w:rPr>
        <w:t>的</w:t>
      </w:r>
      <w:r>
        <w:rPr>
          <w:rStyle w:val="12"/>
          <w:rFonts w:hint="eastAsia" w:ascii="仿宋_GB2312" w:hAnsi="Calibri" w:eastAsia="仿宋_GB2312" w:cs="Times New Roman"/>
          <w:snapToGrid/>
          <w:color w:val="000000"/>
          <w:kern w:val="2"/>
          <w:sz w:val="32"/>
          <w:szCs w:val="32"/>
          <w:lang w:val="en-US" w:eastAsia="zh-CN" w:bidi="ar-SA"/>
        </w:rPr>
        <w:t>人员严禁入场。加强出入口人员管理，施工单位必须每日指定一名管理人员或安全管理人员带队，进场人员逐一进行登记。否则，严禁施工操作人员擅自进场作业。</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2、安全防护措施巡检。每日施工前，协同施工单位安全管理人员</w:t>
      </w:r>
      <w:r>
        <w:rPr>
          <w:rStyle w:val="12"/>
          <w:rFonts w:hint="eastAsia" w:hAnsi="Calibri" w:cs="Times New Roman"/>
          <w:snapToGrid/>
          <w:color w:val="000000"/>
          <w:kern w:val="2"/>
          <w:sz w:val="32"/>
          <w:szCs w:val="32"/>
          <w:lang w:val="en-US" w:eastAsia="zh-CN" w:bidi="ar-SA"/>
        </w:rPr>
        <w:t>对</w:t>
      </w:r>
      <w:r>
        <w:rPr>
          <w:rStyle w:val="12"/>
          <w:rFonts w:hint="eastAsia" w:ascii="仿宋_GB2312" w:hAnsi="Calibri" w:eastAsia="仿宋_GB2312" w:cs="Times New Roman"/>
          <w:snapToGrid/>
          <w:color w:val="000000"/>
          <w:kern w:val="2"/>
          <w:sz w:val="32"/>
          <w:szCs w:val="32"/>
          <w:lang w:val="en-US" w:eastAsia="zh-CN" w:bidi="ar-SA"/>
        </w:rPr>
        <w:t>各项安全防护措施进行巡视检查并做好检查纪录，</w:t>
      </w:r>
      <w:r>
        <w:rPr>
          <w:rStyle w:val="12"/>
          <w:rFonts w:hint="eastAsia" w:hAnsi="Calibri" w:cs="Times New Roman"/>
          <w:snapToGrid/>
          <w:color w:val="000000"/>
          <w:kern w:val="2"/>
          <w:sz w:val="32"/>
          <w:szCs w:val="32"/>
          <w:lang w:val="en-US" w:eastAsia="zh-CN" w:bidi="ar-SA"/>
        </w:rPr>
        <w:t>确保安全可靠</w:t>
      </w:r>
      <w:r>
        <w:rPr>
          <w:rStyle w:val="12"/>
          <w:rFonts w:hint="eastAsia" w:ascii="仿宋_GB2312" w:hAnsi="Calibri" w:eastAsia="仿宋_GB2312" w:cs="Times New Roman"/>
          <w:snapToGrid/>
          <w:color w:val="000000"/>
          <w:kern w:val="2"/>
          <w:sz w:val="32"/>
          <w:szCs w:val="32"/>
          <w:lang w:val="en-US" w:eastAsia="zh-CN" w:bidi="ar-SA"/>
        </w:rPr>
        <w:t>。在作业期间，进行巡视，发现任何安全防护出现问题立即停工进行整改，整改完毕并经检查合格后方可复工。</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3、危险区域重点防护。</w:t>
      </w:r>
      <w:r>
        <w:rPr>
          <w:rStyle w:val="12"/>
          <w:rFonts w:hint="eastAsia" w:hAnsi="Calibri" w:cs="Times New Roman"/>
          <w:snapToGrid/>
          <w:color w:val="000000"/>
          <w:kern w:val="2"/>
          <w:sz w:val="32"/>
          <w:szCs w:val="32"/>
          <w:lang w:val="en-US" w:eastAsia="zh-CN" w:bidi="ar-SA"/>
        </w:rPr>
        <w:t>会同</w:t>
      </w:r>
      <w:r>
        <w:rPr>
          <w:rStyle w:val="12"/>
          <w:rFonts w:hint="eastAsia" w:ascii="仿宋_GB2312" w:hAnsi="Calibri" w:eastAsia="仿宋_GB2312" w:cs="Times New Roman"/>
          <w:snapToGrid/>
          <w:color w:val="000000"/>
          <w:kern w:val="2"/>
          <w:sz w:val="32"/>
          <w:szCs w:val="32"/>
          <w:lang w:val="en-US" w:eastAsia="zh-CN" w:bidi="ar-SA"/>
        </w:rPr>
        <w:t>施工单位对危险区域进行分析作出标识，并制定危险区域的防护措施，重点进行监控，要求专项安全管理人员实时监督检查。</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4、厂房内装修</w:t>
      </w:r>
      <w:r>
        <w:rPr>
          <w:rStyle w:val="12"/>
          <w:rFonts w:hint="eastAsia" w:hAnsi="Calibri" w:cs="Times New Roman"/>
          <w:snapToGrid/>
          <w:color w:val="000000"/>
          <w:kern w:val="2"/>
          <w:sz w:val="32"/>
          <w:szCs w:val="32"/>
          <w:lang w:val="en-US" w:eastAsia="zh-CN" w:bidi="ar-SA"/>
        </w:rPr>
        <w:t>项目的</w:t>
      </w:r>
      <w:r>
        <w:rPr>
          <w:rStyle w:val="12"/>
          <w:rFonts w:hint="eastAsia" w:ascii="仿宋_GB2312" w:hAnsi="Calibri" w:eastAsia="仿宋_GB2312" w:cs="Times New Roman"/>
          <w:snapToGrid/>
          <w:color w:val="000000"/>
          <w:kern w:val="2"/>
          <w:sz w:val="32"/>
          <w:szCs w:val="32"/>
          <w:lang w:val="en-US" w:eastAsia="zh-CN" w:bidi="ar-SA"/>
        </w:rPr>
        <w:t>管理。在屋面施工期间，函告厂房内各单位不得擅自拆除室内任何屋面安全防护措施，同意拆除期间停止该区域的作业，直至恢复。同时在巡检时对室内有装修工作的区域进行重点检查。</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5、施工安全管理。要求施工单位优先安排有同类项目施工经验、专业性更强、施工经验更丰富的施工人员进场施工</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全面进行安全教育培训和安全交底</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配备专项安全员检查和监督</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切实全面落实安全防护措施</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施工单位管理人员或安全管理人员每日作业前要进行安全措施检查、召开安全例会，强化全员安全意识，对新进人员特别进行安全培训和提醒。</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（三）华新镇人民政府</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1、完善安全管理制度，加强监督检查。一是强化落实企业单位对特种作业人员的日常安全管理制度，要督促并对其开展常态化安全生产工作检查，及时消除生产安全事故隐患。二是针对重点行业、重点领域、重点企业，坚持问题导向，按计划开展专项检查和隐患排查，及时发现和整改安全隐患。对重大隐患，由镇安委办牵头，实行部门联动、限期整改、跟踪治理等措施，确保隐患得到有效治理。三是采取“四不两直”等方式，突击检查，推动各项安全防范措施落到实处。</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2、落实监管职责，建立长效机制。一是严格落实行业部门“三管三必须”要求，细化责任，确保责任链条无缝对接，消除监管空白，形成安全生产监管大合力。二是各行业部门要针对已落实整改点位定期开展“回头看”检查，加强明查暗访检查，发现“返潮”现象的要发现一起整改一起，做到“即知即改”，如不能及时整改的，行业部门制定整改方案及整改日期。</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3、强化宣传引导。一是积极开展安全生产“五进”宣传活动，结合“治本三年攻坚行动”、“学雷锋”、“安全生产月”、“119”宣传月等活动，通过举办各类安全知识讲座、安全培训、安全宣传栏等丰富多彩的活动形式，组织检查人员和生产经营单位主要负责人、从业人员培训，增加安全知识及应对能力，并且督促企业开展自查自纠，推动安全生产工作由“他律”向“自律”转段发展。二是充分运用公众号、微信群宣传矩阵力量，通过定期讲解转发安全生产知识、介绍安全生产典型经验做法、曝光典型案例等方式开展安全宣传教育。</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评估组按照事故调查报告及其批复要求，经资料审查、现场核查、专业评查，对该起事故处理、整改和防范措施落实情况进行综合评估后认为：</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（一）相关单位及人员已履行行政处罚决定；相关单位对该起事故责任人的处理已落实。</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（二）该起事故相关单位、属地政府及相关部门已实施事故 调查报告提出的整改和防范措施。</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（一）建议上海烽铭实业有限公司继续完善公司安全生产标准化的建设，落实本单位安全生产主体责任，强化安全管理工作。</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（二）建议上海烽铭实业有限公司继续加强安全风险分级管控和隐患排查治理双重预防工作机制，加强现场检查巡查。通过技术、管理、教育措施，及时发现并消除生产安全事故隐患，谨防事故发生。</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（三）建议上海烽铭实业有限公司继续加强作业安全管理，严格执行特殊作业安全管理制度，安全工作许可证施行上锁挂牌规则。</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（四）建议上海烽铭实业有限公司继续加强企业高风险作业得安全管理，严格执行安全生产责任制度，加强现场隐患排查力度，发现隐患立即处理，防止潜在安全事故得发生。</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（五）建议上海烽铭实业有限公司继续加强承包商安全管理，严格执行承包商入厂教育培训规定，定期回顾各部门相关承包商安全表现业绩；严格落实承包商现场施工安全责任，优化现场监督管理。</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baseline"/>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（六）建议上海烽铭实业有限公司继续加强对承租单位的安全生产工作统一协调管理，定期的不定期的进行</w:t>
      </w:r>
      <w:r>
        <w:rPr>
          <w:rStyle w:val="12"/>
          <w:rFonts w:hint="eastAsia" w:ascii="仿宋_GB2312" w:hAnsi="Calibri" w:eastAsia="仿宋_GB2312" w:cs="Times New Roman"/>
          <w:snapToGrid/>
          <w:kern w:val="2"/>
          <w:sz w:val="32"/>
          <w:szCs w:val="32"/>
          <w:lang w:val="en-US" w:eastAsia="zh-CN"/>
        </w:rPr>
        <w:t>安全</w:t>
      </w:r>
      <w:r>
        <w:rPr>
          <w:rStyle w:val="12"/>
          <w:rFonts w:hint="eastAsia" w:ascii="仿宋_GB2312" w:hAnsi="Calibri" w:eastAsia="仿宋_GB2312" w:cs="Times New Roman"/>
          <w:snapToGrid/>
          <w:color w:val="000000"/>
          <w:kern w:val="2"/>
          <w:sz w:val="32"/>
          <w:szCs w:val="32"/>
          <w:lang w:val="en-US" w:eastAsia="zh-CN" w:bidi="ar-SA"/>
        </w:rPr>
        <w:t>隐患排查检查，同时落实隐患整改责任人，限时整改限期回复。</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宋体" w:hAnsi="宋体" w:eastAsia="宋体" w:cs="宋体"/>
          <w:sz w:val="32"/>
          <w:szCs w:val="32"/>
          <w:lang w:eastAsia="zh-CN"/>
        </w:rPr>
      </w:pPr>
    </w:p>
    <w:p>
      <w:pPr>
        <w:pStyle w:val="2"/>
        <w:rPr>
          <w:rFonts w:hint="eastAsia"/>
          <w:lang w:eastAsia="zh-CN"/>
        </w:rPr>
      </w:pPr>
      <w:bookmarkStart w:id="1" w:name="_GoBack"/>
      <w:bookmarkEnd w:id="1"/>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山东鸿典建设有限公司“4·9”高处坠落</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一般事故整改和防范措施情况评估组</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w:t>
      </w:r>
      <w:r>
        <w:rPr>
          <w:rStyle w:val="12"/>
          <w:rFonts w:hint="eastAsia" w:ascii="仿宋_GB2312" w:hAnsi="Calibri" w:eastAsia="仿宋_GB2312" w:cs="Times New Roman"/>
          <w:snapToGrid/>
          <w:kern w:val="2"/>
          <w:sz w:val="32"/>
          <w:szCs w:val="32"/>
          <w:lang w:val="en-US" w:eastAsia="zh-CN"/>
        </w:rPr>
        <w:t>4</w:t>
      </w:r>
      <w:r>
        <w:rPr>
          <w:rStyle w:val="12"/>
          <w:rFonts w:hint="eastAsia" w:ascii="仿宋_GB2312" w:hAnsi="Calibri" w:eastAsia="仿宋_GB2312" w:cs="Times New Roman"/>
          <w:snapToGrid/>
          <w:kern w:val="2"/>
          <w:sz w:val="32"/>
          <w:szCs w:val="32"/>
          <w:lang w:eastAsia="zh-CN"/>
        </w:rPr>
        <w:t>年11月19日</w:t>
      </w:r>
    </w:p>
    <w:sectPr>
      <w:footerReference r:id="rId3" w:type="default"/>
      <w:pgSz w:w="11906" w:h="16839"/>
      <w:pgMar w:top="1304" w:right="1418" w:bottom="1304" w:left="1418" w:header="0" w:footer="1026"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12EF"/>
    <w:rsid w:val="000B5CDE"/>
    <w:rsid w:val="000C1ADB"/>
    <w:rsid w:val="000D1332"/>
    <w:rsid w:val="000F0079"/>
    <w:rsid w:val="000F46AD"/>
    <w:rsid w:val="00135E28"/>
    <w:rsid w:val="00136FF6"/>
    <w:rsid w:val="00161533"/>
    <w:rsid w:val="00166A17"/>
    <w:rsid w:val="0018765D"/>
    <w:rsid w:val="001D686B"/>
    <w:rsid w:val="001E1584"/>
    <w:rsid w:val="00204DF9"/>
    <w:rsid w:val="00215989"/>
    <w:rsid w:val="002172BB"/>
    <w:rsid w:val="002209AC"/>
    <w:rsid w:val="00224AD7"/>
    <w:rsid w:val="002318F6"/>
    <w:rsid w:val="00232F7F"/>
    <w:rsid w:val="002334BA"/>
    <w:rsid w:val="00276526"/>
    <w:rsid w:val="002B18AB"/>
    <w:rsid w:val="002B23E2"/>
    <w:rsid w:val="002C42DE"/>
    <w:rsid w:val="002D28D8"/>
    <w:rsid w:val="002E1125"/>
    <w:rsid w:val="00346849"/>
    <w:rsid w:val="003559FC"/>
    <w:rsid w:val="003C4C3B"/>
    <w:rsid w:val="003E3EEA"/>
    <w:rsid w:val="003E7CA8"/>
    <w:rsid w:val="004017D8"/>
    <w:rsid w:val="00430811"/>
    <w:rsid w:val="00441B51"/>
    <w:rsid w:val="004851EA"/>
    <w:rsid w:val="004930F4"/>
    <w:rsid w:val="004A0ED6"/>
    <w:rsid w:val="004C2307"/>
    <w:rsid w:val="004C2CDA"/>
    <w:rsid w:val="005178CB"/>
    <w:rsid w:val="00550B57"/>
    <w:rsid w:val="0056251C"/>
    <w:rsid w:val="0058492E"/>
    <w:rsid w:val="005B7166"/>
    <w:rsid w:val="005D3499"/>
    <w:rsid w:val="005E4C43"/>
    <w:rsid w:val="00602760"/>
    <w:rsid w:val="00627A60"/>
    <w:rsid w:val="006A18AE"/>
    <w:rsid w:val="006A58C8"/>
    <w:rsid w:val="006C2780"/>
    <w:rsid w:val="006E6E8A"/>
    <w:rsid w:val="006F4831"/>
    <w:rsid w:val="006F58DF"/>
    <w:rsid w:val="0074091A"/>
    <w:rsid w:val="007511FE"/>
    <w:rsid w:val="007C4994"/>
    <w:rsid w:val="008006D2"/>
    <w:rsid w:val="008422C4"/>
    <w:rsid w:val="008C2028"/>
    <w:rsid w:val="008C2463"/>
    <w:rsid w:val="008E2486"/>
    <w:rsid w:val="008F4F29"/>
    <w:rsid w:val="00953491"/>
    <w:rsid w:val="0096514A"/>
    <w:rsid w:val="00966773"/>
    <w:rsid w:val="009C7BA1"/>
    <w:rsid w:val="009D03C7"/>
    <w:rsid w:val="00A2572B"/>
    <w:rsid w:val="00A67385"/>
    <w:rsid w:val="00A75191"/>
    <w:rsid w:val="00A82407"/>
    <w:rsid w:val="00A97E6E"/>
    <w:rsid w:val="00AA0C47"/>
    <w:rsid w:val="00AC5B7E"/>
    <w:rsid w:val="00B3521D"/>
    <w:rsid w:val="00B8686E"/>
    <w:rsid w:val="00B9001A"/>
    <w:rsid w:val="00BB7B6E"/>
    <w:rsid w:val="00C23C49"/>
    <w:rsid w:val="00C57041"/>
    <w:rsid w:val="00C72784"/>
    <w:rsid w:val="00C764CC"/>
    <w:rsid w:val="00C80C62"/>
    <w:rsid w:val="00C869D6"/>
    <w:rsid w:val="00CA0496"/>
    <w:rsid w:val="00CE6D89"/>
    <w:rsid w:val="00D03AC5"/>
    <w:rsid w:val="00D12F4B"/>
    <w:rsid w:val="00D237E1"/>
    <w:rsid w:val="00D54232"/>
    <w:rsid w:val="00D85665"/>
    <w:rsid w:val="00D94D48"/>
    <w:rsid w:val="00DE61C2"/>
    <w:rsid w:val="00E0434E"/>
    <w:rsid w:val="00E1320C"/>
    <w:rsid w:val="00E25135"/>
    <w:rsid w:val="00E3494B"/>
    <w:rsid w:val="00E366F0"/>
    <w:rsid w:val="00E36F60"/>
    <w:rsid w:val="00E54B71"/>
    <w:rsid w:val="00E87D1F"/>
    <w:rsid w:val="00E87DE6"/>
    <w:rsid w:val="00EA647C"/>
    <w:rsid w:val="00F24A3E"/>
    <w:rsid w:val="00F41758"/>
    <w:rsid w:val="00F449E0"/>
    <w:rsid w:val="00F451AC"/>
    <w:rsid w:val="00F52B32"/>
    <w:rsid w:val="00F74CD9"/>
    <w:rsid w:val="00F7641B"/>
    <w:rsid w:val="00F86E81"/>
    <w:rsid w:val="00FA0CAF"/>
    <w:rsid w:val="0FF57BA4"/>
    <w:rsid w:val="1FEEF029"/>
    <w:rsid w:val="36AF0ACA"/>
    <w:rsid w:val="3FA076F0"/>
    <w:rsid w:val="3FF534F3"/>
    <w:rsid w:val="479C60AB"/>
    <w:rsid w:val="56F3DBD3"/>
    <w:rsid w:val="56FE708A"/>
    <w:rsid w:val="5BFF961D"/>
    <w:rsid w:val="5EE788B4"/>
    <w:rsid w:val="5F3F35A8"/>
    <w:rsid w:val="5FDF1BD1"/>
    <w:rsid w:val="5FF06DAE"/>
    <w:rsid w:val="6AEFEF14"/>
    <w:rsid w:val="6DFF9773"/>
    <w:rsid w:val="6E7F5E80"/>
    <w:rsid w:val="6F4D716D"/>
    <w:rsid w:val="6F97222B"/>
    <w:rsid w:val="6F9B4AD1"/>
    <w:rsid w:val="6FF8746E"/>
    <w:rsid w:val="77C79094"/>
    <w:rsid w:val="77EC3B31"/>
    <w:rsid w:val="79F72A2F"/>
    <w:rsid w:val="7B5E1FC8"/>
    <w:rsid w:val="7BBFDF14"/>
    <w:rsid w:val="7BFE85A9"/>
    <w:rsid w:val="7EFF8DE7"/>
    <w:rsid w:val="7F7D668F"/>
    <w:rsid w:val="7FBD32FC"/>
    <w:rsid w:val="7FDF09BF"/>
    <w:rsid w:val="9F64FE67"/>
    <w:rsid w:val="ACFD8A0B"/>
    <w:rsid w:val="AFFFDEEB"/>
    <w:rsid w:val="B2CF4657"/>
    <w:rsid w:val="BBDF136E"/>
    <w:rsid w:val="BDDFB541"/>
    <w:rsid w:val="BFABC288"/>
    <w:rsid w:val="BFBA7C00"/>
    <w:rsid w:val="BFFBAD26"/>
    <w:rsid w:val="CF533C3E"/>
    <w:rsid w:val="D5FF45C5"/>
    <w:rsid w:val="DEBFEA23"/>
    <w:rsid w:val="DF3FF18D"/>
    <w:rsid w:val="E57FF26E"/>
    <w:rsid w:val="E7F72A34"/>
    <w:rsid w:val="EB492A77"/>
    <w:rsid w:val="EE3BD8E2"/>
    <w:rsid w:val="EFD123AD"/>
    <w:rsid w:val="F3EC8ED4"/>
    <w:rsid w:val="F3F836C1"/>
    <w:rsid w:val="F5B757DD"/>
    <w:rsid w:val="F65C3938"/>
    <w:rsid w:val="F6D6C992"/>
    <w:rsid w:val="F7BDD62D"/>
    <w:rsid w:val="FADE8F7B"/>
    <w:rsid w:val="FBFB950C"/>
    <w:rsid w:val="FCF92920"/>
    <w:rsid w:val="FD7FBC20"/>
    <w:rsid w:val="FDE7FD99"/>
    <w:rsid w:val="FDFF70C0"/>
    <w:rsid w:val="FEA5492E"/>
    <w:rsid w:val="FEDFD62C"/>
    <w:rsid w:val="FEEBB6D8"/>
    <w:rsid w:val="FF175A71"/>
    <w:rsid w:val="FF3D4DC7"/>
    <w:rsid w:val="FF7EDB40"/>
    <w:rsid w:val="FFD5BC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666</Words>
  <Characters>3800</Characters>
  <Lines>31</Lines>
  <Paragraphs>8</Paragraphs>
  <TotalTime>7</TotalTime>
  <ScaleCrop>false</ScaleCrop>
  <LinksUpToDate>false</LinksUpToDate>
  <CharactersWithSpaces>4458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2024-10-20T05:11:00Z</dcterms:created>
  <dc:creator>ms</dc:creator>
  <cp:lastModifiedBy>yjj-503</cp:lastModifiedBy>
  <dcterms:modified xsi:type="dcterms:W3CDTF">2025-10-27T10:35:07Z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