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闵行区开兴路季乐路路口南侧“2023.8.9”</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高处坠落死亡事故责任追究和整改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8</w:t>
      </w:r>
      <w:r>
        <w:rPr>
          <w:rFonts w:hint="eastAsia" w:ascii="仿宋_GB2312" w:hAnsi="宋体" w:eastAsia="仿宋_GB2312"/>
          <w:color w:val="auto"/>
          <w:sz w:val="32"/>
          <w:szCs w:val="22"/>
          <w:lang w:val="en-US" w:eastAsia="zh-CN"/>
        </w:rPr>
        <w:t>月份牵头成立闵行区开兴路季乐路路口南侧“2023.8.9”高处坠落死亡事故后评估小组成员单位包括区应急局、区建管委、区公安分局、区总工会、上海柏科管理咨询股份有限公司（事故后评估技术服务第三方）。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8月15日</w:t>
      </w:r>
      <w:r>
        <w:rPr>
          <w:rFonts w:hint="eastAsia" w:ascii="仿宋_GB2312" w:hAnsi="宋体" w:eastAsia="仿宋_GB2312"/>
          <w:color w:val="auto"/>
          <w:sz w:val="32"/>
          <w:szCs w:val="22"/>
          <w:lang w:val="en-US" w:eastAsia="zh-CN"/>
        </w:rPr>
        <w:t>，</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华漕镇，采取远程沟通和资料收集方式进行评估，主要确认事故发生后，相关单位综合监管、行业监管、属地监管、以及事故责任和关联单位主体责任落实情况。对事故责任单位上海涛霞脚手架工程有限公司采取资料收集、远程沟通，对事故关联单位中天建设集团有限公司、浙江东阳丰和建筑劳务有限公司进行了资料确认、现场走访（</w:t>
      </w:r>
      <w:r>
        <w:rPr>
          <w:rFonts w:hint="eastAsia" w:ascii="仿宋_GB2312" w:hAnsi="宋体" w:eastAsia="仿宋_GB2312"/>
          <w:color w:val="auto"/>
          <w:sz w:val="32"/>
          <w:szCs w:val="22"/>
          <w:highlight w:val="none"/>
          <w:lang w:val="en-US" w:eastAsia="zh-CN"/>
        </w:rPr>
        <w:t>中天建设现场走访时间9月4日，并召集了</w:t>
      </w:r>
      <w:r>
        <w:rPr>
          <w:rFonts w:hint="eastAsia" w:ascii="仿宋_GB2312" w:hAnsi="宋体" w:eastAsia="仿宋_GB2312"/>
          <w:color w:val="000000" w:themeColor="text1"/>
          <w:sz w:val="32"/>
          <w:szCs w:val="22"/>
          <w:lang w:val="en-US" w:eastAsia="zh-CN"/>
          <w14:textFill>
            <w14:solidFill>
              <w14:schemeClr w14:val="tx1"/>
            </w14:solidFill>
          </w14:textFill>
        </w:rPr>
        <w:t>浙江东阳丰和建筑和上海涛霞脚手架工程相关人员参会）与人员访谈等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查见了事故责任单位上海涛霞脚手架工程有限公司“行政处罚决定书”（沪闵应急罚〔2023〕1191号），对该单位给予30万元的行政处罚，并查见了缴费凭证（缴款码：31011223000000194503），罚没款执行到位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事故关联单位中天建设集团有限公司、浙江东阳丰和建筑劳务有限公司（两单位本起事故无责）内部对相关人员进行处理通报和警示约谈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动火、用电作业等）、相关外包方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（三）加强项目现场安全检查与隐患问题整改。严格落实项目现场安全监管责任，确定项目现场安全管理人员，负责项目过程的问题隐患排查与督促整改，建立隐患台账，保留检查记录。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闵行区开兴路季乐路路口南侧</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“2023.8.9”高处坠落死亡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120" w:firstLineChars="16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2024年9月10日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3E07543"/>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1FA7E47"/>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EFD1998"/>
    <w:rsid w:val="514C116E"/>
    <w:rsid w:val="52EC1BFF"/>
    <w:rsid w:val="53E1285D"/>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7FDA727"/>
    <w:rsid w:val="78730186"/>
    <w:rsid w:val="78CA90EC"/>
    <w:rsid w:val="79FF681C"/>
    <w:rsid w:val="7AEFED13"/>
    <w:rsid w:val="7BCB0BF9"/>
    <w:rsid w:val="7D5E48C2"/>
    <w:rsid w:val="7E3428CE"/>
    <w:rsid w:val="7E481C50"/>
    <w:rsid w:val="7EFD3964"/>
    <w:rsid w:val="7F733F80"/>
    <w:rsid w:val="7FBF8646"/>
    <w:rsid w:val="7FFFB5A8"/>
    <w:rsid w:val="B3DA92A4"/>
    <w:rsid w:val="BBD628CC"/>
    <w:rsid w:val="BD3BE8A9"/>
    <w:rsid w:val="BF4FF59A"/>
    <w:rsid w:val="BF6FE6AA"/>
    <w:rsid w:val="C7BE4CA6"/>
    <w:rsid w:val="DCFD18E4"/>
    <w:rsid w:val="EFED41CE"/>
    <w:rsid w:val="FC8D774A"/>
    <w:rsid w:val="FD3EF9AB"/>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2674</Words>
  <Characters>2738</Characters>
  <Lines>39</Lines>
  <Paragraphs>11</Paragraphs>
  <TotalTime>1</TotalTime>
  <ScaleCrop>false</ScaleCrop>
  <LinksUpToDate>false</LinksUpToDate>
  <CharactersWithSpaces>2746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2025-11-10T09:10:36Z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