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闵行区漕宝路快速路上引桥“2023.7.25”</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高处坠落死亡事故责任追究和整改</w:t>
      </w:r>
    </w:p>
    <w:p>
      <w:pPr>
        <w:keepNext w:val="0"/>
        <w:keepLines w:val="0"/>
        <w:pageBreakBefore w:val="0"/>
        <w:widowControl w:val="0"/>
        <w:kinsoku/>
        <w:wordWrap/>
        <w:overflowPunct/>
        <w:topLinePunct w:val="0"/>
        <w:autoSpaceDE/>
        <w:autoSpaceDN/>
        <w:bidi w:val="0"/>
        <w:adjustRightInd/>
        <w:snapToGrid/>
        <w:spacing w:line="660" w:lineRule="exact"/>
        <w:ind w:right="0" w:rightChars="0"/>
        <w:jc w:val="center"/>
        <w:textAlignment w:val="auto"/>
        <w:outlineLvl w:val="0"/>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pPr>
      <w:r>
        <w:rPr>
          <w:rFonts w:hint="eastAsia" w:ascii="方正小标宋简体" w:hAnsi="方正小标宋简体" w:eastAsia="方正小标宋简体" w:cs="方正小标宋简体"/>
          <w:b w:val="0"/>
          <w:bCs w:val="0"/>
          <w:color w:val="000000" w:themeColor="text1"/>
          <w:sz w:val="44"/>
          <w:szCs w:val="44"/>
          <w:lang w:val="en-US" w:eastAsia="zh-CN"/>
          <w14:textFill>
            <w14:solidFill>
              <w14:schemeClr w14:val="tx1"/>
            </w14:solidFill>
          </w14:textFill>
        </w:rPr>
        <w:t>措施落实情况评估报告</w:t>
      </w:r>
    </w:p>
    <w:p>
      <w:pPr>
        <w:keepNext w:val="0"/>
        <w:keepLines w:val="0"/>
        <w:pageBreakBefore w:val="0"/>
        <w:widowControl w:val="0"/>
        <w:kinsoku/>
        <w:wordWrap/>
        <w:overflowPunct/>
        <w:topLinePunct w:val="0"/>
        <w:autoSpaceDE/>
        <w:autoSpaceDN/>
        <w:bidi w:val="0"/>
        <w:adjustRightInd/>
        <w:snapToGrid/>
        <w:spacing w:line="560" w:lineRule="exact"/>
        <w:ind w:right="0" w:rightChars="0"/>
        <w:jc w:val="center"/>
        <w:textAlignment w:val="auto"/>
        <w:outlineLvl w:val="0"/>
        <w:rPr>
          <w:rFonts w:hint="eastAsia" w:ascii="方正小标宋简体" w:hAnsi="方正小标宋简体" w:eastAsia="方正小标宋简体" w:cs="方正小标宋简体"/>
          <w:b/>
          <w:bCs/>
          <w:color w:val="000000" w:themeColor="text1"/>
          <w:sz w:val="44"/>
          <w:szCs w:val="44"/>
          <w:lang w:val="en-US" w:eastAsia="zh-CN"/>
          <w14:textFill>
            <w14:solidFill>
              <w14:schemeClr w14:val="tx1"/>
            </w14:solidFill>
          </w14:textFill>
        </w:rPr>
      </w:pP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一、评估工作组织及开展</w:t>
      </w:r>
      <w:r>
        <w:rPr>
          <w:rFonts w:hint="eastAsia" w:ascii="黑体" w:hAnsi="黑体" w:eastAsia="黑体"/>
          <w:snapToGrid w:val="0"/>
          <w:kern w:val="0"/>
          <w:szCs w:val="32"/>
          <w:lang w:val="en-US" w:eastAsia="zh-CN"/>
        </w:rPr>
        <w:t>基本</w:t>
      </w:r>
      <w:r>
        <w:rPr>
          <w:rFonts w:hint="eastAsia" w:ascii="黑体" w:hAnsi="黑体" w:eastAsia="黑体"/>
          <w:snapToGrid w:val="0"/>
          <w:kern w:val="0"/>
          <w:szCs w:val="32"/>
        </w:rPr>
        <w:t>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依据国务院安委会办公室《生产安全事故防范和整改措施落实情况评估办法》（安委办〔2021〕4号）、《上海市生产安全事故整改和防范措施落实情况评估办法》（沪安委会〔2024〕5号）、《闵行区开展 2023 年生产安全事故整改和防范措施落实情况的评估工作方案》（闵安委办〔2024〕27 号）等有关规定，区安委会办公室于2024年</w:t>
      </w:r>
      <w:r>
        <w:rPr>
          <w:rFonts w:hint="eastAsia" w:ascii="仿宋_GB2312" w:hAnsi="宋体" w:eastAsia="仿宋_GB2312"/>
          <w:color w:val="auto"/>
          <w:sz w:val="32"/>
          <w:szCs w:val="22"/>
          <w:highlight w:val="none"/>
          <w:lang w:val="en-US" w:eastAsia="zh-CN"/>
        </w:rPr>
        <w:t>7</w:t>
      </w:r>
      <w:r>
        <w:rPr>
          <w:rFonts w:hint="eastAsia" w:ascii="仿宋_GB2312" w:hAnsi="宋体" w:eastAsia="仿宋_GB2312"/>
          <w:color w:val="000000" w:themeColor="text1"/>
          <w:sz w:val="32"/>
          <w:szCs w:val="22"/>
          <w:lang w:val="en-US" w:eastAsia="zh-CN"/>
          <w14:textFill>
            <w14:solidFill>
              <w14:schemeClr w14:val="tx1"/>
            </w14:solidFill>
          </w14:textFill>
        </w:rPr>
        <w:t>月份牵头成立闵行区漕宝路快速路上引桥“2023.7.25”高处坠落死亡事故后评估小组成员单位包括区应急局、区交通委、区公安分局、区总工会、上海柏科管理咨询股份有限公司（事故后评估技术服务第三方）。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评估小组以该起事故的《事故调查报告》为依据，依据科学严谨、依法依规、实事求是、注重实效和“四不放过”的原则，制定事故评估工作方案，确定了以事故责任追究及整改措施落实为重点的评估资料清单。</w:t>
      </w:r>
      <w:r>
        <w:rPr>
          <w:rFonts w:hint="eastAsia" w:ascii="仿宋_GB2312" w:hAnsi="宋体" w:eastAsia="仿宋_GB2312"/>
          <w:color w:val="auto"/>
          <w:sz w:val="32"/>
          <w:szCs w:val="22"/>
          <w:highlight w:val="none"/>
          <w:lang w:val="en-US" w:eastAsia="zh-CN"/>
        </w:rPr>
        <w:t>7月4日</w:t>
      </w:r>
      <w:r>
        <w:rPr>
          <w:rFonts w:hint="eastAsia" w:ascii="仿宋_GB2312" w:hAnsi="宋体" w:eastAsia="仿宋_GB2312"/>
          <w:color w:val="000000" w:themeColor="text1"/>
          <w:sz w:val="32"/>
          <w:szCs w:val="22"/>
          <w:lang w:val="en-US" w:eastAsia="zh-CN"/>
          <w14:textFill>
            <w14:solidFill>
              <w14:schemeClr w14:val="tx1"/>
            </w14:solidFill>
          </w14:textFill>
        </w:rPr>
        <w:t>，由区应急局牵头，在区应急局举行了评估小组成员单位、事故责任单位、事故关联单位联席会议，区应急局有关负责人就该起事故后评估的目的、意义、后续评估工作流程安排、时间节点、工作要求等进行了说明与沟通，并就事故评估工作方案责任分工、时间进度等内容做了确认，并达成一致意见。与会各方就本次事故教训吸取和后续事故预防发表了各自意见。上海柏科管理咨询股份有限公司（第三方）事故后评估技术服务人员就事故后评估的方式、方法在会上做了说明，确认了后评估方式包括资料确认、现场走访、人员谈话等，并根据该起事故调查报告的相关内容，各单位就该起事故处理措施及后续事故防范措施的落实需要提供的资料清单作了说明。区应急局、区交通委、七宝镇，采取远程沟通和资料收集方式进行评估，主要确认事故发生后，相关单位综合监管、行业监管、属地监管责任落实情况。对事故责任单位上海奕友建筑工程有限公司、事故关联单位中铁一局集团有限公司采取资料收集、远程沟通等</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方式进行了评估，</w:t>
      </w:r>
      <w:r>
        <w:rPr>
          <w:rFonts w:hint="eastAsia" w:ascii="仿宋_GB2312" w:hAnsi="宋体" w:eastAsia="仿宋_GB2312"/>
          <w:color w:val="000000" w:themeColor="text1"/>
          <w:sz w:val="32"/>
          <w:szCs w:val="22"/>
          <w:lang w:val="en-US" w:eastAsia="zh-CN"/>
          <w14:textFill>
            <w14:solidFill>
              <w14:schemeClr w14:val="tx1"/>
            </w14:solidFill>
          </w14:textFill>
        </w:rPr>
        <w:t>以确定事故责任和关联单位主体责任落实情况。关联单位上海公路投资建设发展有限公司（建设单位）、上海天佑工程咨询有限公司（监理单位）无责，未进行评估。</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查看了相关单位安全生产责任制、安全生产规章制度等安全生产管理体系的建设情况，向相关人员了解本起事故处理、事故教训吸取和后续事故防范对策措施的落实情况等，评估小组按事故评估方案要求完成了评估工作</w:t>
      </w:r>
      <w:r>
        <w:rPr>
          <w:rFonts w:hint="eastAsia" w:ascii="仿宋_GB2312" w:hAnsi="宋体" w:eastAsia="仿宋_GB2312"/>
          <w:color w:val="000000" w:themeColor="text1"/>
          <w:sz w:val="32"/>
          <w:szCs w:val="22"/>
          <w:lang w:val="en-US" w:eastAsia="zh-CN"/>
          <w14:textFill>
            <w14:solidFill>
              <w14:schemeClr w14:val="tx1"/>
            </w14:solidFill>
          </w14:textFill>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总体看，行业及属地安全生产监管部门、事故责任及关联单位基本能按本起事故的《事故调查报告》要求，落实处理意见与防范措施，在事故责任追究与教训吸取、安全生产行业和属地监管、单位主体责任和整改措施落实等方面总体较好，符合该起事故的《事故调查报告》中提出的整改要求。</w:t>
      </w:r>
    </w:p>
    <w:p>
      <w:pPr>
        <w:spacing w:line="620" w:lineRule="exact"/>
        <w:ind w:firstLine="640" w:firstLineChars="200"/>
        <w:jc w:val="left"/>
        <w:rPr>
          <w:rFonts w:ascii="黑体" w:hAnsi="黑体" w:eastAsia="黑体"/>
          <w:snapToGrid w:val="0"/>
          <w:kern w:val="0"/>
          <w:szCs w:val="32"/>
        </w:rPr>
      </w:pPr>
      <w:r>
        <w:rPr>
          <w:rFonts w:hint="eastAsia" w:ascii="黑体" w:hAnsi="黑体" w:eastAsia="黑体"/>
          <w:snapToGrid w:val="0"/>
          <w:kern w:val="0"/>
          <w:szCs w:val="32"/>
        </w:rPr>
        <w:t>二、事故责任单位和人员处理情况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查见了主要事故责任单位上海奕友建筑工程有限公司“行政处罚决定书”（沪闵应急罚〔2023〕1161号），对该单位给予30万元的行政处罚，并查见了交费凭证（缴款码：31011224000000196728），罚没款执行到位</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w:t>
      </w:r>
      <w:r>
        <w:rPr>
          <w:rFonts w:hint="eastAsia" w:ascii="仿宋_GB2312" w:hAnsi="宋体" w:eastAsia="仿宋_GB2312"/>
          <w:color w:val="000000" w:themeColor="text1"/>
          <w:sz w:val="32"/>
          <w:szCs w:val="22"/>
          <w:lang w:val="en-US" w:eastAsia="zh-CN"/>
          <w14:textFill>
            <w14:solidFill>
              <w14:schemeClr w14:val="tx1"/>
            </w14:solidFill>
          </w14:textFill>
        </w:rPr>
        <w:t>查见了对事故责任单位上海奕友建筑工程有限公司主要事故责任人带班长杜国海“行政处罚决定书”（沪闵应急罚〔2023〕1162号），以及处罚缴费凭证（缴款码31011223000000196736），罚没款执行到位。相关单位和人员的行政处罚符合本起《事故调查报告》的要求。</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rPr>
        <w:t>三、事故防范和整改措施落实情况</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评估小组通过资料审查，人员电话问询沟通等形式，对事故责任及关联单位事故处理、事故后续整改措施落实、事故预防长效机制等情况进行了针对性检查评估。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事故责任及关联单位基本能按照“四不放过”原则，查明事故原因，落实整改措施，排查现场安全隐患，堵塞安全生产漏洞，教育与培训了事故相关责任人员，对从业人员进行事故警示教育和培训，并从以下几个方面建立事故防范与整改措施落实长效机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highlight w:val="none"/>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（一）进一步完善了安全生产管理制度体系。建立了较为健全的安全生产责任制、安全生产规章制度和安全操作规程，包括全员</w:t>
      </w:r>
      <w:r>
        <w:rPr>
          <w:rFonts w:hint="eastAsia" w:ascii="仿宋_GB2312" w:hAnsi="宋体" w:eastAsia="仿宋_GB2312"/>
          <w:color w:val="000000" w:themeColor="text1"/>
          <w:sz w:val="32"/>
          <w:szCs w:val="22"/>
          <w:highlight w:val="none"/>
          <w:lang w:val="en-US" w:eastAsia="zh-CN"/>
          <w14:textFill>
            <w14:solidFill>
              <w14:schemeClr w14:val="tx1"/>
            </w14:solidFill>
          </w14:textFill>
        </w:rPr>
        <w:t>安全生产责任制、风险辨识评估与控制管理制度、安全教育培训制度、隐患排查与治理制度、作业安全管理制度、危险作业审批制度、消防安全管理制度等。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（二）建立了单位安全生产管理组织架构、配备了专兼职安全生产管理人员，特种作业人员做到持证上岗。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（三）开展安全生产风险辨识和隐患排查。策划和识别了单位安全风险，确定了单位的重点风险源和控制措施。落实了隐患排查制度，查见了安全检查和隐患排查记录、台账和整改资料。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（四）落实安全教育培训工作。对从业人员进行入职三级安全教育、事故警示教育，保留有教育培训记录和档案资料。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（五）规范和严格了动火、登高等危险作业审批许可程序。查见了动火、登高等作业许可资料、相关作业安全交底记录等台账资料。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（六）编制了单位应急预案并开展应急演练。应急预案包括火灾、高坠事故等，查见了相关演练方案、演练报告、演练照片和签到记录等。</w:t>
      </w:r>
    </w:p>
    <w:p>
      <w:pPr>
        <w:spacing w:line="620" w:lineRule="exact"/>
        <w:ind w:firstLine="640" w:firstLineChars="200"/>
        <w:jc w:val="left"/>
        <w:rPr>
          <w:rFonts w:hint="default" w:ascii="黑体" w:hAnsi="黑体" w:eastAsia="黑体"/>
          <w:snapToGrid w:val="0"/>
          <w:kern w:val="0"/>
          <w:szCs w:val="32"/>
          <w:highlight w:val="none"/>
          <w:lang w:val="en-US" w:eastAsia="zh-CN"/>
        </w:rPr>
      </w:pPr>
      <w:r>
        <w:rPr>
          <w:rFonts w:hint="eastAsia" w:ascii="黑体" w:hAnsi="黑体" w:eastAsia="黑体"/>
          <w:snapToGrid w:val="0"/>
          <w:kern w:val="0"/>
          <w:szCs w:val="32"/>
          <w:highlight w:val="none"/>
          <w:lang w:val="en-US" w:eastAsia="zh-CN"/>
        </w:rPr>
        <w:t>四</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评估结论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经综合评估后一致认为，相关部门和单位均能按照《事故调查报告》要求，认真吸取事故教训，履行综合监管、行业监管、属地监管职责。落实企业主体责任，完善内部安全管理制度流程，加强人员事故警示教育，开展安全风险辨识、事故隐患排查，并落实闭环管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综合资料审查、人员问询交流确认结果，评估小组认为此次事故处理、内部责任追究符合该起《事故调查报告》要求，后续整改措施落实有效。</w:t>
      </w:r>
    </w:p>
    <w:p>
      <w:pPr>
        <w:spacing w:line="620" w:lineRule="exact"/>
        <w:ind w:firstLine="640" w:firstLineChars="200"/>
        <w:jc w:val="left"/>
        <w:rPr>
          <w:rFonts w:ascii="黑体" w:hAnsi="黑体" w:eastAsia="黑体"/>
          <w:snapToGrid w:val="0"/>
          <w:kern w:val="0"/>
          <w:szCs w:val="32"/>
          <w:highlight w:val="none"/>
        </w:rPr>
      </w:pPr>
      <w:r>
        <w:rPr>
          <w:rFonts w:hint="eastAsia" w:ascii="黑体" w:hAnsi="黑体" w:eastAsia="黑体"/>
          <w:snapToGrid w:val="0"/>
          <w:kern w:val="0"/>
          <w:szCs w:val="32"/>
          <w:highlight w:val="none"/>
          <w:lang w:val="en-US" w:eastAsia="zh-CN"/>
        </w:rPr>
        <w:t>五</w:t>
      </w:r>
      <w:r>
        <w:rPr>
          <w:rFonts w:hint="eastAsia" w:ascii="黑体" w:hAnsi="黑体" w:eastAsia="黑体"/>
          <w:snapToGrid w:val="0"/>
          <w:kern w:val="0"/>
          <w:szCs w:val="32"/>
          <w:highlight w:val="none"/>
        </w:rPr>
        <w:t>、</w:t>
      </w:r>
      <w:r>
        <w:rPr>
          <w:rFonts w:hint="eastAsia" w:ascii="黑体" w:hAnsi="黑体" w:eastAsia="黑体"/>
          <w:snapToGrid w:val="0"/>
          <w:kern w:val="0"/>
          <w:szCs w:val="32"/>
          <w:highlight w:val="none"/>
          <w:lang w:val="en-US" w:eastAsia="zh-CN"/>
        </w:rPr>
        <w:t>工作</w:t>
      </w:r>
      <w:r>
        <w:rPr>
          <w:rFonts w:hint="eastAsia" w:ascii="黑体" w:hAnsi="黑体" w:eastAsia="黑体"/>
          <w:snapToGrid w:val="0"/>
          <w:kern w:val="0"/>
          <w:szCs w:val="32"/>
          <w:highlight w:val="none"/>
        </w:rPr>
        <w:t>建议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评估小组针对事故责任单位在事故整改与措施落实方面仍存在的不足提出以下建议：</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进一步压实单位安全生产主体责任，完善全员安全生产责任体系，健全安全生产规章制度和安全作业规程，并督促制度、规程的落地实施。重点抓好单位与项目现场重大风险辨识与管控、隐患排查与治理、危险作业许可与监管、从业人员教育与培训等工作。</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二）强化从业人员的安全意识与能力培训。特别要做好持证人员（安全负责人、安全管理人员、特种作业人员），危险作业人员（如登高、动火、用电作业等）的培训与教育，以提高从业人员的安全意识和安全管理水平。</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（三）加强项目现场安全检查与隐患问题整改。严格落实项目现场安全监管责任，确定项目现场安全管理人员，负责项目过程的问题隐患排查与督促整改，建立隐患台账，保留检查记录。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right="0" w:rightChars="0" w:firstLine="640" w:firstLineChars="200"/>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（四）完善应急预案，开展应急演练。编制与完善符合预案编制导则且符合单位作业特点的应急预案，并组织开展预案的演练与评估，以提升从业人员的应急响应能力。</w:t>
      </w:r>
    </w:p>
    <w:p>
      <w:pPr>
        <w:spacing w:line="620" w:lineRule="exact"/>
        <w:jc w:val="right"/>
        <w:rPr>
          <w:rFonts w:hint="eastAsia" w:ascii="仿宋_GB2312" w:hAnsi="Calibri" w:eastAsia="仿宋_GB2312"/>
          <w:b/>
          <w:snapToGrid w:val="0"/>
          <w:kern w:val="0"/>
          <w:szCs w:val="32"/>
        </w:rPr>
      </w:pPr>
      <w:bookmarkStart w:id="0" w:name="_GoBack"/>
      <w:bookmarkEnd w:id="0"/>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eastAsia"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闵行区漕宝路快速路上引桥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“2023.7.25”高处坠落死亡 </w:t>
      </w:r>
    </w:p>
    <w:p>
      <w:pPr>
        <w:keepNext w:val="0"/>
        <w:keepLines w:val="0"/>
        <w:pageBreakBefore w:val="0"/>
        <w:widowControl w:val="0"/>
        <w:numPr>
          <w:ilvl w:val="0"/>
          <w:numId w:val="0"/>
        </w:numPr>
        <w:kinsoku/>
        <w:wordWrap w:val="0"/>
        <w:overflowPunct/>
        <w:topLinePunct w:val="0"/>
        <w:autoSpaceDE/>
        <w:autoSpaceDN/>
        <w:bidi w:val="0"/>
        <w:adjustRightInd/>
        <w:snapToGrid/>
        <w:spacing w:line="560" w:lineRule="exact"/>
        <w:ind w:right="0" w:rightChars="0"/>
        <w:jc w:val="right"/>
        <w:textAlignment w:val="auto"/>
        <w:outlineLvl w:val="9"/>
        <w:rPr>
          <w:rFonts w:hint="default" w:ascii="仿宋_GB2312" w:hAnsi="宋体" w:eastAsia="仿宋_GB2312"/>
          <w:color w:val="000000" w:themeColor="text1"/>
          <w:sz w:val="32"/>
          <w:szCs w:val="22"/>
          <w:lang w:val="en-US" w:eastAsia="zh-CN"/>
          <w14:textFill>
            <w14:solidFill>
              <w14:schemeClr w14:val="tx1"/>
            </w14:solidFill>
          </w14:textFill>
        </w:rPr>
      </w:pPr>
      <w:r>
        <w:rPr>
          <w:rFonts w:hint="eastAsia" w:ascii="仿宋_GB2312" w:hAnsi="宋体" w:eastAsia="仿宋_GB2312"/>
          <w:color w:val="000000" w:themeColor="text1"/>
          <w:sz w:val="32"/>
          <w:szCs w:val="22"/>
          <w:lang w:val="en-US" w:eastAsia="zh-CN"/>
          <w14:textFill>
            <w14:solidFill>
              <w14:schemeClr w14:val="tx1"/>
            </w14:solidFill>
          </w14:textFill>
        </w:rPr>
        <w:t xml:space="preserve">事故后评估小组     </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right="0" w:rightChars="0" w:firstLine="5120" w:firstLineChars="1600"/>
        <w:jc w:val="left"/>
        <w:textAlignment w:val="auto"/>
        <w:outlineLvl w:val="9"/>
        <w:rPr>
          <w:rFonts w:hint="eastAsia" w:ascii="仿宋_GB2312" w:hAnsi="宋体" w:eastAsia="仿宋_GB2312"/>
          <w:b w:val="0"/>
          <w:bCs w:val="0"/>
          <w:color w:val="auto"/>
          <w:sz w:val="32"/>
          <w:szCs w:val="22"/>
          <w:highlight w:val="none"/>
          <w:lang w:val="en-US" w:eastAsia="zh-CN"/>
        </w:rPr>
      </w:pPr>
      <w:r>
        <w:rPr>
          <w:rFonts w:hint="eastAsia" w:ascii="仿宋_GB2312" w:hAnsi="宋体" w:eastAsia="仿宋_GB2312"/>
          <w:b w:val="0"/>
          <w:bCs w:val="0"/>
          <w:color w:val="auto"/>
          <w:sz w:val="32"/>
          <w:szCs w:val="22"/>
          <w:highlight w:val="none"/>
          <w:lang w:val="en-US" w:eastAsia="zh-CN"/>
        </w:rPr>
        <w:t>2024年8月5日</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M1w58KgIAAFUEAAAOAAAAZHJz&#10;L2Uyb0RvYy54bWytVM2O0zAQviPxDpbvNGkRqypquipbFSFV7EoFcXYdp4nkP9luk/IA8AacuHDn&#10;ufocfM5PFy0c9sDFGXvG38z3zTiL21ZJchLO10bndDpJKRGam6LWh5x++rh5NafEB6YLJo0WOT0L&#10;T2+XL18sGpuJmamMLIQjANE+a2xOqxBsliSeV0IxPzFWaDhL4xQL2LpDUjjWAF3JZJamN0ljXGGd&#10;4cJ7nK57Jx0Q3XMATVnWXKwNPyqhQ4/qhGQBlHxVW0+XXbVlKXi4L0svApE5BdPQrUgCex/XZLlg&#10;2cExW9V8KIE9p4QnnBSrNZJeodYsMHJ09V9QqubOeFOGCTcq6Yl0ioDFNH2iza5iVnRcILW3V9H9&#10;/4PlH04PjtQFJoESzRQafvn+7fLj1+XnVzKN8jTWZ4jaWcSF9q1pY+hw7nEYWbelU/ELPgR+iHu+&#10;iivaQHi8NJ/N5ylcHL5xA5zk8bp1PrwTRpFo5NShe52o7LT1oQ8dQ2I2bTa1lDhnmdSkyenN6zdp&#10;d+HqAbjUyBFJ9MVGK7T7dmCwN8UZxJzpJ8NbvqmRfMt8eGAOo4CC8VjCPZZSGiQxg0VJZdyXf53H&#10;eHQIXkoajFZONV4SJfK9RucAGEbDjcZ+NPRR3RnMKrqBWjoTF1yQo1k6oz7jBa1iDriY5siU0zCa&#10;d6Efb7xALlarLgizZlnY6p3lEToq5u3qGCBgp2sUpVdi0ArT1nVmeBlxnP/cd1GPf4Pl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BYAAABk&#10;cnMvUEsBAhQAFAAAAAgAh07iQLNJWO7QAAAABQEAAA8AAAAAAAAAAQAgAAAAOAAAAGRycy9kb3du&#10;cmV2LnhtbFBLAQIUABQAAAAIAIdO4kCM1w58KgIAAFUEAAAOAAAAAAAAAAEAIAAAADUBAABkcnMv&#10;ZTJvRG9jLnhtbFBLBQYAAAAABgAGAFkBAADRBQAAAAA=&#10;">
              <v:fill on="f" focussize="0,0"/>
              <v:stroke on="f" weight="0.5pt"/>
              <v:imagedata o:title=""/>
              <o:lock v:ext="edit" aspectratio="f"/>
              <v:textbox inset="0mm,0mm,0mm,0mm" style="mso-fit-shape-to-text:t;">
                <w:txbxContent>
                  <w:p>
                    <w:pPr>
                      <w:pStyle w:val="2"/>
                      <w:rPr>
                        <w:rFonts w:eastAsia="宋体"/>
                      </w:rPr>
                    </w:pPr>
                    <w:r>
                      <w:rPr>
                        <w:rFonts w:hint="eastAsia"/>
                      </w:rPr>
                      <w:fldChar w:fldCharType="begin"/>
                    </w:r>
                    <w:r>
                      <w:rPr>
                        <w:rFonts w:hint="eastAsia"/>
                      </w:rPr>
                      <w:instrText xml:space="preserve"> PAGE  \* MERGEFORMAT </w:instrText>
                    </w:r>
                    <w:r>
                      <w:rPr>
                        <w:rFonts w:hint="eastAsia"/>
                      </w:rPr>
                      <w:fldChar w:fldCharType="separate"/>
                    </w:r>
                    <w:r>
                      <w:t>9</w:t>
                    </w:r>
                    <w:r>
                      <w:rPr>
                        <w:rFonts w:hint="eastAsia"/>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FC84C3"/>
    <w:multiLevelType w:val="singleLevel"/>
    <w:tmpl w:val="4BFC84C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NTA4M2M3NjFhMmMxYjQ1OWMyMzI3MWY4NDA4ZDMifQ=="/>
  </w:docVars>
  <w:rsids>
    <w:rsidRoot w:val="008A7E3F"/>
    <w:rsid w:val="00073EC4"/>
    <w:rsid w:val="000839C8"/>
    <w:rsid w:val="00086C29"/>
    <w:rsid w:val="000A1DA4"/>
    <w:rsid w:val="000A5EDC"/>
    <w:rsid w:val="000C03C3"/>
    <w:rsid w:val="000F4579"/>
    <w:rsid w:val="0013577D"/>
    <w:rsid w:val="00154FC5"/>
    <w:rsid w:val="001748EC"/>
    <w:rsid w:val="001750C8"/>
    <w:rsid w:val="001A7BFE"/>
    <w:rsid w:val="001B4AE3"/>
    <w:rsid w:val="001B7A71"/>
    <w:rsid w:val="001E0906"/>
    <w:rsid w:val="001F5DC4"/>
    <w:rsid w:val="00234EFE"/>
    <w:rsid w:val="00264E81"/>
    <w:rsid w:val="0026674E"/>
    <w:rsid w:val="00294261"/>
    <w:rsid w:val="002D42F0"/>
    <w:rsid w:val="002F60F4"/>
    <w:rsid w:val="00301D1E"/>
    <w:rsid w:val="00305F83"/>
    <w:rsid w:val="00312EDB"/>
    <w:rsid w:val="00367C73"/>
    <w:rsid w:val="003D5900"/>
    <w:rsid w:val="00401169"/>
    <w:rsid w:val="00421DAD"/>
    <w:rsid w:val="00437048"/>
    <w:rsid w:val="004769DD"/>
    <w:rsid w:val="00486889"/>
    <w:rsid w:val="004B2B7C"/>
    <w:rsid w:val="004B64F8"/>
    <w:rsid w:val="004E5E0B"/>
    <w:rsid w:val="0050038D"/>
    <w:rsid w:val="005B5458"/>
    <w:rsid w:val="005B76B9"/>
    <w:rsid w:val="005E3878"/>
    <w:rsid w:val="00617A70"/>
    <w:rsid w:val="00624ECA"/>
    <w:rsid w:val="0069738B"/>
    <w:rsid w:val="006A007E"/>
    <w:rsid w:val="006A43C0"/>
    <w:rsid w:val="00711522"/>
    <w:rsid w:val="007A13E6"/>
    <w:rsid w:val="007B5F72"/>
    <w:rsid w:val="007F221E"/>
    <w:rsid w:val="007F6311"/>
    <w:rsid w:val="00810E4D"/>
    <w:rsid w:val="00824105"/>
    <w:rsid w:val="008249D2"/>
    <w:rsid w:val="00856BD7"/>
    <w:rsid w:val="00857724"/>
    <w:rsid w:val="0087011C"/>
    <w:rsid w:val="00880186"/>
    <w:rsid w:val="00896C48"/>
    <w:rsid w:val="008A7E3F"/>
    <w:rsid w:val="008E1DEF"/>
    <w:rsid w:val="008F0B17"/>
    <w:rsid w:val="00913726"/>
    <w:rsid w:val="00925326"/>
    <w:rsid w:val="00944EA4"/>
    <w:rsid w:val="00980F8F"/>
    <w:rsid w:val="00984B46"/>
    <w:rsid w:val="009A5079"/>
    <w:rsid w:val="009B5285"/>
    <w:rsid w:val="009C4013"/>
    <w:rsid w:val="009F16FC"/>
    <w:rsid w:val="00A4201E"/>
    <w:rsid w:val="00AB27FB"/>
    <w:rsid w:val="00AC6E93"/>
    <w:rsid w:val="00AC72E8"/>
    <w:rsid w:val="00B03C69"/>
    <w:rsid w:val="00B24947"/>
    <w:rsid w:val="00B73893"/>
    <w:rsid w:val="00B91D0B"/>
    <w:rsid w:val="00BA6335"/>
    <w:rsid w:val="00BB4216"/>
    <w:rsid w:val="00BC6C3F"/>
    <w:rsid w:val="00C445EE"/>
    <w:rsid w:val="00C875CB"/>
    <w:rsid w:val="00D12859"/>
    <w:rsid w:val="00D167E9"/>
    <w:rsid w:val="00D25E81"/>
    <w:rsid w:val="00D36C5B"/>
    <w:rsid w:val="00D46113"/>
    <w:rsid w:val="00D51214"/>
    <w:rsid w:val="00D61BAD"/>
    <w:rsid w:val="00D730A4"/>
    <w:rsid w:val="00D87D75"/>
    <w:rsid w:val="00D91483"/>
    <w:rsid w:val="00DA3988"/>
    <w:rsid w:val="00DF51A7"/>
    <w:rsid w:val="00DF588B"/>
    <w:rsid w:val="00DF6683"/>
    <w:rsid w:val="00E06CC2"/>
    <w:rsid w:val="00E11730"/>
    <w:rsid w:val="00E14C35"/>
    <w:rsid w:val="00E4292B"/>
    <w:rsid w:val="00E46954"/>
    <w:rsid w:val="00E65A55"/>
    <w:rsid w:val="00E7472E"/>
    <w:rsid w:val="00EB07BB"/>
    <w:rsid w:val="00EB4514"/>
    <w:rsid w:val="00EE0EC0"/>
    <w:rsid w:val="00F2077C"/>
    <w:rsid w:val="00F53620"/>
    <w:rsid w:val="00FB7995"/>
    <w:rsid w:val="00FC2AFC"/>
    <w:rsid w:val="00FD23D6"/>
    <w:rsid w:val="00FE3798"/>
    <w:rsid w:val="01015972"/>
    <w:rsid w:val="01D17528"/>
    <w:rsid w:val="0201016A"/>
    <w:rsid w:val="034D105A"/>
    <w:rsid w:val="04185498"/>
    <w:rsid w:val="0506130B"/>
    <w:rsid w:val="05A43D64"/>
    <w:rsid w:val="094519E1"/>
    <w:rsid w:val="097519BC"/>
    <w:rsid w:val="09842A15"/>
    <w:rsid w:val="0B18779D"/>
    <w:rsid w:val="0B245862"/>
    <w:rsid w:val="0C3A2CE9"/>
    <w:rsid w:val="0F6A77FB"/>
    <w:rsid w:val="1373256D"/>
    <w:rsid w:val="147A3417"/>
    <w:rsid w:val="149A61E1"/>
    <w:rsid w:val="175514A2"/>
    <w:rsid w:val="175D721C"/>
    <w:rsid w:val="17C45868"/>
    <w:rsid w:val="17FBE8D8"/>
    <w:rsid w:val="19DB60F9"/>
    <w:rsid w:val="1A366198"/>
    <w:rsid w:val="1C42294D"/>
    <w:rsid w:val="1DFC091B"/>
    <w:rsid w:val="1E765F50"/>
    <w:rsid w:val="1F992D2A"/>
    <w:rsid w:val="237D7293"/>
    <w:rsid w:val="239C1BED"/>
    <w:rsid w:val="2467441E"/>
    <w:rsid w:val="25E93097"/>
    <w:rsid w:val="2782275D"/>
    <w:rsid w:val="2A41087D"/>
    <w:rsid w:val="2B0D78A5"/>
    <w:rsid w:val="2C651EED"/>
    <w:rsid w:val="310B75DF"/>
    <w:rsid w:val="31C81974"/>
    <w:rsid w:val="32A20421"/>
    <w:rsid w:val="337FE1AF"/>
    <w:rsid w:val="33E76D48"/>
    <w:rsid w:val="35104F58"/>
    <w:rsid w:val="35D825ED"/>
    <w:rsid w:val="369D022E"/>
    <w:rsid w:val="37360BA2"/>
    <w:rsid w:val="3B874946"/>
    <w:rsid w:val="3BD821B5"/>
    <w:rsid w:val="3DBA0C7B"/>
    <w:rsid w:val="3DE9465E"/>
    <w:rsid w:val="3EE338FA"/>
    <w:rsid w:val="3EE9514F"/>
    <w:rsid w:val="4379487C"/>
    <w:rsid w:val="449A462F"/>
    <w:rsid w:val="46AC79A1"/>
    <w:rsid w:val="47692A3C"/>
    <w:rsid w:val="47821829"/>
    <w:rsid w:val="47BFB246"/>
    <w:rsid w:val="48BE4B9A"/>
    <w:rsid w:val="48FD1513"/>
    <w:rsid w:val="496F78AA"/>
    <w:rsid w:val="4AF11E5F"/>
    <w:rsid w:val="4C153D43"/>
    <w:rsid w:val="4D4261B3"/>
    <w:rsid w:val="4EFD1998"/>
    <w:rsid w:val="514C116E"/>
    <w:rsid w:val="52EC1BFF"/>
    <w:rsid w:val="57DB0FE8"/>
    <w:rsid w:val="5AD93B85"/>
    <w:rsid w:val="5BD451EC"/>
    <w:rsid w:val="5C945403"/>
    <w:rsid w:val="5CC72843"/>
    <w:rsid w:val="5EBB61F8"/>
    <w:rsid w:val="5EBDEF7B"/>
    <w:rsid w:val="5EC96258"/>
    <w:rsid w:val="5F326928"/>
    <w:rsid w:val="5F39B20B"/>
    <w:rsid w:val="5F582E1B"/>
    <w:rsid w:val="60AB2DEE"/>
    <w:rsid w:val="60D74757"/>
    <w:rsid w:val="61624E28"/>
    <w:rsid w:val="622A2592"/>
    <w:rsid w:val="62895BA0"/>
    <w:rsid w:val="660A72D8"/>
    <w:rsid w:val="666842C9"/>
    <w:rsid w:val="67131EDF"/>
    <w:rsid w:val="6B5B6524"/>
    <w:rsid w:val="6C6E3A97"/>
    <w:rsid w:val="6CD1637E"/>
    <w:rsid w:val="6E1D08FF"/>
    <w:rsid w:val="6EA0059F"/>
    <w:rsid w:val="6EA22FE5"/>
    <w:rsid w:val="6ED335A5"/>
    <w:rsid w:val="6EFF061A"/>
    <w:rsid w:val="6FF2019B"/>
    <w:rsid w:val="702F0840"/>
    <w:rsid w:val="70904AD9"/>
    <w:rsid w:val="70942346"/>
    <w:rsid w:val="73901771"/>
    <w:rsid w:val="77C7E2CA"/>
    <w:rsid w:val="78730186"/>
    <w:rsid w:val="78CA90EC"/>
    <w:rsid w:val="79FF681C"/>
    <w:rsid w:val="7AEFED13"/>
    <w:rsid w:val="7BCB0BF9"/>
    <w:rsid w:val="7BCC21BF"/>
    <w:rsid w:val="7D5E48C2"/>
    <w:rsid w:val="7E3428CE"/>
    <w:rsid w:val="7E481C50"/>
    <w:rsid w:val="7EFD3964"/>
    <w:rsid w:val="7F733F80"/>
    <w:rsid w:val="7FBF8646"/>
    <w:rsid w:val="7FFFB5A8"/>
    <w:rsid w:val="B3DA92A4"/>
    <w:rsid w:val="BBD628CC"/>
    <w:rsid w:val="BD3BE8A9"/>
    <w:rsid w:val="BF4FF59A"/>
    <w:rsid w:val="BF6FE6AA"/>
    <w:rsid w:val="C7BE4CA6"/>
    <w:rsid w:val="DCFD18E4"/>
    <w:rsid w:val="FBDFF8A6"/>
    <w:rsid w:val="FC8D774A"/>
    <w:rsid w:val="FFB77D6C"/>
    <w:rsid w:val="FFFD8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6">
    <w:name w:val="Default Paragraph Font"/>
    <w:unhideWhenUsed/>
    <w:qFormat/>
    <w:uiPriority w:val="1"/>
  </w:style>
  <w:style w:type="table" w:default="1" w:styleId="4">
    <w:name w:val="Normal Table"/>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customStyle="1"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2805</Words>
  <Characters>2941</Characters>
  <Lines>39</Lines>
  <Paragraphs>11</Paragraphs>
  <TotalTime>2</TotalTime>
  <ScaleCrop>false</ScaleCrop>
  <LinksUpToDate>false</LinksUpToDate>
  <CharactersWithSpaces>2949</CharactersWithSpaces>
  <Application>WPS Office_11.8.2.10953_F1E327BC-269C-435d-A152-05C5408002CA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2021-04-01T21:34:00Z</dcterms:created>
  <dc:creator>陈满松</dc:creator>
  <cp:lastModifiedBy>mhxc-langchao</cp:lastModifiedBy>
  <cp:lastPrinted>2022-12-18T09:55:00Z</cp:lastPrinted>
  <dcterms:modified xsi:type="dcterms:W3CDTF">2025-11-10T09:09:41Z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2052-11.8.2.10953</vt:lpwstr>
  </property>
  <property fmtid="{D5CDD505-2E9C-101B-9397-08002B2CF9AE}" pid="3" name="ICV">
    <vt:lpwstr>5800EFB2CDC5429FA3EB9D2C111D64F8</vt:lpwstr>
  </property>
</Properties>
</file>