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闵行区联农路229号“2023.7.24”高处坠落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死亡事故责任追究和整改措施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7</w:t>
      </w:r>
      <w:r>
        <w:rPr>
          <w:rFonts w:hint="eastAsia" w:ascii="仿宋_GB2312" w:hAnsi="宋体" w:eastAsia="仿宋_GB2312"/>
          <w:color w:val="000000" w:themeColor="text1"/>
          <w:sz w:val="32"/>
          <w:szCs w:val="22"/>
          <w:lang w:val="en-US" w:eastAsia="zh-CN"/>
          <w14:textFill>
            <w14:solidFill>
              <w14:schemeClr w14:val="tx1"/>
            </w14:solidFill>
          </w14:textFill>
        </w:rPr>
        <w:t>月份牵头成立闵行区联农路229号“2023.7.24”高处坠落死亡事故后评估小组成员单位包括区应急局、</w:t>
      </w:r>
      <w:r>
        <w:rPr>
          <w:rFonts w:hint="eastAsia" w:ascii="仿宋_GB2312" w:hAnsi="仿宋" w:eastAsia="仿宋_GB2312"/>
          <w:sz w:val="32"/>
          <w:szCs w:val="32"/>
          <w:highlight w:val="none"/>
        </w:rPr>
        <w:t>区</w:t>
      </w:r>
      <w:r>
        <w:rPr>
          <w:rFonts w:hint="eastAsia" w:ascii="仿宋_GB2312" w:hAnsi="仿宋" w:eastAsia="仿宋_GB2312"/>
          <w:sz w:val="32"/>
          <w:szCs w:val="32"/>
          <w:highlight w:val="none"/>
          <w:lang w:eastAsia="zh-CN"/>
        </w:rPr>
        <w:t>建管委</w:t>
      </w:r>
      <w:r>
        <w:rPr>
          <w:rFonts w:hint="eastAsia" w:ascii="仿宋_GB2312" w:hAnsi="仿宋" w:eastAsia="仿宋_GB2312"/>
          <w:sz w:val="32"/>
          <w:szCs w:val="32"/>
          <w:highlight w:val="none"/>
        </w:rPr>
        <w:t>、</w:t>
      </w:r>
      <w:r>
        <w:rPr>
          <w:rFonts w:hint="eastAsia" w:ascii="仿宋_GB2312" w:hAnsi="宋体" w:eastAsia="仿宋_GB2312"/>
          <w:color w:val="000000" w:themeColor="text1"/>
          <w:sz w:val="32"/>
          <w:szCs w:val="22"/>
          <w:lang w:val="en-US" w:eastAsia="zh-CN"/>
          <w14:textFill>
            <w14:solidFill>
              <w14:schemeClr w14:val="tx1"/>
            </w14:solidFill>
          </w14:textFill>
        </w:rPr>
        <w:t>区公安分局</w:t>
      </w:r>
      <w:r>
        <w:rPr>
          <w:rFonts w:hint="eastAsia" w:ascii="仿宋_GB2312" w:hAnsi="仿宋" w:eastAsia="仿宋_GB2312"/>
          <w:color w:val="auto"/>
          <w:sz w:val="32"/>
          <w:szCs w:val="32"/>
          <w:lang w:eastAsia="zh-CN"/>
        </w:rPr>
        <w:t>、</w:t>
      </w:r>
      <w:r>
        <w:rPr>
          <w:rFonts w:hint="eastAsia" w:ascii="仿宋_GB2312" w:hAnsi="宋体" w:eastAsia="仿宋_GB2312"/>
          <w:color w:val="000000" w:themeColor="text1"/>
          <w:sz w:val="32"/>
          <w:szCs w:val="22"/>
          <w:lang w:val="en-US" w:eastAsia="zh-CN"/>
          <w14:textFill>
            <w14:solidFill>
              <w14:schemeClr w14:val="tx1"/>
            </w14:solidFill>
          </w14:textFill>
        </w:rPr>
        <w:t>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7月4日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颛桥镇，采取远程沟通和资料收集方式进行评估，主要确认事故发生后，相关单位综合监管、行业监管、属地监管、以及事故责任和关联单位主体责任落实情况。对事故责任单位上海绿暖环境工程有限公司、上海达亨环境工程技术有限责任公司采取资料收集、现场走访、人员访谈、远程沟通方式进行了评估（现场走访时间7月17日）。事故关联单位上海颛桥资产投资经营有限公司（业主单位）、上海凯悦建设咨询监理有限公司（监理单位）本起事故无责，未做</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上海达亨环境工程技术有限责任公司“行政处罚决定书”（沪闵应急罚〔2023〕1115号），对该单位给予30万元的行政处罚，并查见了交费凭证（缴款码：31011223000000207001），罚没款执行到位。并查见了事故责任和关联单位内部对相关人员进行处理通报和处罚记录。并现场查见了上海绿暖环境工程有限公司与死者家属出于人道的经济补偿协议和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（五）规范和严格登高等危险作业审批许可程序。查见了登高等作业许可资料、相关作业安全交底记录等台账资料。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单位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（二）加强从业人员的安全意识与能力培训。特别要做好持证人员（安全管理人员，登高、动火、带电作业等特种及危险作业人员）的培训与教育，以提高从业人员的安全意识和安全管理水平。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监管、隐患排查与问题整改。项目现场要严格落实安全监管责任，负责项目过程的问题隐患排查与督促整改，建立隐患台账，保留检查记录。对评估小组现场走访时提出的隐患问题（如安全管理制度体系仍不够完善、安全教育培训力度仍不够等问题）应积极落实整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Calibri" w:eastAsia="仿宋_GB2312"/>
          <w:b/>
          <w:snapToGrid w:val="0"/>
          <w:kern w:val="0"/>
          <w:szCs w:val="32"/>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bookmarkStart w:id="0" w:name="_GoBack"/>
      <w:bookmarkEnd w:id="0"/>
    </w:p>
    <w:p>
      <w:pPr>
        <w:spacing w:line="620" w:lineRule="exact"/>
        <w:jc w:val="right"/>
        <w:rPr>
          <w:rFonts w:hint="eastAsia" w:ascii="仿宋_GB2312" w:hAnsi="Calibri" w:eastAsia="仿宋_GB2312"/>
          <w:b/>
          <w:snapToGrid w:val="0"/>
          <w:kern w:val="0"/>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闵行区联农路229号“2023.7.24”</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高处坠落死亡事故后评估小组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2024年7月31日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4185498"/>
    <w:rsid w:val="0506130B"/>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39C1BED"/>
    <w:rsid w:val="2467441E"/>
    <w:rsid w:val="25E93097"/>
    <w:rsid w:val="2782275D"/>
    <w:rsid w:val="2A41087D"/>
    <w:rsid w:val="2B0D78A5"/>
    <w:rsid w:val="2C651EED"/>
    <w:rsid w:val="2ECC48EB"/>
    <w:rsid w:val="2F25276D"/>
    <w:rsid w:val="310B75DF"/>
    <w:rsid w:val="31C81974"/>
    <w:rsid w:val="32A20421"/>
    <w:rsid w:val="33E76D48"/>
    <w:rsid w:val="35104F58"/>
    <w:rsid w:val="35D825ED"/>
    <w:rsid w:val="369D022E"/>
    <w:rsid w:val="37360B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9F52ABB"/>
    <w:rsid w:val="4AF11E5F"/>
    <w:rsid w:val="4C153D43"/>
    <w:rsid w:val="4D4261B3"/>
    <w:rsid w:val="4EFD1998"/>
    <w:rsid w:val="514C116E"/>
    <w:rsid w:val="51B01BDD"/>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AB87BC"/>
    <w:rsid w:val="6ED335A5"/>
    <w:rsid w:val="6EFF061A"/>
    <w:rsid w:val="6FF2019B"/>
    <w:rsid w:val="702F0840"/>
    <w:rsid w:val="70904AD9"/>
    <w:rsid w:val="70942346"/>
    <w:rsid w:val="73901771"/>
    <w:rsid w:val="76261AC9"/>
    <w:rsid w:val="77C7E2CA"/>
    <w:rsid w:val="78730186"/>
    <w:rsid w:val="78CA90EC"/>
    <w:rsid w:val="79FF681C"/>
    <w:rsid w:val="7AEFED13"/>
    <w:rsid w:val="7BCB0BF9"/>
    <w:rsid w:val="7D5E48C2"/>
    <w:rsid w:val="7E3428CE"/>
    <w:rsid w:val="7E481C50"/>
    <w:rsid w:val="7EFD3964"/>
    <w:rsid w:val="7EFF8453"/>
    <w:rsid w:val="7F733F80"/>
    <w:rsid w:val="7FBF8646"/>
    <w:rsid w:val="7FFFB5A8"/>
    <w:rsid w:val="B3DA92A4"/>
    <w:rsid w:val="BBD628CC"/>
    <w:rsid w:val="BD3BE8A9"/>
    <w:rsid w:val="BF4FF59A"/>
    <w:rsid w:val="BF6FE6AA"/>
    <w:rsid w:val="C7BE4CA6"/>
    <w:rsid w:val="DCFD18E4"/>
    <w:rsid w:val="F7D59B87"/>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2696</Words>
  <Characters>2763</Characters>
  <Lines>39</Lines>
  <Paragraphs>11</Paragraphs>
  <TotalTime>0</TotalTime>
  <ScaleCrop>false</ScaleCrop>
  <LinksUpToDate>false</LinksUpToDate>
  <CharactersWithSpaces>2771</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2025-11-10T09:09:24Z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