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90" w:lineRule="auto"/>
      </w:pPr>
    </w:p>
    <w:p>
      <w:pPr>
        <w:spacing w:line="290" w:lineRule="auto"/>
        <w:rPr>
          <w:rFonts w:eastAsiaTheme="minor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上海镇宇建筑工程有限公司“12·9”高处坠落</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一般事故整改和防范措施落实情况评估报告</w:t>
      </w: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2023年12月9日16时54分许，上海市青浦区华新镇华志路1688号项目工地内，一名施工人员杨章（男，贵州人，25岁）在厂房钢结构顶部平台作业时，不慎从临边坠落地面，坠落高度约13米。事故造成1人死亡。直接损失约166万元整。事发后，上海市青浦区应急管理局会同相关部门依法开展事故调查，形成《上海镇宇建筑工程有限公司”12.9”高处坠落一般事故调查报告》（ 以下简称事故调查报告）并报经青浦区人民政府批复同意。根据《中华人民共和国安全生产法》《生产安全事故报告和调查处理条例》《上海市实施〈生产安全事故报告和调查处理条例〉的若干规定》《生产安全事故防范和整改措施落实情况评估办法》等有关规定，青浦区应急管理局牵头会同相关部门成立评估组，于 2024 年 6月 27 日至 8 月 23日开展事故整改和防范措施落实情况评估，形成本评估报告。</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textAlignment w:val="baseline"/>
        <w:outlineLvl w:val="0"/>
        <w:rPr>
          <w:rFonts w:hint="eastAsia" w:cs="黑体" w:asciiTheme="minorEastAsia" w:hAnsiTheme="minorEastAsia" w:eastAsiaTheme="minorEastAsia"/>
          <w:sz w:val="32"/>
          <w:szCs w:val="32"/>
          <w:lang w:eastAsia="zh-CN"/>
        </w:rPr>
      </w:pPr>
      <w:r>
        <w:rPr>
          <w:rFonts w:hint="eastAsia" w:ascii="黑体" w:hAnsi="黑体" w:eastAsia="黑体" w:cs="黑体"/>
          <w:snapToGrid/>
          <w:kern w:val="2"/>
          <w:sz w:val="32"/>
          <w:szCs w:val="32"/>
          <w:lang w:val="en-US" w:eastAsia="zh-CN"/>
        </w:rPr>
        <w:t>一、基本情况</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按照“谁牵头调查，谁组织评估”原则，区应急管理局会同公安青浦分局、区总工会、区建管委、华新镇人民政府组成上海镇宇建筑工程有限公司”12.9”高处坠落一般事故整改和防范措施落实情况评估组（以下简称评估组），委托上海欣企安</w:t>
      </w:r>
      <w:bookmarkStart w:id="0" w:name="_GoBack"/>
      <w:bookmarkEnd w:id="0"/>
      <w:r>
        <w:rPr>
          <w:rStyle w:val="12"/>
          <w:rFonts w:hint="eastAsia" w:ascii="仿宋_GB2312" w:hAnsi="Calibri" w:eastAsia="仿宋_GB2312" w:cs="Times New Roman"/>
          <w:b w:val="0"/>
          <w:i w:val="0"/>
          <w:caps w:val="0"/>
          <w:snapToGrid/>
          <w:spacing w:val="0"/>
          <w:w w:val="100"/>
          <w:kern w:val="2"/>
          <w:sz w:val="32"/>
          <w:szCs w:val="32"/>
          <w:lang w:val="en-US" w:eastAsia="zh-CN" w:bidi="ar-SA"/>
        </w:rPr>
        <w:t>全生产咨询服务有限公司及相关专家参与评估。</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按照“科学严谨，依法依规，实事求是，注重实效”的原则评估组对照事故调查报告及批复，听取工作汇报，查阅台账资料，通过座谈问询、走访核查事发现场，逐项核查事故相关单位责任追究、整改和防范措施落实等情况，并结合专家意见，进行了综合评估并提出工作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 xml:space="preserve">二、事故处理落实情况 </w:t>
      </w:r>
    </w:p>
    <w:p>
      <w:pPr>
        <w:keepNext w:val="0"/>
        <w:keepLines w:val="0"/>
        <w:pageBreakBefore w:val="0"/>
        <w:widowControl w:val="0"/>
        <w:numPr>
          <w:ilvl w:val="0"/>
          <w:numId w:val="1"/>
        </w:numPr>
        <w:tabs>
          <w:tab w:val="center" w:pos="4153"/>
          <w:tab w:val="right" w:pos="8306"/>
        </w:tabs>
        <w:kinsoku/>
        <w:wordWrap/>
        <w:overflowPunct/>
        <w:topLinePunct w:val="0"/>
        <w:autoSpaceDE/>
        <w:autoSpaceDN/>
        <w:bidi w:val="0"/>
        <w:adjustRightInd/>
        <w:snapToGrid/>
        <w:spacing w:line="560" w:lineRule="exact"/>
        <w:ind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行政处罚落实情况</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2024年4月9日，上海市青浦区应急管理局（以下简称区应急管理局）按照事故责任认定及处理建议，对事故责任单位上海镇宇建筑工程有限公司给予罚款35万元的行政处罚决定；对事故责任人上海镇宇建筑工程有限公司项目经理刘登才、上海镇文建筑劳务有限公司法定代表人李丰、上海艺畅汽车配件有限公司项目负责人许乃振分别作出罚款38751元、48000元、24000元的行政处罚决定。</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经核实，以上行政处罚均已执行。</w:t>
      </w:r>
    </w:p>
    <w:p>
      <w:pPr>
        <w:keepNext w:val="0"/>
        <w:keepLines w:val="0"/>
        <w:pageBreakBefore w:val="0"/>
        <w:widowControl w:val="0"/>
        <w:numPr>
          <w:ilvl w:val="0"/>
          <w:numId w:val="1"/>
        </w:numPr>
        <w:tabs>
          <w:tab w:val="center" w:pos="4153"/>
          <w:tab w:val="right" w:pos="8306"/>
        </w:tabs>
        <w:kinsoku/>
        <w:wordWrap/>
        <w:overflowPunct/>
        <w:topLinePunct w:val="0"/>
        <w:autoSpaceDE/>
        <w:autoSpaceDN/>
        <w:bidi w:val="0"/>
        <w:adjustRightInd/>
        <w:snapToGrid/>
        <w:spacing w:line="560" w:lineRule="exact"/>
        <w:ind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企业按有关规章制度处理落实情况</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上海镇宇建筑工程有限公司项目经理刘登才，给予月工资50%的处罚；对现场专职安全员孙小鹏、李仕鹏、魏家权给予4000元的处罚；对现场工长周雪标给予2000元的处罚。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三、事故整改措施落实情况</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（一）上海镇宇建筑工程有限公司</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上海镇宇建筑工程有限公司按照事故调查报告的整改和防范措施建议，采取了以下举措：</w:t>
      </w:r>
    </w:p>
    <w:p>
      <w:pPr>
        <w:keepNext w:val="0"/>
        <w:keepLines w:val="0"/>
        <w:pageBreakBefore w:val="0"/>
        <w:widowControl w:val="0"/>
        <w:numPr>
          <w:ilvl w:val="0"/>
          <w:numId w:val="2"/>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针对事故对所有工人重新进行施工安全技术交底，及现场安全教育培训，特别是高危作业安全防护要求和安全意识；</w:t>
      </w:r>
    </w:p>
    <w:p>
      <w:pPr>
        <w:keepNext w:val="0"/>
        <w:keepLines w:val="0"/>
        <w:pageBreakBefore w:val="0"/>
        <w:widowControl w:val="0"/>
        <w:numPr>
          <w:ilvl w:val="0"/>
          <w:numId w:val="2"/>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加强领导班子现场督办和隐患排查的力度，增加检查频次杜绝一切不安全的行为和不安全状态。</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（二）华新镇</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1、完善安全管理制度，落实安全工作职责。进一步规范限额以下小型建设工程的监督管理，保障施工质量和安全，我镇出台了《华新镇限额以下小型建设工程管理办法》，实行小型工程备案管理制度，对小型工程未按照相关安全技术标准施工以及未采取必要安全防护措施等违法违规行为，将现场整改督办，对拒不整改的，采取相应措施。</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2、加强安全教育培训，落实安全防控措施。镇规建办等行业部门按照“三管三必须”要求，联合镇安管中心多次召开安全生产会议。针对事故案例，进行警示教育，同时督促各施工单位严格按照国家有关规定对从业人员开展安全教育培训，做好安全交底，提升安全管理水平。对冒险作业、违章作业等行为坚决制止;建立、落实健全安全生产责任制，制定相关作业的操作规程;严格落实重大危险源安全管理规定，确保现场旁站、看护到位，确保施工单位现场安全可靠。</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3、加强安全监督检查，严格落实隐患治理。1）镇党委、政府班子多次开展安全生产大检查工作，要求各施工单位要加强现场管理，严格落实安全生产管理措施，及时消除各类安全隐患:并且要求各企业负责人需加强对施工人员的宣传教育工作，落实施工现场管理人员巡查工作，做好值班值守工作。2）各职能部门、属地单位根据行业特性全面开展全领域、全盖、无死角的安全生产排查整治工作，加强巡查频次，确保企业各项工作安全有序进行。3）依托第三方专业机构采取定期检查及不定期抽查的形式，加强检查指导，及时发现并指导企业落实隐患问题整改工作。</w:t>
      </w:r>
    </w:p>
    <w:p>
      <w:pPr>
        <w:keepNext w:val="0"/>
        <w:keepLines w:val="0"/>
        <w:pageBreakBefore w:val="0"/>
        <w:widowControl w:val="0"/>
        <w:numPr>
          <w:ilvl w:val="0"/>
          <w:numId w:val="1"/>
        </w:numPr>
        <w:tabs>
          <w:tab w:val="center" w:pos="4153"/>
          <w:tab w:val="right" w:pos="8306"/>
        </w:tabs>
        <w:kinsoku/>
        <w:wordWrap/>
        <w:overflowPunct/>
        <w:topLinePunct w:val="0"/>
        <w:autoSpaceDE/>
        <w:autoSpaceDN/>
        <w:bidi w:val="0"/>
        <w:adjustRightInd/>
        <w:snapToGrid/>
        <w:spacing w:line="560" w:lineRule="exact"/>
        <w:ind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建管委</w:t>
      </w:r>
    </w:p>
    <w:p>
      <w:pPr>
        <w:keepNext w:val="0"/>
        <w:keepLines w:val="0"/>
        <w:pageBreakBefore w:val="0"/>
        <w:widowControl w:val="0"/>
        <w:numPr>
          <w:ilvl w:val="0"/>
          <w:numId w:val="3"/>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根据监督情况开具《上海市建设工程质量安全监督停工指令单》，并对总分包项目经理和专职安全员进行安全动态扣分。</w:t>
      </w:r>
    </w:p>
    <w:p>
      <w:pPr>
        <w:keepNext w:val="0"/>
        <w:keepLines w:val="0"/>
        <w:pageBreakBefore w:val="0"/>
        <w:widowControl w:val="0"/>
        <w:numPr>
          <w:ilvl w:val="0"/>
          <w:numId w:val="3"/>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根据“四不放过”要求，加强对该项目的监管体责任落实情况进行督查。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四、评估结论</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评估组按照事故调查报告及其批复要求，经资料审查、现场核查、专业评查，对该起事故处理、整改和防范措施落实情况进 行综合评估后认为：</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（一）相关单位及人员已履行行政处罚决定；相关单位对起事故责任人的处理已落实。</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（二）该起事故相关单位、属地政府及相关部门已实施事故 调查报告提出的整改和防范措施。</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综上，该起事故处理已全部落实，事故整改措施已全部落实。</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五、工作建议</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（一）建议事故发生地上海艺畅汽车配件有限公司继续完善公司安全生产标准化的建设，落实本单位安全生产主体责任，强化安全管理工作。</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（二）建议上海艺畅汽车配件有限公司继续加强安全风险分级管控和隐患排查治理双重预防工作机制，加强现场检查巡查。通过技术、管理、教育措施，及时发现并消除生产安全事故隐患，谨防事故发生。</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（三）建议上海艺畅汽车配件有限公司继续加强作业安全管理，严格执行特殊作业安全管理制度，安全工作许可证施行上锁挂牌规则。</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 xml:space="preserve">（四）建议上海艺畅汽车配件有限公司继续加强承包商安全管理，严格执行承包商入厂教育培训规定，定期回顾各部门相关承包商安全表现业绩；严格落实承包商现场施工安全责任，优化现场监督管理。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（五）建议上海艺畅汽车配件有限公司继续加强对承租单位的安全生产工作做统一协调、管理，定期开展生产安全隐患排查，并督促其消除隐患。</w:t>
      </w:r>
    </w:p>
    <w:p>
      <w:pPr>
        <w:widowControl w:val="0"/>
        <w:kinsoku/>
        <w:autoSpaceDE/>
        <w:autoSpaceDN/>
        <w:adjustRightInd/>
        <w:snapToGrid/>
        <w:spacing w:line="360" w:lineRule="auto"/>
        <w:jc w:val="both"/>
        <w:textAlignment w:val="auto"/>
        <w:rPr>
          <w:rFonts w:hint="eastAsia" w:ascii="宋体" w:hAnsi="宋体" w:eastAsia="宋体" w:cs="宋体"/>
          <w:sz w:val="32"/>
          <w:szCs w:val="32"/>
          <w:lang w:eastAsia="zh-CN"/>
        </w:rPr>
      </w:pPr>
    </w:p>
    <w:p>
      <w:pPr>
        <w:widowControl w:val="0"/>
        <w:kinsoku/>
        <w:autoSpaceDE/>
        <w:autoSpaceDN/>
        <w:adjustRightInd/>
        <w:snapToGrid/>
        <w:spacing w:line="360" w:lineRule="auto"/>
        <w:jc w:val="both"/>
        <w:textAlignment w:val="auto"/>
        <w:rPr>
          <w:rFonts w:hint="eastAsia" w:ascii="宋体" w:hAnsi="宋体" w:eastAsia="宋体" w:cs="宋体"/>
          <w:sz w:val="32"/>
          <w:szCs w:val="32"/>
          <w:lang w:eastAsia="zh-CN"/>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right"/>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上海镇宇建筑工程有限公司”12.9”高处坠落</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right"/>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一般事故整改和防范措施情况评估组</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right"/>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2024 年 8月 23 日</w:t>
      </w:r>
    </w:p>
    <w:sectPr>
      <w:footerReference r:id="rId3" w:type="default"/>
      <w:pgSz w:w="11906" w:h="16839"/>
      <w:pgMar w:top="1431" w:right="1381" w:bottom="1310" w:left="1596" w:header="0" w:footer="1025"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00"/>
    <w:family w:val="auto"/>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ESI楷体-GB2312">
    <w:panose1 w:val="02000500000000000000"/>
    <w:charset w:val="86"/>
    <w:family w:val="auto"/>
    <w:pitch w:val="default"/>
    <w:sig w:usb0="800002BF" w:usb1="184F6CF8" w:usb2="00000012"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B7CA39"/>
    <w:multiLevelType w:val="singleLevel"/>
    <w:tmpl w:val="D7B7CA39"/>
    <w:lvl w:ilvl="0" w:tentative="0">
      <w:start w:val="1"/>
      <w:numFmt w:val="chineseCounting"/>
      <w:suff w:val="nothing"/>
      <w:lvlText w:val="（%1）"/>
      <w:lvlJc w:val="left"/>
      <w:rPr>
        <w:rFonts w:hint="eastAsia"/>
      </w:rPr>
    </w:lvl>
  </w:abstractNum>
  <w:abstractNum w:abstractNumId="1">
    <w:nsid w:val="F97D80ED"/>
    <w:multiLevelType w:val="singleLevel"/>
    <w:tmpl w:val="F97D80ED"/>
    <w:lvl w:ilvl="0" w:tentative="0">
      <w:start w:val="1"/>
      <w:numFmt w:val="decimal"/>
      <w:suff w:val="nothing"/>
      <w:lvlText w:val="%1、"/>
      <w:lvlJc w:val="left"/>
    </w:lvl>
  </w:abstractNum>
  <w:abstractNum w:abstractNumId="2">
    <w:nsid w:val="6BCE6568"/>
    <w:multiLevelType w:val="singleLevel"/>
    <w:tmpl w:val="6BCE6568"/>
    <w:lvl w:ilvl="0" w:tentative="0">
      <w:start w:val="1"/>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true"/>
  <w:bordersDoNotSurroundHeader w:val="true"/>
  <w:bordersDoNotSurroundFooter w:val="true"/>
  <w:documentProtection w:enforcement="0"/>
  <w:defaultTabStop w:val="420"/>
  <w:characterSpacingControl w:val="doNotCompress"/>
  <w:compat>
    <w:spaceForUL/>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BjZjRhZGFhNTU0MzU5ZDI2ZTVmZmJkZjY2M2QxYjQifQ=="/>
  </w:docVars>
  <w:rsids>
    <w:rsidRoot w:val="00C869D6"/>
    <w:rsid w:val="000062E7"/>
    <w:rsid w:val="00013137"/>
    <w:rsid w:val="00033843"/>
    <w:rsid w:val="000612EF"/>
    <w:rsid w:val="00073E73"/>
    <w:rsid w:val="000B5CDE"/>
    <w:rsid w:val="000C1ADB"/>
    <w:rsid w:val="000D1332"/>
    <w:rsid w:val="000F0079"/>
    <w:rsid w:val="00135E28"/>
    <w:rsid w:val="00136FF6"/>
    <w:rsid w:val="00161533"/>
    <w:rsid w:val="00166A17"/>
    <w:rsid w:val="0018765D"/>
    <w:rsid w:val="001D686B"/>
    <w:rsid w:val="00215989"/>
    <w:rsid w:val="002172BB"/>
    <w:rsid w:val="002209AC"/>
    <w:rsid w:val="00224AD7"/>
    <w:rsid w:val="002318F6"/>
    <w:rsid w:val="00232F7F"/>
    <w:rsid w:val="002334BA"/>
    <w:rsid w:val="002543A9"/>
    <w:rsid w:val="00276526"/>
    <w:rsid w:val="00291668"/>
    <w:rsid w:val="002A47DC"/>
    <w:rsid w:val="002B18AB"/>
    <w:rsid w:val="002B23E2"/>
    <w:rsid w:val="002C42DE"/>
    <w:rsid w:val="0033564D"/>
    <w:rsid w:val="00346849"/>
    <w:rsid w:val="003559FC"/>
    <w:rsid w:val="003C4C3B"/>
    <w:rsid w:val="003E3EEA"/>
    <w:rsid w:val="003E7CA8"/>
    <w:rsid w:val="004017D8"/>
    <w:rsid w:val="00441B51"/>
    <w:rsid w:val="004767D2"/>
    <w:rsid w:val="004851EA"/>
    <w:rsid w:val="004930F4"/>
    <w:rsid w:val="004C2307"/>
    <w:rsid w:val="004C2CDA"/>
    <w:rsid w:val="005178CB"/>
    <w:rsid w:val="00550B57"/>
    <w:rsid w:val="0056251C"/>
    <w:rsid w:val="0058492E"/>
    <w:rsid w:val="005B7166"/>
    <w:rsid w:val="005D3499"/>
    <w:rsid w:val="005E4C43"/>
    <w:rsid w:val="00602760"/>
    <w:rsid w:val="00627A60"/>
    <w:rsid w:val="00684291"/>
    <w:rsid w:val="006A18AE"/>
    <w:rsid w:val="006A3E98"/>
    <w:rsid w:val="006A58C8"/>
    <w:rsid w:val="006C2780"/>
    <w:rsid w:val="006F4831"/>
    <w:rsid w:val="007D58A2"/>
    <w:rsid w:val="008006D2"/>
    <w:rsid w:val="008422C4"/>
    <w:rsid w:val="00847792"/>
    <w:rsid w:val="008C2028"/>
    <w:rsid w:val="008C2463"/>
    <w:rsid w:val="008E2486"/>
    <w:rsid w:val="008F4F29"/>
    <w:rsid w:val="00953491"/>
    <w:rsid w:val="0096514A"/>
    <w:rsid w:val="00966773"/>
    <w:rsid w:val="009B75CA"/>
    <w:rsid w:val="009C7BA1"/>
    <w:rsid w:val="009D03C7"/>
    <w:rsid w:val="009E220D"/>
    <w:rsid w:val="00A2572B"/>
    <w:rsid w:val="00A552E6"/>
    <w:rsid w:val="00A67385"/>
    <w:rsid w:val="00A75191"/>
    <w:rsid w:val="00A82407"/>
    <w:rsid w:val="00A97E6E"/>
    <w:rsid w:val="00AA0C47"/>
    <w:rsid w:val="00B3521D"/>
    <w:rsid w:val="00B8686E"/>
    <w:rsid w:val="00BB7B6E"/>
    <w:rsid w:val="00BC6A2D"/>
    <w:rsid w:val="00C07A3A"/>
    <w:rsid w:val="00C50675"/>
    <w:rsid w:val="00C57041"/>
    <w:rsid w:val="00C72784"/>
    <w:rsid w:val="00C764CC"/>
    <w:rsid w:val="00C80C62"/>
    <w:rsid w:val="00C869D6"/>
    <w:rsid w:val="00CA0496"/>
    <w:rsid w:val="00CE6D89"/>
    <w:rsid w:val="00D03AC5"/>
    <w:rsid w:val="00D03DFF"/>
    <w:rsid w:val="00D12F4B"/>
    <w:rsid w:val="00D237E1"/>
    <w:rsid w:val="00D56FC4"/>
    <w:rsid w:val="00D609D6"/>
    <w:rsid w:val="00D85665"/>
    <w:rsid w:val="00D94D48"/>
    <w:rsid w:val="00DE61C2"/>
    <w:rsid w:val="00E0434E"/>
    <w:rsid w:val="00E1320C"/>
    <w:rsid w:val="00E346CC"/>
    <w:rsid w:val="00E3494B"/>
    <w:rsid w:val="00E366F0"/>
    <w:rsid w:val="00E54B71"/>
    <w:rsid w:val="00E60325"/>
    <w:rsid w:val="00E87D1F"/>
    <w:rsid w:val="00E87DE6"/>
    <w:rsid w:val="00F24A3E"/>
    <w:rsid w:val="00F41758"/>
    <w:rsid w:val="00F449E0"/>
    <w:rsid w:val="00F451AC"/>
    <w:rsid w:val="00F52B32"/>
    <w:rsid w:val="00F7641B"/>
    <w:rsid w:val="0C4D3648"/>
    <w:rsid w:val="26CBCCFB"/>
    <w:rsid w:val="2BB9A46C"/>
    <w:rsid w:val="2BDE8960"/>
    <w:rsid w:val="319310E0"/>
    <w:rsid w:val="3FA076F0"/>
    <w:rsid w:val="6F9B48C2"/>
    <w:rsid w:val="6FDF8C07"/>
    <w:rsid w:val="7EC3A03C"/>
    <w:rsid w:val="7EFC3EC7"/>
    <w:rsid w:val="8EF239D6"/>
    <w:rsid w:val="9EF7A3F0"/>
    <w:rsid w:val="9F6752D0"/>
    <w:rsid w:val="BBEFE9B0"/>
    <w:rsid w:val="BEDFFADB"/>
    <w:rsid w:val="BF3CEF2E"/>
    <w:rsid w:val="CEEB0EA8"/>
    <w:rsid w:val="CF9A2020"/>
    <w:rsid w:val="D7EC5EB6"/>
    <w:rsid w:val="DAFF338D"/>
    <w:rsid w:val="DDAFB9B4"/>
    <w:rsid w:val="E77D62C7"/>
    <w:rsid w:val="F5FB6AA6"/>
    <w:rsid w:val="F7F91959"/>
    <w:rsid w:val="F9E14117"/>
    <w:rsid w:val="FBFCBA1D"/>
    <w:rsid w:val="FF77CCE3"/>
    <w:rsid w:val="FF7D875C"/>
    <w:rsid w:val="FF9FA267"/>
    <w:rsid w:val="FFBEC045"/>
    <w:rsid w:val="FFF3DB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2"/>
    <w:basedOn w:val="1"/>
    <w:next w:val="3"/>
    <w:qFormat/>
    <w:uiPriority w:val="0"/>
    <w:pPr>
      <w:jc w:val="right"/>
    </w:pPr>
    <w:rPr>
      <w:rFonts w:ascii="黑体" w:eastAsia="黑体"/>
      <w:sz w:val="44"/>
    </w:rPr>
  </w:style>
  <w:style w:type="paragraph" w:styleId="3">
    <w:name w:val="Body Text First Indent 2"/>
    <w:basedOn w:val="4"/>
    <w:next w:val="1"/>
    <w:unhideWhenUsed/>
    <w:qFormat/>
    <w:uiPriority w:val="0"/>
    <w:pPr>
      <w:spacing w:after="120"/>
      <w:ind w:left="420" w:leftChars="200" w:firstLine="420" w:firstLineChars="200"/>
    </w:pPr>
    <w:rPr>
      <w:rFonts w:hint="default" w:ascii="Calibri" w:hAnsi="Calibri" w:eastAsia="宋体" w:cs="Times New Roman"/>
      <w:sz w:val="21"/>
    </w:rPr>
  </w:style>
  <w:style w:type="paragraph" w:styleId="4">
    <w:name w:val="Body Text Indent"/>
    <w:basedOn w:val="1"/>
    <w:next w:val="5"/>
    <w:qFormat/>
    <w:uiPriority w:val="0"/>
    <w:pPr>
      <w:ind w:leftChars="100"/>
    </w:pPr>
    <w:rPr>
      <w:rFonts w:hint="eastAsia" w:ascii="宋体" w:hAnsi="宋体" w:eastAsia="宋体"/>
      <w:sz w:val="28"/>
      <w:szCs w:val="24"/>
    </w:rPr>
  </w:style>
  <w:style w:type="paragraph" w:styleId="5">
    <w:name w:val="Normal Indent"/>
    <w:basedOn w:val="1"/>
    <w:next w:val="1"/>
    <w:qFormat/>
    <w:uiPriority w:val="0"/>
    <w:pPr>
      <w:ind w:firstLine="420" w:firstLineChars="200"/>
    </w:pPr>
    <w:rPr>
      <w:rFonts w:ascii="Times New Roman" w:hAnsi="Times New Roman" w:eastAsia="仿宋" w:cs="Times New Roman"/>
      <w:sz w:val="32"/>
    </w:rPr>
  </w:style>
  <w:style w:type="paragraph" w:styleId="6">
    <w:name w:val="Body Text"/>
    <w:basedOn w:val="1"/>
    <w:semiHidden/>
    <w:qFormat/>
    <w:uiPriority w:val="0"/>
    <w:rPr>
      <w:rFonts w:ascii="仿宋_GB2312" w:hAnsi="仿宋_GB2312" w:eastAsia="仿宋_GB2312" w:cs="仿宋_GB2312"/>
      <w:sz w:val="31"/>
      <w:szCs w:val="31"/>
    </w:rPr>
  </w:style>
  <w:style w:type="paragraph" w:styleId="7">
    <w:name w:val="footer"/>
    <w:basedOn w:val="1"/>
    <w:link w:val="15"/>
    <w:qFormat/>
    <w:uiPriority w:val="0"/>
    <w:pPr>
      <w:tabs>
        <w:tab w:val="center" w:pos="4153"/>
        <w:tab w:val="right" w:pos="8306"/>
      </w:tabs>
    </w:pPr>
    <w:rPr>
      <w:sz w:val="18"/>
      <w:szCs w:val="18"/>
    </w:rPr>
  </w:style>
  <w:style w:type="paragraph" w:styleId="8">
    <w:name w:val="header"/>
    <w:basedOn w:val="1"/>
    <w:link w:val="14"/>
    <w:qFormat/>
    <w:uiPriority w:val="0"/>
    <w:pPr>
      <w:tabs>
        <w:tab w:val="center" w:pos="4153"/>
        <w:tab w:val="right" w:pos="8306"/>
      </w:tabs>
      <w:jc w:val="center"/>
    </w:pPr>
    <w:rPr>
      <w:sz w:val="18"/>
      <w:szCs w:val="18"/>
    </w:rPr>
  </w:style>
  <w:style w:type="table" w:customStyle="1" w:styleId="11">
    <w:name w:val="Table Normal"/>
    <w:semiHidden/>
    <w:unhideWhenUsed/>
    <w:qFormat/>
    <w:uiPriority w:val="0"/>
    <w:tblPr>
      <w:tblCellMar>
        <w:top w:w="0" w:type="dxa"/>
        <w:left w:w="0" w:type="dxa"/>
        <w:bottom w:w="0" w:type="dxa"/>
        <w:right w:w="0" w:type="dxa"/>
      </w:tblCellMar>
    </w:tblPr>
  </w:style>
  <w:style w:type="character" w:customStyle="1" w:styleId="12">
    <w:name w:val="NormalCharacter"/>
    <w:qFormat/>
    <w:uiPriority w:val="0"/>
  </w:style>
  <w:style w:type="paragraph" w:styleId="13">
    <w:name w:val="List Paragraph"/>
    <w:basedOn w:val="1"/>
    <w:unhideWhenUsed/>
    <w:qFormat/>
    <w:uiPriority w:val="99"/>
    <w:pPr>
      <w:ind w:firstLine="420" w:firstLineChars="200"/>
    </w:pPr>
  </w:style>
  <w:style w:type="character" w:customStyle="1" w:styleId="14">
    <w:name w:val="页眉 字符"/>
    <w:basedOn w:val="10"/>
    <w:link w:val="8"/>
    <w:qFormat/>
    <w:uiPriority w:val="0"/>
    <w:rPr>
      <w:rFonts w:eastAsia="Arial"/>
      <w:snapToGrid w:val="0"/>
      <w:color w:val="000000"/>
      <w:sz w:val="18"/>
      <w:szCs w:val="18"/>
      <w:lang w:eastAsia="en-US"/>
    </w:rPr>
  </w:style>
  <w:style w:type="character" w:customStyle="1" w:styleId="15">
    <w:name w:val="页脚 字符"/>
    <w:basedOn w:val="10"/>
    <w:link w:val="7"/>
    <w:qFormat/>
    <w:uiPriority w:val="0"/>
    <w:rPr>
      <w:rFonts w:eastAsia="Arial"/>
      <w:snapToGrid w:val="0"/>
      <w:color w:val="000000"/>
      <w:sz w:val="18"/>
      <w:szCs w:val="18"/>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375</Words>
  <Characters>2142</Characters>
  <Lines>17</Lines>
  <Paragraphs>5</Paragraphs>
  <TotalTime>11</TotalTime>
  <ScaleCrop>false</ScaleCrop>
  <LinksUpToDate>false</LinksUpToDate>
  <CharactersWithSpaces>2512</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2024-10-23T05:37:00Z</dcterms:created>
  <dc:creator>ms</dc:creator>
  <cp:lastModifiedBy>yjj-503</cp:lastModifiedBy>
  <cp:lastPrinted>2024-11-05T09:51:04Z</cp:lastPrinted>
  <dcterms:modified xsi:type="dcterms:W3CDTF">2024-11-05T10:00:57Z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2024-10-08T14:12:57Z</vt:filetime>
  </property>
  <property fmtid="{D5CDD505-2E9C-101B-9397-08002B2CF9AE}" pid="4" name="KSOProductBuildVer">
    <vt:lpwstr>2052-11.8.2.10251</vt:lpwstr>
  </property>
  <property fmtid="{D5CDD505-2E9C-101B-9397-08002B2CF9AE}" pid="5" name="ICV">
    <vt:lpwstr>470CCB2971BE4280A4FBD44C2BD2C97D_12</vt:lpwstr>
  </property>
</Properties>
</file>