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闵行区万芳路801号“2023.7.20”触电</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死亡事故责任追究和整改措施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w:t>
      </w:r>
      <w:r>
        <w:rPr>
          <w:rFonts w:hint="eastAsia" w:ascii="仿宋_GB2312" w:hAnsi="宋体" w:eastAsia="仿宋_GB2312"/>
          <w:color w:val="auto"/>
          <w:sz w:val="32"/>
          <w:szCs w:val="22"/>
          <w:lang w:val="en-US" w:eastAsia="zh-CN"/>
        </w:rPr>
        <w:t>年</w:t>
      </w:r>
      <w:r>
        <w:rPr>
          <w:rFonts w:hint="eastAsia" w:ascii="仿宋_GB2312" w:hAnsi="宋体" w:eastAsia="仿宋_GB2312"/>
          <w:color w:val="auto"/>
          <w:sz w:val="32"/>
          <w:szCs w:val="22"/>
          <w:highlight w:val="none"/>
          <w:lang w:val="en-US" w:eastAsia="zh-CN"/>
        </w:rPr>
        <w:t>7</w:t>
      </w:r>
      <w:r>
        <w:rPr>
          <w:rFonts w:hint="eastAsia" w:ascii="仿宋_GB2312" w:hAnsi="宋体" w:eastAsia="仿宋_GB2312"/>
          <w:color w:val="000000" w:themeColor="text1"/>
          <w:sz w:val="32"/>
          <w:szCs w:val="22"/>
          <w:lang w:val="en-US" w:eastAsia="zh-CN"/>
          <w14:textFill>
            <w14:solidFill>
              <w14:schemeClr w14:val="tx1"/>
            </w14:solidFill>
          </w14:textFill>
        </w:rPr>
        <w:t>月份牵头成立闵行区万芳路801号“2023.7.20”触电死亡事故后评估小组成员单位包括区应急局、区公安分局、区总工会、上海柏科管理咨询股份有限公司（事故后评估技术服务第三方）。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7月4日</w:t>
      </w:r>
      <w:r>
        <w:rPr>
          <w:rFonts w:hint="eastAsia" w:ascii="仿宋_GB2312" w:hAnsi="宋体" w:eastAsia="仿宋_GB2312"/>
          <w:color w:val="auto"/>
          <w:sz w:val="32"/>
          <w:szCs w:val="22"/>
          <w:lang w:val="en-US" w:eastAsia="zh-CN"/>
        </w:rPr>
        <w:t>，</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浦江镇，采取远程沟通和资料收集方式进行评估，主要确认事故发生后，相关单位综合监管、属地监管、以及事故责任单位主体责任落实情况。对事故责任单位上海凯原兴制冷设备工程有限公司采取资料收集、远程沟通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属地安全生产监管部门、事故责任单位基本能按本起事故的《事故调查报告》要求，落实处理意见与防范措施，在事故责任追究与教训吸取、安全生产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查见了主要事故责任单位上海凯原兴制冷设备工程有限公司“行政处罚决定书”（沪闵应急罚〔2023〕1141号），对该单位给予30万元的行政处罚，并查见了交费凭证，罚没款执行到位。</w:t>
      </w:r>
      <w:r>
        <w:rPr>
          <w:rFonts w:hint="eastAsia" w:ascii="仿宋_GB2312" w:hAnsi="宋体" w:eastAsia="仿宋_GB2312"/>
          <w:color w:val="auto"/>
          <w:sz w:val="32"/>
          <w:szCs w:val="22"/>
          <w:lang w:val="en-US" w:eastAsia="zh-CN"/>
        </w:rPr>
        <w:t>事故关联单位上海空间推进研究所本起事故无责。</w:t>
      </w:r>
      <w:r>
        <w:rPr>
          <w:rFonts w:hint="eastAsia" w:ascii="仿宋_GB2312" w:hAnsi="宋体" w:eastAsia="仿宋_GB2312"/>
          <w:color w:val="000000" w:themeColor="text1"/>
          <w:sz w:val="32"/>
          <w:szCs w:val="22"/>
          <w:lang w:val="en-US" w:eastAsia="zh-CN"/>
          <w14:textFill>
            <w14:solidFill>
              <w14:schemeClr w14:val="tx1"/>
            </w14:solidFill>
          </w14:textFill>
        </w:rPr>
        <w:t>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评估小组通过资料审查，人员电话问询沟通等形式，对事故责任单位事故处理、事故后续整改措施落实、事故预防长效机制等情况进行了针对性检查评估。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安全生产责任制、安全责任书和安全承诺书签订、风险辨识评估与控制管理制度、安全教育培训制度、隐患排查与治理制度、作业安全管理制度、危险作业审批制度、消防安全管理制度等。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（三）开展安全生产风险辨识和隐患排查。策划和识别了单位安全风险辨识工作方案，确定了单位的重点风险源和控制措施。落实了隐患排查制度，查见了安全检查和隐患排查记录、台账和整改资料。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（五）规范和严格了用电、登高等危险作业审批许可程序。查见了用电、登高等作业许可资料。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（六）编制了单位应急预案并开展应急演练。应急预案包括火灾、触电事故等，查见了相关演练方案、演练报告、演练照片和签到记录等。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项目现场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（二）加强从业人员的安全意识与能力培训。特别要做好持证人员（如安全管理人员，登高、带电作业等危险作业人员）的培训与教育，以提高从业人员的安全意识和安全管理水平。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（三）加强项目现场安全检查与隐患问题整改。项目现场要严格落实项目现场安全监管责任，确定安全管理人员，负责项目过程的问题隐患排查与督促整改，建立隐患台账，保留检查记录。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520" w:firstLineChars="1100"/>
        <w:jc w:val="lef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520" w:firstLineChars="1100"/>
        <w:jc w:val="lef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bookmarkStart w:id="0" w:name="_GoBack"/>
      <w:bookmarkEnd w:id="0"/>
      <w:r>
        <w:rPr>
          <w:rFonts w:hint="eastAsia" w:ascii="仿宋_GB2312" w:hAnsi="宋体" w:eastAsia="仿宋_GB2312"/>
          <w:color w:val="000000" w:themeColor="text1"/>
          <w:sz w:val="32"/>
          <w:szCs w:val="22"/>
          <w:lang w:val="en-US" w:eastAsia="zh-CN"/>
          <w14:textFill>
            <w14:solidFill>
              <w14:schemeClr w14:val="tx1"/>
            </w14:solidFill>
          </w14:textFill>
        </w:rPr>
        <w:t>闵行区万芳路801号“2023.7.20”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160" w:firstLineChars="1300"/>
        <w:jc w:val="left"/>
        <w:textAlignment w:val="auto"/>
        <w:outlineLvl w:val="9"/>
        <w:rPr>
          <w:rFonts w:hint="eastAsia" w:ascii="仿宋_GB2312" w:hAnsi="宋体" w:eastAsia="仿宋_GB2312"/>
          <w:b/>
          <w:bCs/>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触电死亡事故后评估小组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2024年7月29日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4185498"/>
    <w:rsid w:val="0506130B"/>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BA0C7B"/>
    <w:rsid w:val="3DE9465E"/>
    <w:rsid w:val="3EE338FA"/>
    <w:rsid w:val="3EE9514F"/>
    <w:rsid w:val="418F1543"/>
    <w:rsid w:val="4379487C"/>
    <w:rsid w:val="449A462F"/>
    <w:rsid w:val="46AC79A1"/>
    <w:rsid w:val="47692A3C"/>
    <w:rsid w:val="47821829"/>
    <w:rsid w:val="48BE4B9A"/>
    <w:rsid w:val="48FD1513"/>
    <w:rsid w:val="496F78AA"/>
    <w:rsid w:val="4AF11E5F"/>
    <w:rsid w:val="4C153D43"/>
    <w:rsid w:val="4D4261B3"/>
    <w:rsid w:val="4EFD1998"/>
    <w:rsid w:val="514C116E"/>
    <w:rsid w:val="52EC1BFF"/>
    <w:rsid w:val="57DB0FE8"/>
    <w:rsid w:val="5A3E7C00"/>
    <w:rsid w:val="5AD93B85"/>
    <w:rsid w:val="5BD451EC"/>
    <w:rsid w:val="5C945403"/>
    <w:rsid w:val="5CC72843"/>
    <w:rsid w:val="5EBB61F8"/>
    <w:rsid w:val="5EBDEF7B"/>
    <w:rsid w:val="5EC96258"/>
    <w:rsid w:val="5F326928"/>
    <w:rsid w:val="5F39B20B"/>
    <w:rsid w:val="5F582E1B"/>
    <w:rsid w:val="5F749287"/>
    <w:rsid w:val="60AB2DEE"/>
    <w:rsid w:val="60D74757"/>
    <w:rsid w:val="61624E28"/>
    <w:rsid w:val="622A2592"/>
    <w:rsid w:val="62895BA0"/>
    <w:rsid w:val="660A72D8"/>
    <w:rsid w:val="666842C9"/>
    <w:rsid w:val="67131EDF"/>
    <w:rsid w:val="683C29F3"/>
    <w:rsid w:val="6B5B6524"/>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D5E48C2"/>
    <w:rsid w:val="7E3428CE"/>
    <w:rsid w:val="7E481C50"/>
    <w:rsid w:val="7EFD3964"/>
    <w:rsid w:val="7F733F80"/>
    <w:rsid w:val="7FBF8646"/>
    <w:rsid w:val="7FFFB5A8"/>
    <w:rsid w:val="A8FD2D83"/>
    <w:rsid w:val="B3DA92A4"/>
    <w:rsid w:val="BBD628CC"/>
    <w:rsid w:val="BD3BE8A9"/>
    <w:rsid w:val="BF4FF59A"/>
    <w:rsid w:val="BF6FE6AA"/>
    <w:rsid w:val="BFE7EDC6"/>
    <w:rsid w:val="C7BE4CA6"/>
    <w:rsid w:val="DCFD18E4"/>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2480</Words>
  <Characters>2529</Characters>
  <Lines>39</Lines>
  <Paragraphs>11</Paragraphs>
  <TotalTime>0</TotalTime>
  <ScaleCrop>false</ScaleCrop>
  <LinksUpToDate>false</LinksUpToDate>
  <CharactersWithSpaces>2537</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2025-11-10T09:09:02Z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