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90" w:lineRule="auto"/>
      </w:pPr>
    </w:p>
    <w:p>
      <w:pPr>
        <w:spacing w:line="290" w:lineRule="auto"/>
        <w:rPr>
          <w:rFonts w:eastAsiaTheme="minor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上海云庚实业有限公司“9·7”物体打击</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一般事故整改和防范措施落实情况评估报告</w:t>
      </w:r>
    </w:p>
    <w:p>
      <w:pPr>
        <w:pStyle w:val="2"/>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2023年9月7日下午17时许，上海市青浦区崧盈路1199号1幢上海云庚实业有限公司1楼厂房内东北侧，一个竖置的钢立柱突然向正北方向倾倒并砸到1名作业人员魏河强（男，河南人，48岁）。事故共造成1人死亡。直接损失约86.8万元整。事发后，上海市青浦区应急管理局会同相关部门依法开展事故调查，形成《上海云庚实业有限公司”9.7”物体打击一般事故调查报告》（ 以下简称事故调查报告）并报经青浦区人民政府批复同意。根据《中华人民共和国安全生产法》《生产安全事故报告和调查处理条例》《上海市实施〈生产安全事故报告和调查处理条例〉的若干规定》《生产安全事故防范和整改措施落实情况评估办法》等有关规定，青浦区应急管理局牵头会同相关部门成立评估组，于 2024 年 9月 19 日至 10月 25日开展事故整改和防范措施落实情况评估，形成本评估报告。</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按照“谁牵头调查，谁组织评估”原则，区应急管理局会同公安青浦分局、区总工会、香花桥街道办事处、青浦工业园区组成上海云庚实业有限公司”9.7”物体打击一般事故整改和防范措施落实情况评估组（以下简称评估组），委托上海欣企安全生产咨询服务有限公司及相关专家参与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按照“科学严谨，依法依规，实事求是，注重实效”的原则评估组对照事故调查报告及批复，听取工作汇报，查阅台账资料，通过座谈问询、走访核查事发现场，逐项核查事故相关单位责任追究、整改和防范措施落实等情况，并结合专家意见，进行了综合评估并提出工作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 xml:space="preserve">事故处理落实情况 </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行政处罚落实情况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 xml:space="preserve">2023年12月23日，上海市青浦区应急管理局（以下简称区应急管理局）按照事故责任认定及处理建议，对事故责任单位上海云庚实业有限公司作出罚款35万元的行政处罚决定；对事故责任人上海云庚实业有限公司总经理蔡永明作出罚款34000元的行政处罚决定。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经核实，已于2024年9月12日向青浦区人民法院申请对上海云庚实业有限公司30万元的行政处罚的强制执行。（其中，青浦应急局批准上海云庚实业有限公司分二期缴纳罚款。第一期伍万元整已缴纳。第二期叁拾万元整未缴纳）。其余行政处罚均已执行。</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事故整改措施落实情况</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（一）上海云庚实业有限公司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上海云庚实业有限公司按照事故调查报告的整改和防范措施建议，采取以下整改措施：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是关闭了在元懿公司承租的位于上海市青浦区崧盈路1199号1幢东北侧车间；二是加强从业人员三级教育和岗位操作培训，严格落实生产安全培训教育考核制度，经考核合格方可上岗操作；三是建立健全生产现场安全监督和隐患排查机制。</w:t>
      </w:r>
    </w:p>
    <w:p>
      <w:pPr>
        <w:pStyle w:val="6"/>
        <w:keepNext w:val="0"/>
        <w:keepLines w:val="0"/>
        <w:pageBreakBefore w:val="0"/>
        <w:wordWrap/>
        <w:overflowPunct/>
        <w:topLinePunct w:val="0"/>
        <w:bidi w:val="0"/>
        <w:spacing w:line="560" w:lineRule="exact"/>
        <w:ind w:right="0" w:firstLine="640" w:firstLineChars="200"/>
        <w:jc w:val="both"/>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 xml:space="preserve"> </w:t>
      </w:r>
      <w:r>
        <w:rPr>
          <w:rFonts w:hint="eastAsia" w:ascii="黑体" w:hAnsi="黑体" w:eastAsia="CESI楷体-GB2312" w:cs="黑体"/>
          <w:b/>
          <w:bCs/>
          <w:snapToGrid/>
          <w:color w:val="000000"/>
          <w:kern w:val="2"/>
          <w:sz w:val="32"/>
          <w:szCs w:val="32"/>
          <w:lang w:val="en-US" w:eastAsia="zh-CN" w:bidi="ar-SA"/>
        </w:rPr>
        <w:t>（二）青浦工业园区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1、规范安全管理，落实工作职责。对网格下发每日安全生产工作清单，要求相关单位开展自查并落实高处作业各项安全措施、高处作业过程控制与防护。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强化业务培训，提高履职能力。园区集团公司积极组织安全宣传教育活动一托微信群、公众号、视频号等各种新媒体资源，大力开展生产安全知识培训，切实提高从业人员安全意识，进一步提升安全员的履职能力和工作效力，推动企业落实安全生产第一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3、强化督查检查，确保措施到位。为进一步加强园区输送设备等其他生产安全风险管控，园区集团公司班子领导多次带队实地开展督查检查，督促企业切实履行安全生产责任制:园区网格中心、执法中队等相关部门持续加强对安全生产的日常监管。强化安全管理，持续加强安全宣传、引传教育和应急演练工作，确保施工建设安全有序进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4、开展专项整治，事故发生后，组织力量开展全领域、全覆盖、无死角的机械伤害、防高坠等隐患排查整治工作。对于此类安全检查整治工作中发现的问题进行梳理归类，做到了即知即改:属疑难问题无法按时整改的，制定了整改时间表，尽快实施隐患清零同时开展“回头看”,确保各类问题整改到位。</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（三）香花街道办事处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1、加强组织领导，压实整改责任。街道成立了专门的事故整改督促工作小组，明确职责分工，压实整改责任。多次召开专题会议，研究部署整改工作，确保整改工作有序推进。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督促企业整改，全面梳理安全管理体系。香花桥街道督促涉事单位建立健全本单位安全生产规章制度和安全操作规程，确保本单位生产经营行为有章可依，有规可循。切实落实安全生产主体责任，抓实安全管理人员及作业人员安全生产教育培训、安全交底，确保作业人员具备岗位必要的安全意识和安全操作技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3、做深做实现场管理，落实安全生产规章制度。明确要求各单位应当严格落实本单位安全生产主体责任，强化作业现场安全管理工作，做好生产经营活动计划和管理，落实现场安全管理措施，有力夯实安全风险分级管控和隐患排查治理双重预防工作机制，加强现场检查巡查，通过技术、管理、教育措施，及时发现并消除生产安全事故隐患，谨防事故发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4、总结经验教训，建立长效机制。加强对辖区内企业的日常安全监管，加大执法检查力度,及时发现和消除安全隐患; 另一方面，持续开展安全生产宣传教育活动，提高企业和员工的安全意识，建立安全生产长效机制，确保辖区内企业的安全生产形势持续稳定好转。</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评估组按照事故调查报告及其批复要求，经资料审查、现场核查、专业评查，对该起事故处理、整改和防范措施落实情况进 行综合评估后认为：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（一）上海云庚实业有限公司及相关责任人员已履行行政处罚决定；相关单位对起事故责任人的处理已落实。</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（二）该起事故相关单位、属地政府及相关部门已实施事故 调查报告提出的整改和防范措施。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Fonts w:hint="eastAsia" w:asciiTheme="minorEastAsia" w:hAnsiTheme="minorEastAsia" w:eastAsiaTheme="minorEastAsia"/>
          <w:sz w:val="32"/>
          <w:szCs w:val="32"/>
          <w:lang w:eastAsia="zh-CN"/>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综上，该起事故处理已全部落实，事故整改措施已全部落实。</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工作建议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（一）建议上海云庚实业有限公司继续完善公司安全生产标准化的建设，落实本单位安全生产主体责任，强化安全管理工作。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（二）建议上海云庚实业有限公司继续加强安全风险分级管控和隐患排查治理双重预防工作机制，加强现场检查巡查。通过技术、管理、教育措施，及时发现并消除生产安全事故隐患，谨防事故发生。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（三）建议上海云庚实业有限公司继续加强作业安全管理，严格执行特殊作业安全管理制度，安全工作许可证施行上锁挂牌规则。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（四）建议上海云庚实业有限公司继续加强临时用工人员的三级教育培训和岗位操作安全培训，切实做好培训工作，严格落实考核制度。</w:t>
      </w:r>
    </w:p>
    <w:p>
      <w:pPr>
        <w:widowControl w:val="0"/>
        <w:kinsoku/>
        <w:autoSpaceDE/>
        <w:autoSpaceDN/>
        <w:adjustRightInd/>
        <w:snapToGrid/>
        <w:spacing w:line="360" w:lineRule="auto"/>
        <w:jc w:val="both"/>
        <w:textAlignment w:val="auto"/>
        <w:rPr>
          <w:rFonts w:hint="eastAsia" w:ascii="宋体" w:hAnsi="宋体" w:eastAsia="宋体" w:cs="宋体"/>
          <w:sz w:val="32"/>
          <w:szCs w:val="32"/>
          <w:lang w:eastAsia="zh-CN"/>
        </w:rPr>
      </w:pPr>
    </w:p>
    <w:p>
      <w:pPr>
        <w:widowControl w:val="0"/>
        <w:kinsoku/>
        <w:autoSpaceDE/>
        <w:autoSpaceDN/>
        <w:adjustRightInd/>
        <w:snapToGrid/>
        <w:spacing w:line="360" w:lineRule="auto"/>
        <w:jc w:val="both"/>
        <w:textAlignment w:val="auto"/>
        <w:rPr>
          <w:rFonts w:hint="eastAsia" w:ascii="宋体" w:hAnsi="宋体" w:eastAsia="宋体" w:cs="宋体"/>
          <w:sz w:val="32"/>
          <w:szCs w:val="32"/>
          <w:lang w:eastAsia="zh-CN"/>
        </w:rPr>
      </w:pPr>
    </w:p>
    <w:p>
      <w:pPr>
        <w:pStyle w:val="2"/>
        <w:rPr>
          <w:rFonts w:hint="eastAsia" w:ascii="宋体" w:hAnsi="宋体" w:eastAsia="宋体" w:cs="宋体"/>
          <w:sz w:val="32"/>
          <w:szCs w:val="32"/>
          <w:lang w:eastAsia="zh-CN"/>
        </w:rPr>
      </w:pPr>
    </w:p>
    <w:p>
      <w:pPr>
        <w:pStyle w:val="3"/>
        <w:rPr>
          <w:rFonts w:hint="eastAsia" w:ascii="宋体" w:hAnsi="宋体" w:eastAsia="宋体" w:cs="宋体"/>
          <w:sz w:val="32"/>
          <w:szCs w:val="32"/>
          <w:lang w:eastAsia="zh-CN"/>
        </w:rPr>
      </w:pPr>
    </w:p>
    <w:p>
      <w:pPr>
        <w:rPr>
          <w:rFonts w:hint="eastAsia" w:ascii="宋体" w:hAnsi="宋体" w:eastAsia="宋体" w:cs="宋体"/>
          <w:sz w:val="32"/>
          <w:szCs w:val="32"/>
          <w:lang w:eastAsia="zh-CN"/>
        </w:rPr>
      </w:pPr>
    </w:p>
    <w:p>
      <w:pPr>
        <w:rPr>
          <w:rFonts w:hint="eastAsia" w:ascii="宋体" w:hAnsi="宋体" w:eastAsia="宋体" w:cs="宋体"/>
          <w:sz w:val="32"/>
          <w:szCs w:val="32"/>
          <w:lang w:eastAsia="zh-CN"/>
        </w:rPr>
      </w:pPr>
      <w:bookmarkStart w:id="0" w:name="_GoBack"/>
      <w:bookmarkEnd w:id="0"/>
    </w:p>
    <w:p>
      <w:pPr>
        <w:pStyle w:val="2"/>
        <w:rPr>
          <w:rFonts w:hint="eastAsia"/>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right"/>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上海云庚实业有限公司”9.7”物体打击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right"/>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一般事故整改和防范措施情况评估组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right"/>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2024 年 10月 25 日</w:t>
      </w:r>
    </w:p>
    <w:sectPr>
      <w:footerReference r:id="rId3" w:type="default"/>
      <w:pgSz w:w="11906" w:h="16839"/>
      <w:pgMar w:top="1431" w:right="1381" w:bottom="1310" w:left="1596" w:header="0" w:footer="102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00"/>
    <w:family w:val="auto"/>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rPr>
                              <w:sz w:val="28"/>
                              <w:szCs w:val="28"/>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7"/>
                      <w:rPr>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rPr>
                        <w:sz w:val="28"/>
                        <w:szCs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E8CD1"/>
    <w:multiLevelType w:val="singleLevel"/>
    <w:tmpl w:val="B27E8CD1"/>
    <w:lvl w:ilvl="0" w:tentative="0">
      <w:start w:val="1"/>
      <w:numFmt w:val="chineseCounting"/>
      <w:suff w:val="nothing"/>
      <w:lvlText w:val="%1、"/>
      <w:lvlJc w:val="left"/>
      <w:pPr>
        <w:ind w:left="600" w:firstLine="0"/>
      </w:pPr>
      <w:rPr>
        <w:rFonts w:hint="eastAsia"/>
      </w:rPr>
    </w:lvl>
  </w:abstractNum>
  <w:abstractNum w:abstractNumId="1">
    <w:nsid w:val="D7B7CA39"/>
    <w:multiLevelType w:val="singleLevel"/>
    <w:tmpl w:val="D7B7CA39"/>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jRhZGFhNTU0MzU5ZDI2ZTVmZmJkZjY2M2QxYjQifQ=="/>
  </w:docVars>
  <w:rsids>
    <w:rsidRoot w:val="00C869D6"/>
    <w:rsid w:val="000062E7"/>
    <w:rsid w:val="00013137"/>
    <w:rsid w:val="00033843"/>
    <w:rsid w:val="000446A7"/>
    <w:rsid w:val="000612EF"/>
    <w:rsid w:val="00073E73"/>
    <w:rsid w:val="000B5CDE"/>
    <w:rsid w:val="000C1ADB"/>
    <w:rsid w:val="000D1332"/>
    <w:rsid w:val="000F0079"/>
    <w:rsid w:val="00135E28"/>
    <w:rsid w:val="00136FF6"/>
    <w:rsid w:val="00161533"/>
    <w:rsid w:val="00166A17"/>
    <w:rsid w:val="0018765D"/>
    <w:rsid w:val="001D686B"/>
    <w:rsid w:val="00215989"/>
    <w:rsid w:val="002172BB"/>
    <w:rsid w:val="002209AC"/>
    <w:rsid w:val="00224AD7"/>
    <w:rsid w:val="002318F6"/>
    <w:rsid w:val="00232F7F"/>
    <w:rsid w:val="002334BA"/>
    <w:rsid w:val="002543A9"/>
    <w:rsid w:val="00276526"/>
    <w:rsid w:val="00291668"/>
    <w:rsid w:val="002A47DC"/>
    <w:rsid w:val="002B18AB"/>
    <w:rsid w:val="002B23E2"/>
    <w:rsid w:val="002C42DE"/>
    <w:rsid w:val="002E22AB"/>
    <w:rsid w:val="0033564D"/>
    <w:rsid w:val="00346849"/>
    <w:rsid w:val="003559FC"/>
    <w:rsid w:val="003C4C3B"/>
    <w:rsid w:val="003E3EEA"/>
    <w:rsid w:val="003E7CA8"/>
    <w:rsid w:val="004017D8"/>
    <w:rsid w:val="00441B51"/>
    <w:rsid w:val="004767D2"/>
    <w:rsid w:val="004851EA"/>
    <w:rsid w:val="004930F4"/>
    <w:rsid w:val="004C2307"/>
    <w:rsid w:val="004C2CDA"/>
    <w:rsid w:val="004C7128"/>
    <w:rsid w:val="005178CB"/>
    <w:rsid w:val="00550B57"/>
    <w:rsid w:val="0056251C"/>
    <w:rsid w:val="0058492E"/>
    <w:rsid w:val="005B7166"/>
    <w:rsid w:val="005D3499"/>
    <w:rsid w:val="005E4C43"/>
    <w:rsid w:val="00602760"/>
    <w:rsid w:val="00627A60"/>
    <w:rsid w:val="00684291"/>
    <w:rsid w:val="006A18AE"/>
    <w:rsid w:val="006A3E98"/>
    <w:rsid w:val="006A58C8"/>
    <w:rsid w:val="006C2780"/>
    <w:rsid w:val="006F4831"/>
    <w:rsid w:val="007103C8"/>
    <w:rsid w:val="00757BE2"/>
    <w:rsid w:val="007D58A2"/>
    <w:rsid w:val="007F79F9"/>
    <w:rsid w:val="008006D2"/>
    <w:rsid w:val="008422C4"/>
    <w:rsid w:val="00847792"/>
    <w:rsid w:val="008C2028"/>
    <w:rsid w:val="008C2463"/>
    <w:rsid w:val="008E2486"/>
    <w:rsid w:val="008F4F29"/>
    <w:rsid w:val="00952D6B"/>
    <w:rsid w:val="00953491"/>
    <w:rsid w:val="0096514A"/>
    <w:rsid w:val="00966773"/>
    <w:rsid w:val="009B75CA"/>
    <w:rsid w:val="009C5474"/>
    <w:rsid w:val="009C7BA1"/>
    <w:rsid w:val="009D03C7"/>
    <w:rsid w:val="009E220D"/>
    <w:rsid w:val="00A2572B"/>
    <w:rsid w:val="00A552E6"/>
    <w:rsid w:val="00A67385"/>
    <w:rsid w:val="00A75191"/>
    <w:rsid w:val="00A82407"/>
    <w:rsid w:val="00A97E6E"/>
    <w:rsid w:val="00AA0C47"/>
    <w:rsid w:val="00B3521D"/>
    <w:rsid w:val="00B564E5"/>
    <w:rsid w:val="00B8686E"/>
    <w:rsid w:val="00BB7B6E"/>
    <w:rsid w:val="00BC3501"/>
    <w:rsid w:val="00BC6A2D"/>
    <w:rsid w:val="00C07A3A"/>
    <w:rsid w:val="00C433EC"/>
    <w:rsid w:val="00C50675"/>
    <w:rsid w:val="00C57041"/>
    <w:rsid w:val="00C72784"/>
    <w:rsid w:val="00C764CC"/>
    <w:rsid w:val="00C80C62"/>
    <w:rsid w:val="00C869D6"/>
    <w:rsid w:val="00CA0496"/>
    <w:rsid w:val="00CE6D89"/>
    <w:rsid w:val="00D03AC5"/>
    <w:rsid w:val="00D03DFF"/>
    <w:rsid w:val="00D12F4B"/>
    <w:rsid w:val="00D237E1"/>
    <w:rsid w:val="00D56FC4"/>
    <w:rsid w:val="00D609D6"/>
    <w:rsid w:val="00D85665"/>
    <w:rsid w:val="00D94D48"/>
    <w:rsid w:val="00DC3C8E"/>
    <w:rsid w:val="00DE61C2"/>
    <w:rsid w:val="00E0434E"/>
    <w:rsid w:val="00E1320C"/>
    <w:rsid w:val="00E346CC"/>
    <w:rsid w:val="00E3494B"/>
    <w:rsid w:val="00E366F0"/>
    <w:rsid w:val="00E54B71"/>
    <w:rsid w:val="00E60325"/>
    <w:rsid w:val="00E663A2"/>
    <w:rsid w:val="00E87D1F"/>
    <w:rsid w:val="00E87DE6"/>
    <w:rsid w:val="00F24A3E"/>
    <w:rsid w:val="00F41758"/>
    <w:rsid w:val="00F449E0"/>
    <w:rsid w:val="00F451AC"/>
    <w:rsid w:val="00F52B32"/>
    <w:rsid w:val="00F7641B"/>
    <w:rsid w:val="07BBDF38"/>
    <w:rsid w:val="3FA076F0"/>
    <w:rsid w:val="3FB5FCB7"/>
    <w:rsid w:val="677D6C90"/>
    <w:rsid w:val="77FFBACD"/>
    <w:rsid w:val="7B7B37FC"/>
    <w:rsid w:val="7D6D18E1"/>
    <w:rsid w:val="7DDAD8D6"/>
    <w:rsid w:val="7EF7FD84"/>
    <w:rsid w:val="7FED6633"/>
    <w:rsid w:val="7FEF0DF8"/>
    <w:rsid w:val="8D7D9F4F"/>
    <w:rsid w:val="B34DB58E"/>
    <w:rsid w:val="B37E4F78"/>
    <w:rsid w:val="DBE7394D"/>
    <w:rsid w:val="F4DD6BF2"/>
    <w:rsid w:val="FEBE0C84"/>
    <w:rsid w:val="FFFFA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0"/>
    <w:pPr>
      <w:jc w:val="right"/>
    </w:pPr>
    <w:rPr>
      <w:rFonts w:ascii="黑体" w:eastAsia="黑体"/>
      <w:sz w:val="44"/>
    </w:rPr>
  </w:style>
  <w:style w:type="paragraph" w:styleId="3">
    <w:name w:val="Body Text First Indent 2"/>
    <w:basedOn w:val="4"/>
    <w:next w:val="1"/>
    <w:unhideWhenUsed/>
    <w:qFormat/>
    <w:uiPriority w:val="0"/>
    <w:pPr>
      <w:spacing w:after="120"/>
      <w:ind w:left="420" w:leftChars="200" w:firstLine="420" w:firstLineChars="200"/>
    </w:pPr>
    <w:rPr>
      <w:rFonts w:hint="default" w:ascii="Calibri" w:hAnsi="Calibri" w:eastAsia="宋体" w:cs="Times New Roman"/>
      <w:sz w:val="21"/>
    </w:rPr>
  </w:style>
  <w:style w:type="paragraph" w:styleId="4">
    <w:name w:val="Body Text Indent"/>
    <w:basedOn w:val="1"/>
    <w:next w:val="5"/>
    <w:qFormat/>
    <w:uiPriority w:val="0"/>
    <w:pPr>
      <w:ind w:leftChars="100"/>
    </w:pPr>
    <w:rPr>
      <w:rFonts w:hint="eastAsia" w:ascii="宋体" w:hAnsi="宋体" w:eastAsia="宋体"/>
      <w:sz w:val="28"/>
      <w:szCs w:val="24"/>
    </w:rPr>
  </w:style>
  <w:style w:type="paragraph" w:styleId="5">
    <w:name w:val="Normal Indent"/>
    <w:basedOn w:val="1"/>
    <w:next w:val="1"/>
    <w:qFormat/>
    <w:uiPriority w:val="0"/>
    <w:pPr>
      <w:ind w:firstLine="420" w:firstLineChars="200"/>
    </w:pPr>
    <w:rPr>
      <w:rFonts w:ascii="Times New Roman" w:hAnsi="Times New Roman" w:eastAsia="仿宋" w:cs="Times New Roman"/>
      <w:sz w:val="32"/>
    </w:rPr>
  </w:style>
  <w:style w:type="paragraph" w:styleId="6">
    <w:name w:val="Body Text"/>
    <w:basedOn w:val="1"/>
    <w:semiHidden/>
    <w:qFormat/>
    <w:uiPriority w:val="0"/>
    <w:rPr>
      <w:rFonts w:ascii="仿宋_GB2312" w:hAnsi="仿宋_GB2312" w:eastAsia="仿宋_GB2312" w:cs="仿宋_GB2312"/>
      <w:sz w:val="31"/>
      <w:szCs w:val="31"/>
    </w:rPr>
  </w:style>
  <w:style w:type="paragraph" w:styleId="7">
    <w:name w:val="footer"/>
    <w:basedOn w:val="1"/>
    <w:link w:val="15"/>
    <w:qFormat/>
    <w:uiPriority w:val="0"/>
    <w:pPr>
      <w:tabs>
        <w:tab w:val="center" w:pos="4153"/>
        <w:tab w:val="right" w:pos="8306"/>
      </w:tabs>
    </w:pPr>
    <w:rPr>
      <w:sz w:val="18"/>
      <w:szCs w:val="18"/>
    </w:rPr>
  </w:style>
  <w:style w:type="paragraph" w:styleId="8">
    <w:name w:val="header"/>
    <w:basedOn w:val="1"/>
    <w:link w:val="14"/>
    <w:qFormat/>
    <w:uiPriority w:val="0"/>
    <w:pPr>
      <w:tabs>
        <w:tab w:val="center" w:pos="4153"/>
        <w:tab w:val="right" w:pos="8306"/>
      </w:tabs>
      <w:jc w:val="center"/>
    </w:pPr>
    <w:rPr>
      <w:sz w:val="18"/>
      <w:szCs w:val="18"/>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NormalCharacter"/>
    <w:qFormat/>
    <w:uiPriority w:val="0"/>
  </w:style>
  <w:style w:type="paragraph" w:styleId="13">
    <w:name w:val="List Paragraph"/>
    <w:basedOn w:val="1"/>
    <w:unhideWhenUsed/>
    <w:qFormat/>
    <w:uiPriority w:val="99"/>
    <w:pPr>
      <w:ind w:firstLine="420" w:firstLineChars="200"/>
    </w:pPr>
  </w:style>
  <w:style w:type="character" w:customStyle="1" w:styleId="14">
    <w:name w:val="页眉 字符"/>
    <w:basedOn w:val="10"/>
    <w:link w:val="8"/>
    <w:qFormat/>
    <w:uiPriority w:val="0"/>
    <w:rPr>
      <w:rFonts w:eastAsia="Arial"/>
      <w:snapToGrid w:val="0"/>
      <w:color w:val="000000"/>
      <w:sz w:val="18"/>
      <w:szCs w:val="18"/>
      <w:lang w:eastAsia="en-US"/>
    </w:rPr>
  </w:style>
  <w:style w:type="character" w:customStyle="1" w:styleId="15">
    <w:name w:val="页脚 字符"/>
    <w:basedOn w:val="10"/>
    <w:link w:val="7"/>
    <w:qFormat/>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379</Words>
  <Characters>2162</Characters>
  <Lines>18</Lines>
  <Paragraphs>5</Paragraphs>
  <TotalTime>1</TotalTime>
  <ScaleCrop>false</ScaleCrop>
  <LinksUpToDate>false</LinksUpToDate>
  <CharactersWithSpaces>2536</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2024-10-25T00:41:00Z</dcterms:created>
  <dc:creator>ms</dc:creator>
  <cp:lastModifiedBy>yjj-503</cp:lastModifiedBy>
  <cp:lastPrinted>2024-11-06T01:52:00Z</cp:lastPrinted>
  <dcterms:modified xsi:type="dcterms:W3CDTF">2024-11-26T15:27:01Z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2024-10-08T14:12:57Z</vt:filetime>
  </property>
  <property fmtid="{D5CDD505-2E9C-101B-9397-08002B2CF9AE}" pid="4" name="KSOProductBuildVer">
    <vt:lpwstr>2052-11.8.2.10251</vt:lpwstr>
  </property>
  <property fmtid="{D5CDD505-2E9C-101B-9397-08002B2CF9AE}" pid="5" name="ICV">
    <vt:lpwstr>470CCB2971BE4280A4FBD44C2BD2C97D_12</vt:lpwstr>
  </property>
</Properties>
</file>