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90" w:lineRule="auto"/>
        <w:jc w:val="both"/>
        <w:rPr>
          <w:rFonts w:hint="eastAsia" w:asciiTheme="minorEastAsia" w:hAnsiTheme="minorEastAsia" w:eastAsiaTheme="minorEastAsia" w:cstheme="minorEastAsia"/>
        </w:rPr>
      </w:pPr>
    </w:p>
    <w:p>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eastAsia" w:ascii="方正小标宋简体" w:hAnsi="方正小标宋简体" w:eastAsia="方正小标宋简体" w:cs="方正小标宋简体"/>
          <w:b w:val="0"/>
          <w:bCs w:val="0"/>
          <w:snapToGrid/>
          <w:color w:val="auto"/>
          <w:kern w:val="2"/>
          <w:sz w:val="40"/>
          <w:szCs w:val="40"/>
          <w:highlight w:val="none"/>
          <w:lang w:val="en-US" w:eastAsia="zh-CN"/>
        </w:rPr>
      </w:pPr>
      <w:r>
        <w:rPr>
          <w:rFonts w:hint="eastAsia" w:ascii="方正小标宋简体" w:hAnsi="方正小标宋简体" w:eastAsia="方正小标宋简体" w:cs="方正小标宋简体"/>
          <w:b w:val="0"/>
          <w:bCs w:val="0"/>
          <w:snapToGrid/>
          <w:color w:val="auto"/>
          <w:kern w:val="2"/>
          <w:sz w:val="40"/>
          <w:szCs w:val="40"/>
          <w:highlight w:val="none"/>
          <w:lang w:val="en-US" w:eastAsia="zh-CN"/>
        </w:rPr>
        <w:t>上海天喜建设工程有限公司“3·6”起重伤害</w:t>
      </w:r>
    </w:p>
    <w:p>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eastAsia" w:ascii="方正小标宋简体" w:hAnsi="方正小标宋简体" w:eastAsia="方正小标宋简体" w:cs="方正小标宋简体"/>
          <w:b w:val="0"/>
          <w:bCs w:val="0"/>
          <w:snapToGrid/>
          <w:color w:val="auto"/>
          <w:kern w:val="2"/>
          <w:sz w:val="40"/>
          <w:szCs w:val="40"/>
          <w:highlight w:val="none"/>
          <w:lang w:val="en-US" w:eastAsia="zh-CN"/>
        </w:rPr>
      </w:pPr>
      <w:r>
        <w:rPr>
          <w:rFonts w:hint="eastAsia" w:ascii="方正小标宋简体" w:hAnsi="方正小标宋简体" w:eastAsia="方正小标宋简体" w:cs="方正小标宋简体"/>
          <w:b w:val="0"/>
          <w:bCs w:val="0"/>
          <w:snapToGrid/>
          <w:color w:val="auto"/>
          <w:kern w:val="2"/>
          <w:sz w:val="40"/>
          <w:szCs w:val="40"/>
          <w:highlight w:val="none"/>
          <w:lang w:val="en-US" w:eastAsia="zh-CN"/>
        </w:rPr>
        <w:t>一般事故整改和防范措施落实情况评估报告</w:t>
      </w:r>
    </w:p>
    <w:p>
      <w:pPr>
        <w:pStyle w:val="2"/>
        <w:rPr>
          <w:rStyle w:val="12"/>
          <w:rFonts w:hint="eastAsia" w:ascii="仿宋_GB2312" w:hAnsi="Calibri" w:eastAsia="仿宋_GB2312" w:cs="Times New Roman"/>
          <w:snapToGrid/>
          <w:color w:val="000000"/>
          <w:kern w:val="2"/>
          <w:sz w:val="44"/>
          <w:szCs w:val="44"/>
          <w:lang w:val="en-US" w:eastAsia="zh-CN" w:bidi="ar-SA"/>
        </w:rPr>
      </w:pPr>
    </w:p>
    <w:p>
      <w:pPr>
        <w:keepNext w:val="0"/>
        <w:keepLines w:val="0"/>
        <w:pageBreakBefore w:val="0"/>
        <w:widowControl w:val="0"/>
        <w:kinsoku/>
        <w:wordWrap/>
        <w:overflowPunct/>
        <w:topLinePunct w:val="0"/>
        <w:autoSpaceDE/>
        <w:autoSpaceDN/>
        <w:bidi w:val="0"/>
        <w:adjustRightInd/>
        <w:snapToGrid/>
        <w:spacing w:line="560" w:lineRule="exact"/>
        <w:ind w:left="0" w:right="0" w:firstLine="640" w:firstLineChars="200"/>
        <w:jc w:val="both"/>
        <w:rPr>
          <w:rStyle w:val="12"/>
          <w:rFonts w:ascii="仿宋_GB2312" w:hAnsi="Calibri" w:eastAsia="仿宋_GB2312" w:cs="Times New Roman"/>
          <w:snapToGrid/>
          <w:kern w:val="2"/>
          <w:sz w:val="32"/>
          <w:szCs w:val="32"/>
          <w:lang w:eastAsia="zh-CN"/>
        </w:rPr>
      </w:pPr>
      <w:r>
        <w:rPr>
          <w:rStyle w:val="12"/>
          <w:rFonts w:hint="eastAsia" w:ascii="仿宋_GB2312" w:hAnsi="Calibri" w:eastAsia="仿宋_GB2312" w:cs="Times New Roman"/>
          <w:snapToGrid/>
          <w:kern w:val="2"/>
          <w:sz w:val="32"/>
          <w:szCs w:val="32"/>
          <w:lang w:eastAsia="zh-CN"/>
        </w:rPr>
        <w:t>2024年3月6日15时许，上海市青浦区青浦大道与五浦路路口处项目工地内，上海天喜建设工程有限公司作业人员刘根操作一台履带式起重机吊运工字钢时，吊起的工字钢偏移撞击到附近作业人员（原文强，男，河南人，38岁）。事故造成1人死亡，直接经济损失约265万元。</w:t>
      </w:r>
      <w:r>
        <w:rPr>
          <w:rStyle w:val="12"/>
          <w:rFonts w:ascii="仿宋_GB2312" w:hAnsi="Calibri" w:eastAsia="仿宋_GB2312" w:cs="Times New Roman"/>
          <w:snapToGrid/>
          <w:kern w:val="2"/>
          <w:sz w:val="32"/>
          <w:szCs w:val="32"/>
          <w:lang w:eastAsia="zh-CN"/>
        </w:rPr>
        <w:t>事发后，上海市</w:t>
      </w:r>
      <w:r>
        <w:rPr>
          <w:rStyle w:val="12"/>
          <w:rFonts w:hint="eastAsia" w:ascii="仿宋_GB2312" w:hAnsi="Calibri" w:eastAsia="仿宋_GB2312" w:cs="Times New Roman"/>
          <w:snapToGrid/>
          <w:kern w:val="2"/>
          <w:sz w:val="32"/>
          <w:szCs w:val="32"/>
          <w:lang w:eastAsia="zh-CN"/>
        </w:rPr>
        <w:t>青浦区</w:t>
      </w:r>
      <w:r>
        <w:rPr>
          <w:rStyle w:val="12"/>
          <w:rFonts w:ascii="仿宋_GB2312" w:hAnsi="Calibri" w:eastAsia="仿宋_GB2312" w:cs="Times New Roman"/>
          <w:snapToGrid/>
          <w:kern w:val="2"/>
          <w:sz w:val="32"/>
          <w:szCs w:val="32"/>
          <w:lang w:eastAsia="zh-CN"/>
        </w:rPr>
        <w:t>应急管理局会同相关部门依法开展事故调查，形成《</w:t>
      </w:r>
      <w:r>
        <w:rPr>
          <w:rStyle w:val="12"/>
          <w:rFonts w:hint="eastAsia" w:ascii="仿宋_GB2312" w:hAnsi="Calibri" w:eastAsia="仿宋_GB2312" w:cs="Times New Roman"/>
          <w:snapToGrid/>
          <w:kern w:val="2"/>
          <w:sz w:val="32"/>
          <w:szCs w:val="32"/>
          <w:lang w:eastAsia="zh-CN"/>
        </w:rPr>
        <w:t>青浦朱家角上海天喜建设工程有限公司“3</w:t>
      </w:r>
      <w:r>
        <w:rPr>
          <w:rStyle w:val="12"/>
          <w:rFonts w:ascii="仿宋_GB2312" w:hAnsi="Calibri" w:eastAsia="仿宋_GB2312" w:cs="Times New Roman"/>
          <w:snapToGrid/>
          <w:kern w:val="2"/>
          <w:sz w:val="32"/>
          <w:szCs w:val="32"/>
          <w:lang w:eastAsia="zh-CN"/>
        </w:rPr>
        <w:t>.</w:t>
      </w:r>
      <w:r>
        <w:rPr>
          <w:rStyle w:val="12"/>
          <w:rFonts w:hint="eastAsia" w:ascii="仿宋_GB2312" w:hAnsi="Calibri" w:eastAsia="仿宋_GB2312" w:cs="Times New Roman"/>
          <w:snapToGrid/>
          <w:kern w:val="2"/>
          <w:sz w:val="32"/>
          <w:szCs w:val="32"/>
          <w:lang w:eastAsia="zh-CN"/>
        </w:rPr>
        <w:t>6”起重伤害一般</w:t>
      </w:r>
      <w:r>
        <w:rPr>
          <w:rStyle w:val="12"/>
          <w:rFonts w:ascii="仿宋_GB2312" w:hAnsi="Calibri" w:eastAsia="仿宋_GB2312" w:cs="Times New Roman"/>
          <w:snapToGrid/>
          <w:kern w:val="2"/>
          <w:sz w:val="32"/>
          <w:szCs w:val="32"/>
          <w:lang w:eastAsia="zh-CN"/>
        </w:rPr>
        <w:t>事故调查报告》（以下简称事故调查报告）并报经</w:t>
      </w:r>
      <w:r>
        <w:rPr>
          <w:rStyle w:val="12"/>
          <w:rFonts w:hint="eastAsia" w:ascii="仿宋_GB2312" w:hAnsi="Calibri" w:eastAsia="仿宋_GB2312" w:cs="Times New Roman"/>
          <w:snapToGrid/>
          <w:kern w:val="2"/>
          <w:sz w:val="32"/>
          <w:szCs w:val="32"/>
          <w:lang w:eastAsia="zh-CN"/>
        </w:rPr>
        <w:t>青浦区</w:t>
      </w:r>
      <w:r>
        <w:rPr>
          <w:rStyle w:val="12"/>
          <w:rFonts w:ascii="仿宋_GB2312" w:hAnsi="Calibri" w:eastAsia="仿宋_GB2312" w:cs="Times New Roman"/>
          <w:snapToGrid/>
          <w:kern w:val="2"/>
          <w:sz w:val="32"/>
          <w:szCs w:val="32"/>
          <w:lang w:eastAsia="zh-CN"/>
        </w:rPr>
        <w:t>人</w:t>
      </w:r>
      <w:r>
        <w:rPr>
          <w:rStyle w:val="12"/>
          <w:rFonts w:hint="eastAsia" w:ascii="仿宋_GB2312" w:hAnsi="Calibri" w:eastAsia="仿宋_GB2312" w:cs="Times New Roman"/>
          <w:snapToGrid/>
          <w:kern w:val="2"/>
          <w:sz w:val="32"/>
          <w:szCs w:val="32"/>
          <w:lang w:eastAsia="zh-CN"/>
        </w:rPr>
        <w:t>民</w:t>
      </w:r>
      <w:r>
        <w:rPr>
          <w:rStyle w:val="12"/>
          <w:rFonts w:ascii="仿宋_GB2312" w:hAnsi="Calibri" w:eastAsia="仿宋_GB2312" w:cs="Times New Roman"/>
          <w:snapToGrid/>
          <w:kern w:val="2"/>
          <w:sz w:val="32"/>
          <w:szCs w:val="32"/>
          <w:lang w:eastAsia="zh-CN"/>
        </w:rPr>
        <w:t>政府批复同意。根据《中华人民共和国安全生产法》《生产安全事故报告和调查处理条例》《上海市实施〈生产安全事故报告和调查处理条例〉的若干规定》《生产安全事故防范和整改措施落实情况评估办法》等有关规定，</w:t>
      </w:r>
      <w:r>
        <w:rPr>
          <w:rStyle w:val="12"/>
          <w:rFonts w:hint="eastAsia" w:ascii="仿宋_GB2312" w:hAnsi="Calibri" w:eastAsia="仿宋_GB2312" w:cs="Times New Roman"/>
          <w:snapToGrid/>
          <w:kern w:val="2"/>
          <w:sz w:val="32"/>
          <w:szCs w:val="32"/>
          <w:lang w:eastAsia="zh-CN"/>
        </w:rPr>
        <w:t>青浦区</w:t>
      </w:r>
      <w:r>
        <w:rPr>
          <w:rStyle w:val="12"/>
          <w:rFonts w:ascii="仿宋_GB2312" w:hAnsi="Calibri" w:eastAsia="仿宋_GB2312" w:cs="Times New Roman"/>
          <w:snapToGrid/>
          <w:kern w:val="2"/>
          <w:sz w:val="32"/>
          <w:szCs w:val="32"/>
          <w:lang w:eastAsia="zh-CN"/>
        </w:rPr>
        <w:t>应急管理局牵头会同相关部门成立评估组，于202</w:t>
      </w:r>
      <w:r>
        <w:rPr>
          <w:rStyle w:val="12"/>
          <w:rFonts w:hint="eastAsia" w:ascii="仿宋_GB2312" w:hAnsi="Calibri" w:eastAsia="仿宋_GB2312" w:cs="Times New Roman"/>
          <w:snapToGrid/>
          <w:kern w:val="2"/>
          <w:sz w:val="32"/>
          <w:szCs w:val="32"/>
          <w:lang w:eastAsia="zh-CN"/>
        </w:rPr>
        <w:t>5</w:t>
      </w:r>
      <w:r>
        <w:rPr>
          <w:rStyle w:val="12"/>
          <w:rFonts w:ascii="仿宋_GB2312" w:hAnsi="Calibri" w:eastAsia="仿宋_GB2312" w:cs="Times New Roman"/>
          <w:snapToGrid/>
          <w:kern w:val="2"/>
          <w:sz w:val="32"/>
          <w:szCs w:val="32"/>
          <w:lang w:eastAsia="zh-CN"/>
        </w:rPr>
        <w:t>年</w:t>
      </w:r>
      <w:r>
        <w:rPr>
          <w:rStyle w:val="12"/>
          <w:rFonts w:hint="eastAsia" w:ascii="仿宋_GB2312" w:hAnsi="Calibri" w:eastAsia="仿宋_GB2312" w:cs="Times New Roman"/>
          <w:snapToGrid/>
          <w:kern w:val="2"/>
          <w:sz w:val="32"/>
          <w:szCs w:val="32"/>
          <w:lang w:eastAsia="zh-CN"/>
        </w:rPr>
        <w:t>5</w:t>
      </w:r>
      <w:r>
        <w:rPr>
          <w:rStyle w:val="12"/>
          <w:rFonts w:ascii="仿宋_GB2312" w:hAnsi="Calibri" w:eastAsia="仿宋_GB2312" w:cs="Times New Roman"/>
          <w:snapToGrid/>
          <w:kern w:val="2"/>
          <w:sz w:val="32"/>
          <w:szCs w:val="32"/>
          <w:lang w:eastAsia="zh-CN"/>
        </w:rPr>
        <w:t>月</w:t>
      </w:r>
      <w:r>
        <w:rPr>
          <w:rStyle w:val="12"/>
          <w:rFonts w:hint="eastAsia" w:ascii="仿宋_GB2312" w:hAnsi="Calibri" w:eastAsia="仿宋_GB2312" w:cs="Times New Roman"/>
          <w:snapToGrid/>
          <w:kern w:val="2"/>
          <w:sz w:val="32"/>
          <w:szCs w:val="32"/>
          <w:lang w:eastAsia="zh-CN"/>
        </w:rPr>
        <w:t>27</w:t>
      </w:r>
      <w:r>
        <w:rPr>
          <w:rStyle w:val="12"/>
          <w:rFonts w:ascii="仿宋_GB2312" w:hAnsi="Calibri" w:eastAsia="仿宋_GB2312" w:cs="Times New Roman"/>
          <w:snapToGrid/>
          <w:kern w:val="2"/>
          <w:sz w:val="32"/>
          <w:szCs w:val="32"/>
          <w:lang w:eastAsia="zh-CN"/>
        </w:rPr>
        <w:t>日至</w:t>
      </w:r>
      <w:r>
        <w:rPr>
          <w:rStyle w:val="12"/>
          <w:rFonts w:hint="eastAsia" w:ascii="仿宋_GB2312" w:hAnsi="Calibri" w:eastAsia="仿宋_GB2312" w:cs="Times New Roman"/>
          <w:snapToGrid/>
          <w:kern w:val="2"/>
          <w:sz w:val="32"/>
          <w:szCs w:val="32"/>
          <w:lang w:eastAsia="zh-CN"/>
        </w:rPr>
        <w:t>6</w:t>
      </w:r>
      <w:r>
        <w:rPr>
          <w:rStyle w:val="12"/>
          <w:rFonts w:ascii="仿宋_GB2312" w:hAnsi="Calibri" w:eastAsia="仿宋_GB2312" w:cs="Times New Roman"/>
          <w:snapToGrid/>
          <w:kern w:val="2"/>
          <w:sz w:val="32"/>
          <w:szCs w:val="32"/>
          <w:lang w:eastAsia="zh-CN"/>
        </w:rPr>
        <w:t>月</w:t>
      </w:r>
      <w:r>
        <w:rPr>
          <w:rStyle w:val="12"/>
          <w:rFonts w:hint="eastAsia" w:ascii="仿宋_GB2312" w:hAnsi="Calibri" w:eastAsia="仿宋_GB2312" w:cs="Times New Roman"/>
          <w:snapToGrid/>
          <w:kern w:val="2"/>
          <w:sz w:val="32"/>
          <w:szCs w:val="32"/>
          <w:lang w:eastAsia="zh-CN"/>
        </w:rPr>
        <w:t>30</w:t>
      </w:r>
      <w:r>
        <w:rPr>
          <w:rStyle w:val="12"/>
          <w:rFonts w:ascii="仿宋_GB2312" w:hAnsi="Calibri" w:eastAsia="仿宋_GB2312" w:cs="Times New Roman"/>
          <w:snapToGrid/>
          <w:kern w:val="2"/>
          <w:sz w:val="32"/>
          <w:szCs w:val="32"/>
          <w:lang w:eastAsia="zh-CN"/>
        </w:rPr>
        <w:t>日开展事故整改和防范措施落实情况评估，形成本评估</w:t>
      </w:r>
      <w:r>
        <w:rPr>
          <w:rStyle w:val="12"/>
          <w:rFonts w:hint="eastAsia" w:ascii="仿宋_GB2312" w:hAnsi="Calibri" w:eastAsia="仿宋_GB2312" w:cs="Times New Roman"/>
          <w:snapToGrid/>
          <w:kern w:val="2"/>
          <w:sz w:val="32"/>
          <w:szCs w:val="32"/>
          <w:lang w:eastAsia="zh-CN"/>
        </w:rPr>
        <w:t>报告</w:t>
      </w:r>
      <w:r>
        <w:rPr>
          <w:rStyle w:val="12"/>
          <w:rFonts w:ascii="仿宋_GB2312" w:hAnsi="Calibri" w:eastAsia="仿宋_GB2312" w:cs="Times New Roman"/>
          <w:snapToGrid/>
          <w:kern w:val="2"/>
          <w:sz w:val="32"/>
          <w:szCs w:val="32"/>
          <w:lang w:eastAsia="zh-CN"/>
        </w:rPr>
        <w:t>。</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right="0" w:firstLine="640" w:firstLineChars="200"/>
        <w:jc w:val="both"/>
        <w:textAlignment w:val="auto"/>
        <w:rPr>
          <w:rFonts w:hint="eastAsia" w:ascii="黑体" w:hAnsi="黑体" w:eastAsia="黑体" w:cs="黑体"/>
          <w:snapToGrid/>
          <w:kern w:val="2"/>
          <w:sz w:val="32"/>
          <w:szCs w:val="32"/>
          <w:lang w:val="en-US" w:eastAsia="zh-CN"/>
        </w:rPr>
      </w:pPr>
      <w:r>
        <w:rPr>
          <w:rFonts w:hint="eastAsia" w:ascii="黑体" w:hAnsi="黑体" w:eastAsia="黑体" w:cs="黑体"/>
          <w:snapToGrid/>
          <w:kern w:val="2"/>
          <w:sz w:val="32"/>
          <w:szCs w:val="32"/>
          <w:lang w:val="en-US" w:eastAsia="zh-CN"/>
        </w:rPr>
        <w:t>基本情况</w:t>
      </w:r>
    </w:p>
    <w:p>
      <w:pPr>
        <w:pStyle w:val="6"/>
        <w:keepNext w:val="0"/>
        <w:keepLines w:val="0"/>
        <w:pageBreakBefore w:val="0"/>
        <w:wordWrap/>
        <w:overflowPunct/>
        <w:topLinePunct w:val="0"/>
        <w:bidi w:val="0"/>
        <w:spacing w:line="560" w:lineRule="exact"/>
        <w:ind w:left="0" w:right="0" w:firstLine="640" w:firstLineChars="200"/>
        <w:jc w:val="both"/>
        <w:rPr>
          <w:rStyle w:val="12"/>
          <w:rFonts w:hint="eastAsia" w:ascii="仿宋_GB2312" w:hAnsi="Calibri" w:eastAsia="仿宋_GB2312" w:cs="Times New Roman"/>
          <w:snapToGrid/>
          <w:color w:val="000000"/>
          <w:kern w:val="2"/>
          <w:sz w:val="32"/>
          <w:szCs w:val="32"/>
          <w:lang w:val="en-US" w:eastAsia="zh-CN" w:bidi="ar-SA"/>
        </w:rPr>
      </w:pPr>
      <w:r>
        <w:rPr>
          <w:rStyle w:val="12"/>
          <w:rFonts w:ascii="仿宋_GB2312" w:hAnsi="Calibri" w:eastAsia="仿宋_GB2312" w:cs="Times New Roman"/>
          <w:snapToGrid/>
          <w:color w:val="000000"/>
          <w:kern w:val="2"/>
          <w:sz w:val="32"/>
          <w:szCs w:val="32"/>
          <w:lang w:val="en-US" w:eastAsia="zh-CN" w:bidi="ar-SA"/>
        </w:rPr>
        <w:t>按照“谁牵头调查，谁组织评估”原则，</w:t>
      </w:r>
      <w:r>
        <w:rPr>
          <w:rStyle w:val="12"/>
          <w:rFonts w:hint="eastAsia" w:ascii="仿宋_GB2312" w:hAnsi="Calibri" w:eastAsia="仿宋_GB2312" w:cs="Times New Roman"/>
          <w:snapToGrid/>
          <w:color w:val="000000"/>
          <w:kern w:val="2"/>
          <w:sz w:val="32"/>
          <w:szCs w:val="32"/>
          <w:lang w:val="en-US" w:eastAsia="zh-CN" w:bidi="ar-SA"/>
        </w:rPr>
        <w:t>区</w:t>
      </w:r>
      <w:r>
        <w:rPr>
          <w:rStyle w:val="12"/>
          <w:rFonts w:ascii="仿宋_GB2312" w:hAnsi="Calibri" w:eastAsia="仿宋_GB2312" w:cs="Times New Roman"/>
          <w:snapToGrid/>
          <w:color w:val="000000"/>
          <w:kern w:val="2"/>
          <w:sz w:val="32"/>
          <w:szCs w:val="32"/>
          <w:lang w:val="en-US" w:eastAsia="zh-CN" w:bidi="ar-SA"/>
        </w:rPr>
        <w:t>应急管理局会同</w:t>
      </w:r>
      <w:r>
        <w:rPr>
          <w:rStyle w:val="12"/>
          <w:rFonts w:hint="eastAsia" w:ascii="仿宋_GB2312" w:hAnsi="Calibri" w:eastAsia="仿宋_GB2312" w:cs="Times New Roman"/>
          <w:snapToGrid/>
          <w:color w:val="000000"/>
          <w:kern w:val="2"/>
          <w:sz w:val="32"/>
          <w:szCs w:val="32"/>
          <w:lang w:val="en-US" w:eastAsia="zh-CN" w:bidi="ar-SA"/>
        </w:rPr>
        <w:t>上海市</w:t>
      </w:r>
      <w:r>
        <w:rPr>
          <w:rStyle w:val="12"/>
          <w:rFonts w:ascii="仿宋_GB2312" w:hAnsi="Calibri" w:eastAsia="仿宋_GB2312" w:cs="Times New Roman"/>
          <w:snapToGrid/>
          <w:color w:val="000000"/>
          <w:kern w:val="2"/>
          <w:sz w:val="32"/>
          <w:szCs w:val="32"/>
          <w:lang w:val="en-US" w:eastAsia="zh-CN" w:bidi="ar-SA"/>
        </w:rPr>
        <w:t>公安</w:t>
      </w:r>
      <w:r>
        <w:rPr>
          <w:rStyle w:val="12"/>
          <w:rFonts w:hint="eastAsia" w:ascii="仿宋_GB2312" w:hAnsi="Calibri" w:eastAsia="仿宋_GB2312" w:cs="Times New Roman"/>
          <w:snapToGrid/>
          <w:color w:val="000000"/>
          <w:kern w:val="2"/>
          <w:sz w:val="32"/>
          <w:szCs w:val="32"/>
          <w:lang w:val="en-US" w:eastAsia="zh-CN" w:bidi="ar-SA"/>
        </w:rPr>
        <w:t>局青浦分局</w:t>
      </w:r>
      <w:r>
        <w:rPr>
          <w:rStyle w:val="12"/>
          <w:rFonts w:ascii="仿宋_GB2312" w:hAnsi="Calibri" w:eastAsia="仿宋_GB2312" w:cs="Times New Roman"/>
          <w:snapToGrid/>
          <w:color w:val="000000"/>
          <w:kern w:val="2"/>
          <w:sz w:val="32"/>
          <w:szCs w:val="32"/>
          <w:lang w:val="en-US" w:eastAsia="zh-CN" w:bidi="ar-SA"/>
        </w:rPr>
        <w:t>、</w:t>
      </w:r>
      <w:r>
        <w:rPr>
          <w:rStyle w:val="12"/>
          <w:rFonts w:hint="eastAsia" w:ascii="仿宋_GB2312" w:hAnsi="Calibri" w:eastAsia="仿宋_GB2312" w:cs="Times New Roman"/>
          <w:snapToGrid/>
          <w:color w:val="000000"/>
          <w:kern w:val="2"/>
          <w:sz w:val="32"/>
          <w:szCs w:val="32"/>
          <w:lang w:val="en-US" w:eastAsia="zh-CN" w:bidi="ar-SA"/>
        </w:rPr>
        <w:t>区</w:t>
      </w:r>
      <w:r>
        <w:rPr>
          <w:rStyle w:val="12"/>
          <w:rFonts w:ascii="仿宋_GB2312" w:hAnsi="Calibri" w:eastAsia="仿宋_GB2312" w:cs="Times New Roman"/>
          <w:snapToGrid/>
          <w:color w:val="000000"/>
          <w:kern w:val="2"/>
          <w:sz w:val="32"/>
          <w:szCs w:val="32"/>
          <w:lang w:val="en-US" w:eastAsia="zh-CN" w:bidi="ar-SA"/>
        </w:rPr>
        <w:t>总工会、</w:t>
      </w:r>
      <w:r>
        <w:rPr>
          <w:rStyle w:val="12"/>
          <w:rFonts w:hint="eastAsia" w:ascii="仿宋_GB2312" w:hAnsi="Calibri" w:eastAsia="仿宋_GB2312" w:cs="Times New Roman"/>
          <w:snapToGrid/>
          <w:color w:val="000000"/>
          <w:kern w:val="2"/>
          <w:sz w:val="32"/>
          <w:szCs w:val="32"/>
          <w:lang w:val="en-US" w:eastAsia="zh-CN" w:bidi="ar-SA"/>
        </w:rPr>
        <w:t>区建管委、朱家角镇人民政府</w:t>
      </w:r>
      <w:r>
        <w:rPr>
          <w:rStyle w:val="12"/>
          <w:rFonts w:ascii="仿宋_GB2312" w:hAnsi="Calibri" w:eastAsia="仿宋_GB2312" w:cs="Times New Roman"/>
          <w:snapToGrid/>
          <w:color w:val="000000"/>
          <w:kern w:val="2"/>
          <w:sz w:val="32"/>
          <w:szCs w:val="32"/>
          <w:lang w:val="en-US" w:eastAsia="zh-CN" w:bidi="ar-SA"/>
        </w:rPr>
        <w:t>组成</w:t>
      </w:r>
      <w:r>
        <w:rPr>
          <w:rStyle w:val="12"/>
          <w:rFonts w:hint="eastAsia" w:hAnsi="Calibri" w:cs="Times New Roman"/>
          <w:snapToGrid/>
          <w:color w:val="000000"/>
          <w:kern w:val="2"/>
          <w:sz w:val="32"/>
          <w:szCs w:val="32"/>
          <w:lang w:val="en-US" w:eastAsia="zh-CN" w:bidi="ar-SA"/>
        </w:rPr>
        <w:t>青浦朱家角</w:t>
      </w:r>
      <w:r>
        <w:rPr>
          <w:rStyle w:val="12"/>
          <w:rFonts w:hint="eastAsia" w:ascii="仿宋_GB2312" w:hAnsi="Calibri" w:eastAsia="仿宋_GB2312" w:cs="Times New Roman"/>
          <w:snapToGrid/>
          <w:color w:val="000000"/>
          <w:kern w:val="2"/>
          <w:sz w:val="32"/>
          <w:szCs w:val="32"/>
          <w:lang w:val="en-US" w:eastAsia="zh-CN" w:bidi="ar-SA"/>
        </w:rPr>
        <w:t>上海天喜建设工程有限公司“3</w:t>
      </w:r>
      <w:r>
        <w:rPr>
          <w:rStyle w:val="12"/>
          <w:rFonts w:ascii="仿宋_GB2312" w:hAnsi="Calibri" w:eastAsia="仿宋_GB2312" w:cs="Times New Roman"/>
          <w:snapToGrid/>
          <w:color w:val="000000"/>
          <w:kern w:val="2"/>
          <w:sz w:val="32"/>
          <w:szCs w:val="32"/>
          <w:lang w:val="en-US" w:eastAsia="zh-CN" w:bidi="ar-SA"/>
        </w:rPr>
        <w:t>.</w:t>
      </w:r>
      <w:r>
        <w:rPr>
          <w:rStyle w:val="12"/>
          <w:rFonts w:hint="eastAsia" w:ascii="仿宋_GB2312" w:hAnsi="Calibri" w:eastAsia="仿宋_GB2312" w:cs="Times New Roman"/>
          <w:snapToGrid/>
          <w:color w:val="000000"/>
          <w:kern w:val="2"/>
          <w:sz w:val="32"/>
          <w:szCs w:val="32"/>
          <w:lang w:val="en-US" w:eastAsia="zh-CN" w:bidi="ar-SA"/>
        </w:rPr>
        <w:t>6</w:t>
      </w:r>
      <w:r>
        <w:rPr>
          <w:rStyle w:val="12"/>
          <w:rFonts w:ascii="仿宋_GB2312" w:hAnsi="Calibri" w:eastAsia="仿宋_GB2312" w:cs="Times New Roman"/>
          <w:snapToGrid/>
          <w:color w:val="000000"/>
          <w:kern w:val="2"/>
          <w:sz w:val="32"/>
          <w:szCs w:val="32"/>
          <w:lang w:val="en-US" w:eastAsia="zh-CN" w:bidi="ar-SA"/>
        </w:rPr>
        <w:t>”</w:t>
      </w:r>
      <w:r>
        <w:rPr>
          <w:rStyle w:val="12"/>
          <w:rFonts w:hint="eastAsia" w:ascii="仿宋_GB2312" w:hAnsi="Calibri" w:eastAsia="仿宋_GB2312" w:cs="Times New Roman"/>
          <w:snapToGrid/>
          <w:color w:val="000000"/>
          <w:kern w:val="2"/>
          <w:sz w:val="32"/>
          <w:szCs w:val="32"/>
          <w:lang w:val="en-US" w:eastAsia="zh-CN" w:bidi="ar-SA"/>
        </w:rPr>
        <w:t>起重伤害一般</w:t>
      </w:r>
      <w:r>
        <w:rPr>
          <w:rStyle w:val="12"/>
          <w:rFonts w:ascii="仿宋_GB2312" w:hAnsi="Calibri" w:eastAsia="仿宋_GB2312" w:cs="Times New Roman"/>
          <w:snapToGrid/>
          <w:color w:val="000000"/>
          <w:kern w:val="2"/>
          <w:sz w:val="32"/>
          <w:szCs w:val="32"/>
          <w:lang w:val="en-US" w:eastAsia="zh-CN" w:bidi="ar-SA"/>
        </w:rPr>
        <w:t>事故整改和防范措施落实情况评估组（以下简称评估组），委托上海</w:t>
      </w:r>
      <w:r>
        <w:rPr>
          <w:rStyle w:val="12"/>
          <w:rFonts w:hint="eastAsia" w:ascii="仿宋_GB2312" w:hAnsi="Calibri" w:eastAsia="仿宋_GB2312" w:cs="Times New Roman"/>
          <w:snapToGrid/>
          <w:color w:val="000000"/>
          <w:kern w:val="2"/>
          <w:sz w:val="32"/>
          <w:szCs w:val="32"/>
          <w:lang w:val="en-US" w:eastAsia="zh-CN" w:bidi="ar-SA"/>
        </w:rPr>
        <w:t>欣企安全生产咨询服务有限公司</w:t>
      </w:r>
      <w:r>
        <w:rPr>
          <w:rStyle w:val="12"/>
          <w:rFonts w:ascii="仿宋_GB2312" w:hAnsi="Calibri" w:eastAsia="仿宋_GB2312" w:cs="Times New Roman"/>
          <w:snapToGrid/>
          <w:color w:val="000000"/>
          <w:kern w:val="2"/>
          <w:sz w:val="32"/>
          <w:szCs w:val="32"/>
          <w:lang w:val="en-US" w:eastAsia="zh-CN" w:bidi="ar-SA"/>
        </w:rPr>
        <w:t>及相关专家参与评估。</w:t>
      </w:r>
    </w:p>
    <w:p>
      <w:pPr>
        <w:pStyle w:val="6"/>
        <w:keepNext w:val="0"/>
        <w:keepLines w:val="0"/>
        <w:pageBreakBefore w:val="0"/>
        <w:wordWrap/>
        <w:overflowPunct/>
        <w:topLinePunct w:val="0"/>
        <w:bidi w:val="0"/>
        <w:spacing w:line="560" w:lineRule="exact"/>
        <w:ind w:left="0" w:right="0" w:firstLine="640" w:firstLineChars="200"/>
        <w:jc w:val="both"/>
        <w:rPr>
          <w:rStyle w:val="12"/>
          <w:rFonts w:hint="eastAsia" w:ascii="仿宋_GB2312" w:hAnsi="Calibri" w:eastAsia="仿宋_GB2312" w:cs="Times New Roman"/>
          <w:snapToGrid/>
          <w:color w:val="000000"/>
          <w:kern w:val="2"/>
          <w:sz w:val="32"/>
          <w:szCs w:val="32"/>
          <w:lang w:val="en-US" w:eastAsia="zh-CN" w:bidi="ar-SA"/>
        </w:rPr>
      </w:pPr>
      <w:r>
        <w:rPr>
          <w:rStyle w:val="12"/>
          <w:rFonts w:ascii="仿宋_GB2312" w:hAnsi="Calibri" w:eastAsia="仿宋_GB2312" w:cs="Times New Roman"/>
          <w:snapToGrid/>
          <w:color w:val="000000"/>
          <w:kern w:val="2"/>
          <w:sz w:val="32"/>
          <w:szCs w:val="32"/>
          <w:lang w:val="en-US" w:eastAsia="zh-CN" w:bidi="ar-SA"/>
        </w:rPr>
        <w:t>按照“科学严谨，依法依规，实事求是，注重实效”的原则评估组对照事故调查报告及批复，听取工作汇报，查阅台账资料</w:t>
      </w:r>
      <w:r>
        <w:rPr>
          <w:rStyle w:val="12"/>
          <w:rFonts w:hint="eastAsia" w:ascii="仿宋_GB2312" w:hAnsi="Calibri" w:eastAsia="仿宋_GB2312" w:cs="Times New Roman"/>
          <w:snapToGrid/>
          <w:color w:val="000000"/>
          <w:kern w:val="2"/>
          <w:sz w:val="32"/>
          <w:szCs w:val="32"/>
          <w:lang w:val="en-US" w:eastAsia="zh-CN" w:bidi="ar-SA"/>
        </w:rPr>
        <w:t>，</w:t>
      </w:r>
      <w:r>
        <w:rPr>
          <w:rStyle w:val="12"/>
          <w:rFonts w:ascii="仿宋_GB2312" w:hAnsi="Calibri" w:eastAsia="仿宋_GB2312" w:cs="Times New Roman"/>
          <w:snapToGrid/>
          <w:color w:val="000000"/>
          <w:kern w:val="2"/>
          <w:sz w:val="32"/>
          <w:szCs w:val="32"/>
          <w:lang w:val="en-US" w:eastAsia="zh-CN" w:bidi="ar-SA"/>
        </w:rPr>
        <w:t>通过座谈问询、走访核查事发现场，逐项核查事故相关单位责任追究、整改和防范措施落实等情况，并结合专家意见，进行了综合评估并提出工作建议。</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right="0" w:firstLine="640" w:firstLineChars="200"/>
        <w:jc w:val="both"/>
        <w:textAlignment w:val="auto"/>
        <w:rPr>
          <w:rFonts w:hint="eastAsia" w:ascii="黑体" w:hAnsi="黑体" w:eastAsia="黑体" w:cs="黑体"/>
          <w:snapToGrid/>
          <w:kern w:val="2"/>
          <w:sz w:val="32"/>
          <w:szCs w:val="32"/>
          <w:lang w:val="en-US" w:eastAsia="zh-CN"/>
        </w:rPr>
      </w:pPr>
      <w:r>
        <w:rPr>
          <w:rFonts w:hint="eastAsia" w:ascii="黑体" w:hAnsi="黑体" w:eastAsia="黑体" w:cs="黑体"/>
          <w:snapToGrid/>
          <w:kern w:val="2"/>
          <w:sz w:val="32"/>
          <w:szCs w:val="32"/>
          <w:lang w:val="en-US" w:eastAsia="zh-CN"/>
        </w:rPr>
        <w:t>事故处理落实情况</w:t>
      </w:r>
    </w:p>
    <w:p>
      <w:pPr>
        <w:keepNext w:val="0"/>
        <w:keepLines w:val="0"/>
        <w:pageBreakBefore w:val="0"/>
        <w:widowControl w:val="0"/>
        <w:numPr>
          <w:ilvl w:val="0"/>
          <w:numId w:val="2"/>
        </w:numPr>
        <w:tabs>
          <w:tab w:val="center" w:pos="4153"/>
          <w:tab w:val="right" w:pos="8306"/>
        </w:tabs>
        <w:kinsoku/>
        <w:wordWrap/>
        <w:overflowPunct/>
        <w:topLinePunct w:val="0"/>
        <w:autoSpaceDE/>
        <w:autoSpaceDN/>
        <w:bidi w:val="0"/>
        <w:adjustRightInd/>
        <w:snapToGrid/>
        <w:spacing w:line="560" w:lineRule="exact"/>
        <w:ind w:left="0" w:leftChars="0" w:right="0" w:firstLine="641" w:firstLineChars="200"/>
        <w:jc w:val="both"/>
        <w:textAlignment w:val="auto"/>
        <w:rPr>
          <w:rFonts w:hint="eastAsia" w:ascii="黑体" w:hAnsi="黑体" w:eastAsia="CESI楷体-GB2312" w:cs="黑体"/>
          <w:b/>
          <w:bCs/>
          <w:snapToGrid/>
          <w:kern w:val="2"/>
          <w:sz w:val="32"/>
          <w:szCs w:val="32"/>
          <w:lang w:val="en-US" w:eastAsia="zh-CN"/>
        </w:rPr>
      </w:pPr>
      <w:r>
        <w:rPr>
          <w:rFonts w:hint="eastAsia" w:ascii="黑体" w:hAnsi="黑体" w:eastAsia="CESI楷体-GB2312" w:cs="黑体"/>
          <w:b/>
          <w:bCs/>
          <w:snapToGrid/>
          <w:kern w:val="2"/>
          <w:sz w:val="32"/>
          <w:szCs w:val="32"/>
          <w:lang w:val="en-US" w:eastAsia="zh-CN"/>
        </w:rPr>
        <w:t>行政处罚落实情况</w:t>
      </w:r>
    </w:p>
    <w:p>
      <w:pPr>
        <w:pStyle w:val="6"/>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Style w:val="12"/>
          <w:rFonts w:hint="eastAsia" w:ascii="仿宋_GB2312" w:hAnsi="Calibri" w:eastAsia="仿宋_GB2312" w:cs="Times New Roman"/>
          <w:snapToGrid/>
          <w:color w:val="000000"/>
          <w:kern w:val="2"/>
          <w:sz w:val="32"/>
          <w:szCs w:val="32"/>
          <w:lang w:val="en-US" w:eastAsia="zh-CN" w:bidi="ar-SA"/>
        </w:rPr>
      </w:pPr>
      <w:r>
        <w:rPr>
          <w:rStyle w:val="12"/>
          <w:rFonts w:ascii="仿宋_GB2312" w:hAnsi="Calibri" w:eastAsia="仿宋_GB2312" w:cs="Times New Roman"/>
          <w:snapToGrid/>
          <w:color w:val="000000"/>
          <w:kern w:val="2"/>
          <w:sz w:val="32"/>
          <w:szCs w:val="32"/>
          <w:lang w:val="en-US" w:eastAsia="zh-CN" w:bidi="ar-SA"/>
        </w:rPr>
        <w:t>202</w:t>
      </w:r>
      <w:r>
        <w:rPr>
          <w:rStyle w:val="12"/>
          <w:rFonts w:hint="eastAsia" w:ascii="仿宋_GB2312" w:hAnsi="Calibri" w:eastAsia="仿宋_GB2312" w:cs="Times New Roman"/>
          <w:snapToGrid/>
          <w:color w:val="000000"/>
          <w:kern w:val="2"/>
          <w:sz w:val="32"/>
          <w:szCs w:val="32"/>
          <w:lang w:val="en-US" w:eastAsia="zh-CN" w:bidi="ar-SA"/>
        </w:rPr>
        <w:t>4</w:t>
      </w:r>
      <w:r>
        <w:rPr>
          <w:rStyle w:val="12"/>
          <w:rFonts w:ascii="仿宋_GB2312" w:hAnsi="Calibri" w:eastAsia="仿宋_GB2312" w:cs="Times New Roman"/>
          <w:snapToGrid/>
          <w:color w:val="000000"/>
          <w:kern w:val="2"/>
          <w:sz w:val="32"/>
          <w:szCs w:val="32"/>
          <w:lang w:val="en-US" w:eastAsia="zh-CN" w:bidi="ar-SA"/>
        </w:rPr>
        <w:t>年</w:t>
      </w:r>
      <w:r>
        <w:rPr>
          <w:rStyle w:val="12"/>
          <w:rFonts w:hint="eastAsia" w:hAnsi="Calibri" w:cs="Times New Roman"/>
          <w:snapToGrid/>
          <w:color w:val="000000"/>
          <w:kern w:val="2"/>
          <w:sz w:val="32"/>
          <w:szCs w:val="32"/>
          <w:lang w:val="en-US" w:eastAsia="zh-CN" w:bidi="ar-SA"/>
        </w:rPr>
        <w:t>7</w:t>
      </w:r>
      <w:r>
        <w:rPr>
          <w:rStyle w:val="12"/>
          <w:rFonts w:ascii="仿宋_GB2312" w:hAnsi="Calibri" w:eastAsia="仿宋_GB2312" w:cs="Times New Roman"/>
          <w:snapToGrid/>
          <w:color w:val="000000"/>
          <w:kern w:val="2"/>
          <w:sz w:val="32"/>
          <w:szCs w:val="32"/>
          <w:lang w:val="en-US" w:eastAsia="zh-CN" w:bidi="ar-SA"/>
        </w:rPr>
        <w:t>月</w:t>
      </w:r>
      <w:r>
        <w:rPr>
          <w:rStyle w:val="12"/>
          <w:rFonts w:hint="eastAsia" w:ascii="仿宋_GB2312" w:hAnsi="Calibri" w:eastAsia="仿宋_GB2312" w:cs="Times New Roman"/>
          <w:snapToGrid/>
          <w:color w:val="000000"/>
          <w:kern w:val="2"/>
          <w:sz w:val="32"/>
          <w:szCs w:val="32"/>
          <w:lang w:val="en-US" w:eastAsia="zh-CN" w:bidi="ar-SA"/>
        </w:rPr>
        <w:t>05</w:t>
      </w:r>
      <w:r>
        <w:rPr>
          <w:rStyle w:val="12"/>
          <w:rFonts w:ascii="仿宋_GB2312" w:hAnsi="Calibri" w:eastAsia="仿宋_GB2312" w:cs="Times New Roman"/>
          <w:snapToGrid/>
          <w:color w:val="000000"/>
          <w:kern w:val="2"/>
          <w:sz w:val="32"/>
          <w:szCs w:val="32"/>
          <w:lang w:val="en-US" w:eastAsia="zh-CN" w:bidi="ar-SA"/>
        </w:rPr>
        <w:t>日，</w:t>
      </w:r>
      <w:r>
        <w:rPr>
          <w:rStyle w:val="12"/>
          <w:rFonts w:hint="eastAsia" w:ascii="仿宋_GB2312" w:hAnsi="Calibri" w:eastAsia="仿宋_GB2312" w:cs="Times New Roman"/>
          <w:snapToGrid/>
          <w:color w:val="000000"/>
          <w:kern w:val="2"/>
          <w:sz w:val="32"/>
          <w:szCs w:val="32"/>
          <w:lang w:val="en-US" w:eastAsia="zh-CN" w:bidi="ar-SA"/>
        </w:rPr>
        <w:t>上海市青浦区应急管理局</w:t>
      </w:r>
      <w:r>
        <w:rPr>
          <w:rStyle w:val="12"/>
          <w:rFonts w:ascii="仿宋_GB2312" w:hAnsi="Calibri" w:eastAsia="仿宋_GB2312" w:cs="Times New Roman"/>
          <w:snapToGrid/>
          <w:color w:val="000000"/>
          <w:kern w:val="2"/>
          <w:sz w:val="32"/>
          <w:szCs w:val="32"/>
          <w:lang w:val="en-US" w:eastAsia="zh-CN" w:bidi="ar-SA"/>
        </w:rPr>
        <w:t>（以下简称</w:t>
      </w:r>
      <w:r>
        <w:rPr>
          <w:rStyle w:val="12"/>
          <w:rFonts w:hint="eastAsia" w:ascii="仿宋_GB2312" w:hAnsi="Calibri" w:eastAsia="仿宋_GB2312" w:cs="Times New Roman"/>
          <w:snapToGrid/>
          <w:color w:val="000000"/>
          <w:kern w:val="2"/>
          <w:sz w:val="32"/>
          <w:szCs w:val="32"/>
          <w:lang w:val="en-US" w:eastAsia="zh-CN" w:bidi="ar-SA"/>
        </w:rPr>
        <w:t>区应急管理</w:t>
      </w:r>
      <w:r>
        <w:rPr>
          <w:rStyle w:val="12"/>
          <w:rFonts w:ascii="仿宋_GB2312" w:hAnsi="Calibri" w:eastAsia="仿宋_GB2312" w:cs="Times New Roman"/>
          <w:snapToGrid/>
          <w:color w:val="000000"/>
          <w:kern w:val="2"/>
          <w:sz w:val="32"/>
          <w:szCs w:val="32"/>
          <w:lang w:val="en-US" w:eastAsia="zh-CN" w:bidi="ar-SA"/>
        </w:rPr>
        <w:t>局）按照事故责任认定及处理建议</w:t>
      </w:r>
      <w:r>
        <w:rPr>
          <w:rStyle w:val="12"/>
          <w:rFonts w:hint="eastAsia" w:ascii="仿宋_GB2312" w:hAnsi="Calibri" w:eastAsia="仿宋_GB2312" w:cs="Times New Roman"/>
          <w:snapToGrid/>
          <w:color w:val="000000"/>
          <w:kern w:val="2"/>
          <w:sz w:val="32"/>
          <w:szCs w:val="32"/>
          <w:lang w:val="en-US" w:eastAsia="zh-CN" w:bidi="ar-SA"/>
        </w:rPr>
        <w:t>，对事故责任单位上海天喜建设工程有限公司作出罚款50万元的行政处罚决定；</w:t>
      </w:r>
      <w:r>
        <w:rPr>
          <w:rStyle w:val="12"/>
          <w:rFonts w:ascii="仿宋_GB2312" w:hAnsi="Calibri" w:eastAsia="仿宋_GB2312" w:cs="Times New Roman"/>
          <w:snapToGrid/>
          <w:color w:val="000000"/>
          <w:kern w:val="2"/>
          <w:sz w:val="32"/>
          <w:szCs w:val="32"/>
          <w:lang w:val="en-US" w:eastAsia="zh-CN" w:bidi="ar-SA"/>
        </w:rPr>
        <w:t>对事故责任</w:t>
      </w:r>
      <w:r>
        <w:rPr>
          <w:rStyle w:val="12"/>
          <w:rFonts w:hint="eastAsia" w:ascii="仿宋_GB2312" w:hAnsi="Calibri" w:eastAsia="仿宋_GB2312" w:cs="Times New Roman"/>
          <w:snapToGrid/>
          <w:color w:val="000000"/>
          <w:kern w:val="2"/>
          <w:sz w:val="32"/>
          <w:szCs w:val="32"/>
          <w:lang w:val="en-US" w:eastAsia="zh-CN" w:bidi="ar-SA"/>
        </w:rPr>
        <w:t>人上海天喜建设工程有限公司总经理彭聪聪、（封月恒）中国建筑第二工程局有限公司项目经理、上海市工程建设咨询监理有限公司总监张爱民，分别作出</w:t>
      </w:r>
      <w:r>
        <w:rPr>
          <w:rStyle w:val="12"/>
          <w:rFonts w:ascii="仿宋_GB2312" w:hAnsi="Calibri" w:eastAsia="仿宋_GB2312" w:cs="Times New Roman"/>
          <w:snapToGrid/>
          <w:color w:val="000000"/>
          <w:kern w:val="2"/>
          <w:sz w:val="32"/>
          <w:szCs w:val="32"/>
          <w:lang w:val="en-US" w:eastAsia="zh-CN" w:bidi="ar-SA"/>
        </w:rPr>
        <w:t>罚款</w:t>
      </w:r>
      <w:r>
        <w:rPr>
          <w:rStyle w:val="12"/>
          <w:rFonts w:hint="eastAsia" w:ascii="仿宋_GB2312" w:hAnsi="Calibri" w:eastAsia="仿宋_GB2312" w:cs="Times New Roman"/>
          <w:snapToGrid/>
          <w:color w:val="000000"/>
          <w:kern w:val="2"/>
          <w:sz w:val="32"/>
          <w:szCs w:val="32"/>
          <w:lang w:val="en-US" w:eastAsia="zh-CN" w:bidi="ar-SA"/>
        </w:rPr>
        <w:t>31920</w:t>
      </w:r>
      <w:r>
        <w:rPr>
          <w:rStyle w:val="12"/>
          <w:rFonts w:ascii="仿宋_GB2312" w:hAnsi="Calibri" w:eastAsia="仿宋_GB2312" w:cs="Times New Roman"/>
          <w:snapToGrid/>
          <w:color w:val="000000"/>
          <w:kern w:val="2"/>
          <w:sz w:val="32"/>
          <w:szCs w:val="32"/>
          <w:lang w:val="en-US" w:eastAsia="zh-CN" w:bidi="ar-SA"/>
        </w:rPr>
        <w:t>元</w:t>
      </w:r>
      <w:r>
        <w:rPr>
          <w:rStyle w:val="12"/>
          <w:rFonts w:hint="eastAsia" w:ascii="仿宋_GB2312" w:hAnsi="Calibri" w:eastAsia="仿宋_GB2312" w:cs="Times New Roman"/>
          <w:snapToGrid/>
          <w:color w:val="000000"/>
          <w:kern w:val="2"/>
          <w:sz w:val="32"/>
          <w:szCs w:val="32"/>
          <w:lang w:val="en-US" w:eastAsia="zh-CN" w:bidi="ar-SA"/>
        </w:rPr>
        <w:t>、24357元、22800元的行政处罚决定。</w:t>
      </w:r>
    </w:p>
    <w:p>
      <w:pPr>
        <w:pStyle w:val="6"/>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Style w:val="12"/>
          <w:rFonts w:hint="eastAsia" w:ascii="仿宋_GB2312" w:hAnsi="Calibri" w:eastAsia="仿宋_GB2312" w:cs="Times New Roman"/>
          <w:snapToGrid/>
          <w:color w:val="000000"/>
          <w:kern w:val="2"/>
          <w:sz w:val="32"/>
          <w:szCs w:val="32"/>
          <w:lang w:val="en-US" w:eastAsia="zh-CN" w:bidi="ar-SA"/>
        </w:rPr>
      </w:pPr>
      <w:r>
        <w:rPr>
          <w:rStyle w:val="12"/>
          <w:rFonts w:hint="eastAsia" w:ascii="仿宋_GB2312" w:hAnsi="Calibri" w:eastAsia="仿宋_GB2312" w:cs="Times New Roman"/>
          <w:snapToGrid/>
          <w:color w:val="000000"/>
          <w:kern w:val="2"/>
          <w:sz w:val="32"/>
          <w:szCs w:val="32"/>
          <w:lang w:val="en-US" w:eastAsia="zh-CN" w:bidi="ar-SA"/>
        </w:rPr>
        <w:t>经核实，</w:t>
      </w:r>
      <w:r>
        <w:rPr>
          <w:rStyle w:val="12"/>
          <w:rFonts w:ascii="仿宋_GB2312" w:hAnsi="Calibri" w:eastAsia="仿宋_GB2312" w:cs="Times New Roman"/>
          <w:snapToGrid/>
          <w:color w:val="000000"/>
          <w:kern w:val="2"/>
          <w:sz w:val="32"/>
          <w:szCs w:val="32"/>
          <w:lang w:val="en-US" w:eastAsia="zh-CN" w:bidi="ar-SA"/>
        </w:rPr>
        <w:t>以上行政处罚均已执行。</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right="0" w:firstLine="640" w:firstLineChars="200"/>
        <w:jc w:val="both"/>
        <w:textAlignment w:val="auto"/>
        <w:rPr>
          <w:rFonts w:hint="eastAsia" w:ascii="黑体" w:hAnsi="黑体" w:eastAsia="黑体" w:cs="黑体"/>
          <w:snapToGrid/>
          <w:kern w:val="2"/>
          <w:sz w:val="32"/>
          <w:szCs w:val="32"/>
          <w:lang w:val="en-US" w:eastAsia="zh-CN"/>
        </w:rPr>
      </w:pPr>
      <w:r>
        <w:rPr>
          <w:rFonts w:hint="eastAsia" w:ascii="黑体" w:hAnsi="黑体" w:eastAsia="黑体" w:cs="黑体"/>
          <w:snapToGrid/>
          <w:kern w:val="2"/>
          <w:sz w:val="32"/>
          <w:szCs w:val="32"/>
          <w:lang w:val="en-US" w:eastAsia="zh-CN"/>
        </w:rPr>
        <w:t>事故整改措施落实情况</w:t>
      </w:r>
    </w:p>
    <w:p>
      <w:pPr>
        <w:keepNext w:val="0"/>
        <w:keepLines w:val="0"/>
        <w:pageBreakBefore w:val="0"/>
        <w:widowControl w:val="0"/>
        <w:numPr>
          <w:ilvl w:val="0"/>
          <w:numId w:val="0"/>
        </w:numPr>
        <w:tabs>
          <w:tab w:val="center" w:pos="4153"/>
          <w:tab w:val="right" w:pos="8306"/>
        </w:tabs>
        <w:kinsoku/>
        <w:wordWrap/>
        <w:overflowPunct/>
        <w:topLinePunct w:val="0"/>
        <w:autoSpaceDE/>
        <w:autoSpaceDN/>
        <w:bidi w:val="0"/>
        <w:adjustRightInd/>
        <w:snapToGrid/>
        <w:spacing w:line="560" w:lineRule="exact"/>
        <w:ind w:left="0" w:leftChars="0" w:right="0" w:rightChars="0" w:firstLine="641" w:firstLineChars="200"/>
        <w:jc w:val="both"/>
        <w:textAlignment w:val="auto"/>
        <w:rPr>
          <w:rFonts w:hint="eastAsia" w:ascii="黑体" w:hAnsi="黑体" w:eastAsia="CESI楷体-GB2312" w:cs="黑体"/>
          <w:b/>
          <w:bCs/>
          <w:snapToGrid/>
          <w:kern w:val="2"/>
          <w:sz w:val="32"/>
          <w:szCs w:val="32"/>
          <w:lang w:val="en-US" w:eastAsia="zh-CN"/>
        </w:rPr>
      </w:pPr>
      <w:r>
        <w:rPr>
          <w:rFonts w:hint="eastAsia" w:ascii="黑体" w:hAnsi="黑体" w:eastAsia="CESI楷体-GB2312" w:cs="黑体"/>
          <w:b/>
          <w:bCs/>
          <w:snapToGrid/>
          <w:kern w:val="2"/>
          <w:sz w:val="32"/>
          <w:szCs w:val="32"/>
          <w:lang w:val="en-US" w:eastAsia="zh-CN"/>
        </w:rPr>
        <w:t>（一）上海天喜建设工程有限公司</w:t>
      </w:r>
    </w:p>
    <w:p>
      <w:pPr>
        <w:pStyle w:val="6"/>
        <w:keepNext w:val="0"/>
        <w:keepLines w:val="0"/>
        <w:pageBreakBefore w:val="0"/>
        <w:widowControl/>
        <w:kinsoku w:val="0"/>
        <w:wordWrap/>
        <w:overflowPunct/>
        <w:topLinePunct w:val="0"/>
        <w:autoSpaceDE w:val="0"/>
        <w:autoSpaceDN w:val="0"/>
        <w:bidi w:val="0"/>
        <w:adjustRightInd w:val="0"/>
        <w:snapToGrid w:val="0"/>
        <w:spacing w:line="560" w:lineRule="exact"/>
        <w:ind w:left="0" w:leftChars="0" w:right="0" w:firstLine="640" w:firstLineChars="200"/>
        <w:jc w:val="both"/>
        <w:textAlignment w:val="baseline"/>
        <w:rPr>
          <w:rStyle w:val="12"/>
          <w:rFonts w:hint="eastAsia" w:hAnsi="Calibri" w:cs="Times New Roman"/>
          <w:snapToGrid/>
          <w:color w:val="000000"/>
          <w:kern w:val="2"/>
          <w:sz w:val="32"/>
          <w:szCs w:val="32"/>
          <w:lang w:val="en-US" w:eastAsia="zh-CN" w:bidi="ar-SA"/>
        </w:rPr>
      </w:pPr>
      <w:r>
        <w:rPr>
          <w:rStyle w:val="12"/>
          <w:rFonts w:hint="eastAsia" w:hAnsi="Calibri" w:cs="Times New Roman"/>
          <w:snapToGrid/>
          <w:color w:val="000000"/>
          <w:kern w:val="2"/>
          <w:sz w:val="32"/>
          <w:szCs w:val="32"/>
          <w:lang w:val="en-US" w:eastAsia="zh-CN" w:bidi="ar-SA"/>
        </w:rPr>
        <w:t>1、</w:t>
      </w:r>
      <w:r>
        <w:rPr>
          <w:rStyle w:val="12"/>
          <w:rFonts w:hint="eastAsia" w:ascii="仿宋_GB2312" w:hAnsi="Calibri" w:eastAsia="仿宋_GB2312" w:cs="Times New Roman"/>
          <w:snapToGrid/>
          <w:color w:val="000000"/>
          <w:kern w:val="2"/>
          <w:sz w:val="32"/>
          <w:szCs w:val="32"/>
          <w:lang w:val="en-US" w:eastAsia="zh-CN" w:bidi="ar-SA"/>
        </w:rPr>
        <w:t>将出现违规操作的起重设备驾驶员进行退场,并将新进起重设备驾驶员进行施工前的安全技术交底</w:t>
      </w:r>
      <w:r>
        <w:rPr>
          <w:rStyle w:val="12"/>
          <w:rFonts w:hint="eastAsia" w:hAnsi="Calibri" w:cs="Times New Roman"/>
          <w:snapToGrid/>
          <w:color w:val="000000"/>
          <w:kern w:val="2"/>
          <w:sz w:val="32"/>
          <w:szCs w:val="32"/>
          <w:lang w:val="en-US" w:eastAsia="zh-CN" w:bidi="ar-SA"/>
        </w:rPr>
        <w:t>。</w:t>
      </w:r>
    </w:p>
    <w:p>
      <w:pPr>
        <w:pStyle w:val="6"/>
        <w:keepNext w:val="0"/>
        <w:keepLines w:val="0"/>
        <w:pageBreakBefore w:val="0"/>
        <w:widowControl/>
        <w:kinsoku w:val="0"/>
        <w:wordWrap/>
        <w:overflowPunct/>
        <w:topLinePunct w:val="0"/>
        <w:autoSpaceDE w:val="0"/>
        <w:autoSpaceDN w:val="0"/>
        <w:bidi w:val="0"/>
        <w:adjustRightInd w:val="0"/>
        <w:snapToGrid w:val="0"/>
        <w:spacing w:line="560" w:lineRule="exact"/>
        <w:ind w:left="0" w:leftChars="0" w:right="0" w:firstLine="640" w:firstLineChars="200"/>
        <w:jc w:val="both"/>
        <w:textAlignment w:val="baseline"/>
        <w:rPr>
          <w:rStyle w:val="12"/>
          <w:rFonts w:hint="eastAsia" w:hAnsi="Calibri" w:cs="Times New Roman"/>
          <w:snapToGrid/>
          <w:color w:val="000000"/>
          <w:kern w:val="2"/>
          <w:sz w:val="32"/>
          <w:szCs w:val="32"/>
          <w:lang w:val="en-US" w:eastAsia="zh-CN" w:bidi="ar-SA"/>
        </w:rPr>
      </w:pPr>
      <w:r>
        <w:rPr>
          <w:rStyle w:val="12"/>
          <w:rFonts w:hint="eastAsia" w:hAnsi="Calibri" w:cs="Times New Roman"/>
          <w:snapToGrid/>
          <w:color w:val="000000"/>
          <w:kern w:val="2"/>
          <w:sz w:val="32"/>
          <w:szCs w:val="32"/>
          <w:lang w:val="en-US" w:eastAsia="zh-CN" w:bidi="ar-SA"/>
        </w:rPr>
        <w:t>2、</w:t>
      </w:r>
      <w:r>
        <w:rPr>
          <w:rStyle w:val="12"/>
          <w:rFonts w:hint="eastAsia" w:ascii="仿宋_GB2312" w:hAnsi="Calibri" w:eastAsia="仿宋_GB2312" w:cs="Times New Roman"/>
          <w:snapToGrid/>
          <w:color w:val="000000"/>
          <w:kern w:val="2"/>
          <w:sz w:val="32"/>
          <w:szCs w:val="32"/>
          <w:lang w:val="en-US" w:eastAsia="zh-CN" w:bidi="ar-SA"/>
        </w:rPr>
        <w:t>在所有起重作业开始前，一定确保有足够的安全作业距离，起重作业起钩前一定确保作业人员全部撤离至安全范围才可起钩</w:t>
      </w:r>
      <w:r>
        <w:rPr>
          <w:rStyle w:val="12"/>
          <w:rFonts w:hint="eastAsia" w:hAnsi="Calibri" w:cs="Times New Roman"/>
          <w:snapToGrid/>
          <w:color w:val="000000"/>
          <w:kern w:val="2"/>
          <w:sz w:val="32"/>
          <w:szCs w:val="32"/>
          <w:lang w:val="en-US" w:eastAsia="zh-CN" w:bidi="ar-SA"/>
        </w:rPr>
        <w:t>。</w:t>
      </w:r>
    </w:p>
    <w:p>
      <w:pPr>
        <w:pStyle w:val="6"/>
        <w:keepNext w:val="0"/>
        <w:keepLines w:val="0"/>
        <w:pageBreakBefore w:val="0"/>
        <w:widowControl/>
        <w:kinsoku w:val="0"/>
        <w:wordWrap/>
        <w:overflowPunct/>
        <w:topLinePunct w:val="0"/>
        <w:autoSpaceDE w:val="0"/>
        <w:autoSpaceDN w:val="0"/>
        <w:bidi w:val="0"/>
        <w:adjustRightInd w:val="0"/>
        <w:snapToGrid w:val="0"/>
        <w:spacing w:line="560" w:lineRule="exact"/>
        <w:ind w:left="0" w:leftChars="0" w:right="0" w:firstLine="640" w:firstLineChars="200"/>
        <w:jc w:val="both"/>
        <w:textAlignment w:val="baseline"/>
        <w:rPr>
          <w:rStyle w:val="12"/>
          <w:rFonts w:hint="eastAsia" w:hAnsi="Calibri" w:cs="Times New Roman"/>
          <w:snapToGrid/>
          <w:color w:val="000000"/>
          <w:kern w:val="2"/>
          <w:sz w:val="32"/>
          <w:szCs w:val="32"/>
          <w:lang w:val="en-US" w:eastAsia="zh-CN" w:bidi="ar-SA"/>
        </w:rPr>
      </w:pPr>
      <w:r>
        <w:rPr>
          <w:rStyle w:val="12"/>
          <w:rFonts w:hint="eastAsia" w:hAnsi="Calibri" w:cs="Times New Roman"/>
          <w:snapToGrid/>
          <w:color w:val="000000"/>
          <w:kern w:val="2"/>
          <w:sz w:val="32"/>
          <w:szCs w:val="32"/>
          <w:lang w:val="en-US" w:eastAsia="zh-CN" w:bidi="ar-SA"/>
        </w:rPr>
        <w:t>3、</w:t>
      </w:r>
      <w:r>
        <w:rPr>
          <w:rStyle w:val="12"/>
          <w:rFonts w:hint="eastAsia" w:ascii="仿宋_GB2312" w:hAnsi="Calibri" w:eastAsia="仿宋_GB2312" w:cs="Times New Roman"/>
          <w:snapToGrid/>
          <w:color w:val="000000"/>
          <w:kern w:val="2"/>
          <w:sz w:val="32"/>
          <w:szCs w:val="32"/>
          <w:lang w:val="en-US" w:eastAsia="zh-CN" w:bidi="ar-SA"/>
        </w:rPr>
        <w:t>公司加派专职司索工2名，安全员1名，以确保起重作业开始前专职司索指挥工及安全员在场监督管理，严格管控排查安全隐患及保证作业安全</w:t>
      </w:r>
      <w:r>
        <w:rPr>
          <w:rStyle w:val="12"/>
          <w:rFonts w:hint="eastAsia" w:hAnsi="Calibri" w:cs="Times New Roman"/>
          <w:snapToGrid/>
          <w:color w:val="000000"/>
          <w:kern w:val="2"/>
          <w:sz w:val="32"/>
          <w:szCs w:val="32"/>
          <w:lang w:val="en-US" w:eastAsia="zh-CN" w:bidi="ar-SA"/>
        </w:rPr>
        <w:t>。</w:t>
      </w:r>
    </w:p>
    <w:p>
      <w:pPr>
        <w:pStyle w:val="6"/>
        <w:keepNext w:val="0"/>
        <w:keepLines w:val="0"/>
        <w:pageBreakBefore w:val="0"/>
        <w:widowControl/>
        <w:kinsoku w:val="0"/>
        <w:wordWrap/>
        <w:overflowPunct/>
        <w:topLinePunct w:val="0"/>
        <w:autoSpaceDE w:val="0"/>
        <w:autoSpaceDN w:val="0"/>
        <w:bidi w:val="0"/>
        <w:adjustRightInd w:val="0"/>
        <w:snapToGrid w:val="0"/>
        <w:spacing w:line="560" w:lineRule="exact"/>
        <w:ind w:left="0" w:leftChars="0" w:right="0" w:firstLine="640" w:firstLineChars="200"/>
        <w:jc w:val="both"/>
        <w:textAlignment w:val="baseline"/>
        <w:rPr>
          <w:rStyle w:val="12"/>
          <w:rFonts w:hint="eastAsia" w:ascii="仿宋_GB2312" w:hAnsi="Calibri" w:eastAsia="仿宋_GB2312" w:cs="Times New Roman"/>
          <w:snapToGrid/>
          <w:color w:val="000000"/>
          <w:kern w:val="2"/>
          <w:sz w:val="32"/>
          <w:szCs w:val="32"/>
          <w:lang w:val="en-US" w:eastAsia="zh-CN" w:bidi="ar-SA"/>
        </w:rPr>
      </w:pPr>
      <w:r>
        <w:rPr>
          <w:rStyle w:val="12"/>
          <w:rFonts w:hint="eastAsia" w:hAnsi="Calibri" w:cs="Times New Roman"/>
          <w:snapToGrid/>
          <w:color w:val="000000"/>
          <w:kern w:val="2"/>
          <w:sz w:val="32"/>
          <w:szCs w:val="32"/>
          <w:lang w:val="en-US" w:eastAsia="zh-CN" w:bidi="ar-SA"/>
        </w:rPr>
        <w:t>4、</w:t>
      </w:r>
      <w:r>
        <w:rPr>
          <w:rStyle w:val="12"/>
          <w:rFonts w:hint="eastAsia" w:ascii="仿宋_GB2312" w:hAnsi="Calibri" w:eastAsia="仿宋_GB2312" w:cs="Times New Roman"/>
          <w:snapToGrid/>
          <w:color w:val="000000"/>
          <w:kern w:val="2"/>
          <w:sz w:val="32"/>
          <w:szCs w:val="32"/>
          <w:lang w:val="en-US" w:eastAsia="zh-CN" w:bidi="ar-SA"/>
        </w:rPr>
        <w:t>严格按照要求制定型钢专项保养安全操作规程,并将起重作业安全规范以每日早班会的形式对作业人员进行交底。</w:t>
      </w:r>
    </w:p>
    <w:p>
      <w:pPr>
        <w:keepNext w:val="0"/>
        <w:keepLines w:val="0"/>
        <w:pageBreakBefore w:val="0"/>
        <w:widowControl w:val="0"/>
        <w:numPr>
          <w:ilvl w:val="0"/>
          <w:numId w:val="0"/>
        </w:numPr>
        <w:tabs>
          <w:tab w:val="center" w:pos="4153"/>
          <w:tab w:val="right" w:pos="8306"/>
        </w:tabs>
        <w:kinsoku/>
        <w:wordWrap/>
        <w:overflowPunct/>
        <w:topLinePunct w:val="0"/>
        <w:autoSpaceDE/>
        <w:autoSpaceDN/>
        <w:bidi w:val="0"/>
        <w:adjustRightInd/>
        <w:snapToGrid/>
        <w:spacing w:line="560" w:lineRule="exact"/>
        <w:ind w:left="0" w:leftChars="0" w:right="0" w:rightChars="0" w:firstLine="641" w:firstLineChars="200"/>
        <w:jc w:val="both"/>
        <w:textAlignment w:val="auto"/>
        <w:rPr>
          <w:rFonts w:hint="eastAsia" w:ascii="黑体" w:hAnsi="黑体" w:eastAsia="CESI楷体-GB2312" w:cs="黑体"/>
          <w:b/>
          <w:bCs/>
          <w:snapToGrid/>
          <w:kern w:val="2"/>
          <w:sz w:val="32"/>
          <w:szCs w:val="32"/>
          <w:lang w:val="en-US" w:eastAsia="zh-CN"/>
        </w:rPr>
      </w:pPr>
      <w:bookmarkStart w:id="0" w:name="OLE_LINK3"/>
      <w:r>
        <w:rPr>
          <w:rFonts w:hint="eastAsia" w:ascii="黑体" w:hAnsi="黑体" w:eastAsia="CESI楷体-GB2312" w:cs="黑体"/>
          <w:b/>
          <w:bCs/>
          <w:snapToGrid/>
          <w:kern w:val="2"/>
          <w:sz w:val="32"/>
          <w:szCs w:val="32"/>
          <w:lang w:val="en-US" w:eastAsia="zh-CN"/>
        </w:rPr>
        <w:t>（二）中国建筑第二工程局有限公司</w:t>
      </w:r>
    </w:p>
    <w:p>
      <w:pPr>
        <w:pStyle w:val="6"/>
        <w:keepNext w:val="0"/>
        <w:keepLines w:val="0"/>
        <w:pageBreakBefore w:val="0"/>
        <w:widowControl/>
        <w:kinsoku w:val="0"/>
        <w:wordWrap/>
        <w:overflowPunct/>
        <w:topLinePunct w:val="0"/>
        <w:autoSpaceDE w:val="0"/>
        <w:autoSpaceDN w:val="0"/>
        <w:bidi w:val="0"/>
        <w:adjustRightInd w:val="0"/>
        <w:snapToGrid w:val="0"/>
        <w:spacing w:line="560" w:lineRule="exact"/>
        <w:ind w:left="0" w:leftChars="0" w:right="0" w:firstLine="640" w:firstLineChars="200"/>
        <w:jc w:val="both"/>
        <w:textAlignment w:val="baseline"/>
        <w:rPr>
          <w:rStyle w:val="12"/>
          <w:rFonts w:hint="eastAsia" w:hAnsi="Calibri" w:cs="Times New Roman"/>
          <w:snapToGrid/>
          <w:color w:val="000000"/>
          <w:kern w:val="2"/>
          <w:sz w:val="32"/>
          <w:szCs w:val="32"/>
          <w:lang w:val="en-US" w:eastAsia="zh-CN" w:bidi="ar-SA"/>
        </w:rPr>
      </w:pPr>
      <w:r>
        <w:rPr>
          <w:rStyle w:val="12"/>
          <w:rFonts w:hint="eastAsia" w:hAnsi="Calibri" w:cs="Times New Roman"/>
          <w:snapToGrid/>
          <w:color w:val="000000"/>
          <w:kern w:val="2"/>
          <w:sz w:val="32"/>
          <w:szCs w:val="32"/>
          <w:lang w:val="en-US" w:eastAsia="zh-CN" w:bidi="ar-SA"/>
        </w:rPr>
        <w:t>1、</w:t>
      </w:r>
      <w:r>
        <w:rPr>
          <w:rStyle w:val="12"/>
          <w:rFonts w:hint="eastAsia" w:ascii="仿宋_GB2312" w:hAnsi="Calibri" w:eastAsia="仿宋_GB2312" w:cs="Times New Roman"/>
          <w:snapToGrid/>
          <w:color w:val="000000"/>
          <w:kern w:val="2"/>
          <w:sz w:val="32"/>
          <w:szCs w:val="32"/>
          <w:lang w:val="en-US" w:eastAsia="zh-CN" w:bidi="ar-SA"/>
        </w:rPr>
        <w:t>深刻吸取教训，全面梳理安全管理体系</w:t>
      </w:r>
      <w:r>
        <w:rPr>
          <w:rStyle w:val="12"/>
          <w:rFonts w:hint="eastAsia" w:hAnsi="Calibri" w:cs="Times New Roman"/>
          <w:snapToGrid/>
          <w:color w:val="000000"/>
          <w:kern w:val="2"/>
          <w:sz w:val="32"/>
          <w:szCs w:val="32"/>
          <w:lang w:val="en-US" w:eastAsia="zh-CN" w:bidi="ar-SA"/>
        </w:rPr>
        <w:t>。</w:t>
      </w:r>
      <w:r>
        <w:rPr>
          <w:rStyle w:val="12"/>
          <w:rFonts w:hint="eastAsia" w:ascii="仿宋_GB2312" w:hAnsi="Calibri" w:eastAsia="仿宋_GB2312" w:cs="Times New Roman"/>
          <w:snapToGrid/>
          <w:color w:val="000000"/>
          <w:kern w:val="2"/>
          <w:sz w:val="32"/>
          <w:szCs w:val="32"/>
          <w:lang w:val="en-US" w:eastAsia="zh-CN" w:bidi="ar-SA"/>
        </w:rPr>
        <w:t>深刻反思，统一安全思想提高政治站位、强化责任意识，压实责任考核、推进“法人管项目”，切实落实安全生产主体责任</w:t>
      </w:r>
      <w:r>
        <w:rPr>
          <w:rStyle w:val="12"/>
          <w:rFonts w:hint="eastAsia" w:hAnsi="Calibri" w:cs="Times New Roman"/>
          <w:snapToGrid/>
          <w:color w:val="000000"/>
          <w:kern w:val="2"/>
          <w:sz w:val="32"/>
          <w:szCs w:val="32"/>
          <w:lang w:val="en-US" w:eastAsia="zh-CN" w:bidi="ar-SA"/>
        </w:rPr>
        <w:t>。</w:t>
      </w:r>
    </w:p>
    <w:p>
      <w:pPr>
        <w:pStyle w:val="6"/>
        <w:keepNext w:val="0"/>
        <w:keepLines w:val="0"/>
        <w:pageBreakBefore w:val="0"/>
        <w:widowControl/>
        <w:kinsoku w:val="0"/>
        <w:wordWrap/>
        <w:overflowPunct/>
        <w:topLinePunct w:val="0"/>
        <w:autoSpaceDE w:val="0"/>
        <w:autoSpaceDN w:val="0"/>
        <w:bidi w:val="0"/>
        <w:adjustRightInd w:val="0"/>
        <w:snapToGrid w:val="0"/>
        <w:spacing w:line="560" w:lineRule="exact"/>
        <w:ind w:left="0" w:leftChars="0" w:right="0" w:firstLine="640" w:firstLineChars="200"/>
        <w:jc w:val="both"/>
        <w:textAlignment w:val="baseline"/>
        <w:rPr>
          <w:rStyle w:val="12"/>
          <w:rFonts w:hint="eastAsia" w:hAnsi="Calibri" w:cs="Times New Roman"/>
          <w:snapToGrid/>
          <w:color w:val="000000"/>
          <w:kern w:val="2"/>
          <w:sz w:val="32"/>
          <w:szCs w:val="32"/>
          <w:lang w:val="en-US" w:eastAsia="zh-CN" w:bidi="ar-SA"/>
        </w:rPr>
      </w:pPr>
      <w:r>
        <w:rPr>
          <w:rStyle w:val="12"/>
          <w:rFonts w:hint="eastAsia" w:hAnsi="Calibri" w:cs="Times New Roman"/>
          <w:snapToGrid/>
          <w:color w:val="000000"/>
          <w:kern w:val="2"/>
          <w:sz w:val="32"/>
          <w:szCs w:val="32"/>
          <w:lang w:val="en-US" w:eastAsia="zh-CN" w:bidi="ar-SA"/>
        </w:rPr>
        <w:t>2、</w:t>
      </w:r>
      <w:r>
        <w:rPr>
          <w:rStyle w:val="12"/>
          <w:rFonts w:hint="eastAsia" w:ascii="仿宋_GB2312" w:hAnsi="Calibri" w:eastAsia="仿宋_GB2312" w:cs="Times New Roman"/>
          <w:snapToGrid/>
          <w:color w:val="000000"/>
          <w:kern w:val="2"/>
          <w:sz w:val="32"/>
          <w:szCs w:val="32"/>
          <w:lang w:val="en-US" w:eastAsia="zh-CN" w:bidi="ar-SA"/>
        </w:rPr>
        <w:t>严格遵守行业规范，有序做好特种作业管理</w:t>
      </w:r>
      <w:r>
        <w:rPr>
          <w:rStyle w:val="12"/>
          <w:rFonts w:hint="eastAsia" w:hAnsi="Calibri" w:cs="Times New Roman"/>
          <w:snapToGrid/>
          <w:color w:val="000000"/>
          <w:kern w:val="2"/>
          <w:sz w:val="32"/>
          <w:szCs w:val="32"/>
          <w:lang w:val="en-US" w:eastAsia="zh-CN" w:bidi="ar-SA"/>
        </w:rPr>
        <w:t>。</w:t>
      </w:r>
      <w:r>
        <w:rPr>
          <w:rStyle w:val="12"/>
          <w:rFonts w:hint="eastAsia" w:ascii="仿宋_GB2312" w:hAnsi="Calibri" w:eastAsia="仿宋_GB2312" w:cs="Times New Roman"/>
          <w:snapToGrid/>
          <w:color w:val="000000"/>
          <w:kern w:val="2"/>
          <w:sz w:val="32"/>
          <w:szCs w:val="32"/>
          <w:lang w:val="en-US" w:eastAsia="zh-CN" w:bidi="ar-SA"/>
        </w:rPr>
        <w:t>严格筛选分包单位、加强对分包管理团队准入管理、严格审核特种作业人员操作资格、规范特种作业审批管理制度、加强作业人员职业健康管理</w:t>
      </w:r>
      <w:r>
        <w:rPr>
          <w:rStyle w:val="12"/>
          <w:rFonts w:hint="eastAsia" w:hAnsi="Calibri" w:cs="Times New Roman"/>
          <w:snapToGrid/>
          <w:color w:val="000000"/>
          <w:kern w:val="2"/>
          <w:sz w:val="32"/>
          <w:szCs w:val="32"/>
          <w:lang w:val="en-US" w:eastAsia="zh-CN" w:bidi="ar-SA"/>
        </w:rPr>
        <w:t>。</w:t>
      </w:r>
    </w:p>
    <w:p>
      <w:pPr>
        <w:pStyle w:val="6"/>
        <w:keepNext w:val="0"/>
        <w:keepLines w:val="0"/>
        <w:pageBreakBefore w:val="0"/>
        <w:widowControl/>
        <w:kinsoku w:val="0"/>
        <w:wordWrap/>
        <w:overflowPunct/>
        <w:topLinePunct w:val="0"/>
        <w:autoSpaceDE w:val="0"/>
        <w:autoSpaceDN w:val="0"/>
        <w:bidi w:val="0"/>
        <w:adjustRightInd w:val="0"/>
        <w:snapToGrid w:val="0"/>
        <w:spacing w:line="560" w:lineRule="exact"/>
        <w:ind w:left="0" w:leftChars="0" w:right="0" w:firstLine="640" w:firstLineChars="200"/>
        <w:jc w:val="both"/>
        <w:textAlignment w:val="baseline"/>
        <w:rPr>
          <w:rStyle w:val="12"/>
          <w:rFonts w:hint="eastAsia" w:ascii="仿宋_GB2312" w:hAnsi="Calibri" w:eastAsia="仿宋_GB2312" w:cs="Times New Roman"/>
          <w:snapToGrid/>
          <w:color w:val="000000"/>
          <w:kern w:val="2"/>
          <w:sz w:val="32"/>
          <w:szCs w:val="32"/>
          <w:lang w:val="en-US" w:eastAsia="zh-CN" w:bidi="ar-SA"/>
        </w:rPr>
      </w:pPr>
      <w:r>
        <w:rPr>
          <w:rStyle w:val="12"/>
          <w:rFonts w:hint="eastAsia" w:hAnsi="Calibri" w:cs="Times New Roman"/>
          <w:snapToGrid/>
          <w:color w:val="000000"/>
          <w:kern w:val="2"/>
          <w:sz w:val="32"/>
          <w:szCs w:val="32"/>
          <w:lang w:val="en-US" w:eastAsia="zh-CN" w:bidi="ar-SA"/>
        </w:rPr>
        <w:t>3、</w:t>
      </w:r>
      <w:r>
        <w:rPr>
          <w:rStyle w:val="12"/>
          <w:rFonts w:hint="eastAsia" w:ascii="仿宋_GB2312" w:hAnsi="Calibri" w:eastAsia="仿宋_GB2312" w:cs="Times New Roman"/>
          <w:snapToGrid/>
          <w:color w:val="000000"/>
          <w:kern w:val="2"/>
          <w:sz w:val="32"/>
          <w:szCs w:val="32"/>
          <w:lang w:val="en-US" w:eastAsia="zh-CN" w:bidi="ar-SA"/>
        </w:rPr>
        <w:t>落实规章制度，健全双重防控机制</w:t>
      </w:r>
      <w:r>
        <w:rPr>
          <w:rStyle w:val="12"/>
          <w:rFonts w:hint="eastAsia" w:hAnsi="Calibri" w:cs="Times New Roman"/>
          <w:snapToGrid/>
          <w:color w:val="000000"/>
          <w:kern w:val="2"/>
          <w:sz w:val="32"/>
          <w:szCs w:val="32"/>
          <w:lang w:val="en-US" w:eastAsia="zh-CN" w:bidi="ar-SA"/>
        </w:rPr>
        <w:t>。</w:t>
      </w:r>
      <w:r>
        <w:rPr>
          <w:rStyle w:val="12"/>
          <w:rFonts w:hint="eastAsia" w:ascii="仿宋_GB2312" w:hAnsi="Calibri" w:eastAsia="仿宋_GB2312" w:cs="Times New Roman"/>
          <w:snapToGrid/>
          <w:color w:val="000000"/>
          <w:kern w:val="2"/>
          <w:sz w:val="32"/>
          <w:szCs w:val="32"/>
          <w:lang w:val="en-US" w:eastAsia="zh-CN" w:bidi="ar-SA"/>
        </w:rPr>
        <w:t>完善生产安全重大隐患防控手段、“三严”措施开展安全专项行动、聚焦治理机械设备安全隐患、强化生产安全事故的防范机制和应急处置、持续改进和提升安全生产管理水平。</w:t>
      </w:r>
    </w:p>
    <w:bookmarkEnd w:id="0"/>
    <w:p>
      <w:pPr>
        <w:keepNext w:val="0"/>
        <w:keepLines w:val="0"/>
        <w:pageBreakBefore w:val="0"/>
        <w:widowControl w:val="0"/>
        <w:numPr>
          <w:ilvl w:val="0"/>
          <w:numId w:val="0"/>
        </w:numPr>
        <w:tabs>
          <w:tab w:val="center" w:pos="4153"/>
          <w:tab w:val="right" w:pos="8306"/>
        </w:tabs>
        <w:kinsoku/>
        <w:wordWrap/>
        <w:overflowPunct/>
        <w:topLinePunct w:val="0"/>
        <w:autoSpaceDE/>
        <w:autoSpaceDN/>
        <w:bidi w:val="0"/>
        <w:adjustRightInd/>
        <w:snapToGrid/>
        <w:spacing w:line="560" w:lineRule="exact"/>
        <w:ind w:left="0" w:leftChars="0" w:right="0" w:rightChars="0" w:firstLine="641" w:firstLineChars="200"/>
        <w:jc w:val="both"/>
        <w:textAlignment w:val="auto"/>
        <w:rPr>
          <w:rFonts w:hint="eastAsia" w:ascii="黑体" w:hAnsi="黑体" w:eastAsia="CESI楷体-GB2312" w:cs="黑体"/>
          <w:b/>
          <w:bCs/>
          <w:snapToGrid/>
          <w:kern w:val="2"/>
          <w:sz w:val="32"/>
          <w:szCs w:val="32"/>
          <w:lang w:val="en-US" w:eastAsia="zh-CN"/>
        </w:rPr>
      </w:pPr>
      <w:r>
        <w:rPr>
          <w:rFonts w:hint="eastAsia" w:ascii="黑体" w:hAnsi="黑体" w:eastAsia="CESI楷体-GB2312" w:cs="黑体"/>
          <w:b/>
          <w:bCs/>
          <w:snapToGrid/>
          <w:kern w:val="2"/>
          <w:sz w:val="32"/>
          <w:szCs w:val="32"/>
          <w:lang w:val="en-US" w:eastAsia="zh-CN"/>
        </w:rPr>
        <w:t>（三）区建管委</w:t>
      </w:r>
    </w:p>
    <w:p>
      <w:pPr>
        <w:pStyle w:val="6"/>
        <w:keepNext w:val="0"/>
        <w:keepLines w:val="0"/>
        <w:pageBreakBefore w:val="0"/>
        <w:widowControl/>
        <w:kinsoku w:val="0"/>
        <w:wordWrap/>
        <w:overflowPunct/>
        <w:topLinePunct w:val="0"/>
        <w:autoSpaceDE w:val="0"/>
        <w:autoSpaceDN w:val="0"/>
        <w:bidi w:val="0"/>
        <w:adjustRightInd w:val="0"/>
        <w:snapToGrid w:val="0"/>
        <w:spacing w:line="560" w:lineRule="exact"/>
        <w:ind w:left="0" w:leftChars="0" w:right="0" w:firstLine="640" w:firstLineChars="200"/>
        <w:jc w:val="both"/>
        <w:textAlignment w:val="baseline"/>
        <w:rPr>
          <w:rStyle w:val="12"/>
          <w:rFonts w:hint="eastAsia" w:ascii="仿宋_GB2312" w:hAnsi="Calibri" w:eastAsia="仿宋_GB2312" w:cs="Times New Roman"/>
          <w:snapToGrid/>
          <w:color w:val="000000"/>
          <w:kern w:val="2"/>
          <w:sz w:val="32"/>
          <w:szCs w:val="32"/>
          <w:lang w:val="en-US" w:eastAsia="zh-CN" w:bidi="ar-SA"/>
        </w:rPr>
      </w:pPr>
      <w:r>
        <w:rPr>
          <w:rStyle w:val="12"/>
          <w:rFonts w:hint="eastAsia" w:ascii="仿宋_GB2312" w:hAnsi="Calibri" w:eastAsia="仿宋_GB2312" w:cs="Times New Roman"/>
          <w:snapToGrid/>
          <w:color w:val="000000"/>
          <w:kern w:val="2"/>
          <w:sz w:val="32"/>
          <w:szCs w:val="32"/>
          <w:lang w:val="en-US" w:eastAsia="zh-CN" w:bidi="ar-SA"/>
        </w:rPr>
        <w:t>1、以强化危大工程监管为重点，根据工程风险等级明确重点监管对象实施差别化管理。进一步明确日常监管和专项监管重点，加大执法处罚监管力度，提升行业安全管理水平，杜绝重大事故，遏制一般事故发生。</w:t>
      </w:r>
    </w:p>
    <w:p>
      <w:pPr>
        <w:pStyle w:val="6"/>
        <w:keepNext w:val="0"/>
        <w:keepLines w:val="0"/>
        <w:pageBreakBefore w:val="0"/>
        <w:widowControl/>
        <w:kinsoku w:val="0"/>
        <w:wordWrap/>
        <w:overflowPunct/>
        <w:topLinePunct w:val="0"/>
        <w:autoSpaceDE w:val="0"/>
        <w:autoSpaceDN w:val="0"/>
        <w:bidi w:val="0"/>
        <w:adjustRightInd w:val="0"/>
        <w:snapToGrid w:val="0"/>
        <w:spacing w:line="560" w:lineRule="exact"/>
        <w:ind w:left="0" w:leftChars="0" w:right="0" w:firstLine="640" w:firstLineChars="200"/>
        <w:jc w:val="both"/>
        <w:textAlignment w:val="baseline"/>
        <w:rPr>
          <w:rStyle w:val="12"/>
          <w:rFonts w:hint="eastAsia" w:hAnsi="Calibri" w:cs="Times New Roman"/>
          <w:snapToGrid/>
          <w:color w:val="000000"/>
          <w:kern w:val="2"/>
          <w:sz w:val="32"/>
          <w:szCs w:val="32"/>
          <w:lang w:val="en-US" w:eastAsia="zh-CN" w:bidi="ar-SA"/>
        </w:rPr>
      </w:pPr>
      <w:r>
        <w:rPr>
          <w:rStyle w:val="12"/>
          <w:rFonts w:hint="eastAsia" w:ascii="仿宋_GB2312" w:hAnsi="Calibri" w:eastAsia="仿宋_GB2312" w:cs="Times New Roman"/>
          <w:snapToGrid/>
          <w:color w:val="000000"/>
          <w:kern w:val="2"/>
          <w:sz w:val="32"/>
          <w:szCs w:val="32"/>
          <w:lang w:val="en-US" w:eastAsia="zh-CN" w:bidi="ar-SA"/>
        </w:rPr>
        <w:t>2、以安标工作为平台，安许证批后监管为主线，强化安标管理和复核，严控优良率</w:t>
      </w:r>
      <w:r>
        <w:rPr>
          <w:rStyle w:val="12"/>
          <w:rFonts w:hint="eastAsia" w:hAnsi="Calibri" w:cs="Times New Roman"/>
          <w:snapToGrid/>
          <w:color w:val="000000"/>
          <w:kern w:val="2"/>
          <w:sz w:val="32"/>
          <w:szCs w:val="32"/>
          <w:lang w:val="en-US" w:eastAsia="zh-CN" w:bidi="ar-SA"/>
        </w:rPr>
        <w:t>。</w:t>
      </w:r>
    </w:p>
    <w:p>
      <w:pPr>
        <w:pStyle w:val="6"/>
        <w:keepNext w:val="0"/>
        <w:keepLines w:val="0"/>
        <w:pageBreakBefore w:val="0"/>
        <w:widowControl/>
        <w:kinsoku w:val="0"/>
        <w:wordWrap/>
        <w:overflowPunct/>
        <w:topLinePunct w:val="0"/>
        <w:autoSpaceDE w:val="0"/>
        <w:autoSpaceDN w:val="0"/>
        <w:bidi w:val="0"/>
        <w:adjustRightInd w:val="0"/>
        <w:snapToGrid w:val="0"/>
        <w:spacing w:line="560" w:lineRule="exact"/>
        <w:ind w:left="0" w:leftChars="0" w:right="0" w:firstLine="640" w:firstLineChars="200"/>
        <w:jc w:val="both"/>
        <w:textAlignment w:val="baseline"/>
        <w:rPr>
          <w:rStyle w:val="12"/>
          <w:rFonts w:hint="eastAsia" w:ascii="仿宋_GB2312" w:hAnsi="Calibri" w:eastAsia="仿宋_GB2312" w:cs="Times New Roman"/>
          <w:snapToGrid/>
          <w:color w:val="000000"/>
          <w:kern w:val="2"/>
          <w:sz w:val="32"/>
          <w:szCs w:val="32"/>
          <w:lang w:val="en-US" w:eastAsia="zh-CN" w:bidi="ar-SA"/>
        </w:rPr>
      </w:pPr>
      <w:r>
        <w:rPr>
          <w:rStyle w:val="12"/>
          <w:rFonts w:hint="eastAsia" w:hAnsi="Calibri" w:cs="Times New Roman"/>
          <w:snapToGrid/>
          <w:color w:val="000000"/>
          <w:kern w:val="2"/>
          <w:sz w:val="32"/>
          <w:szCs w:val="32"/>
          <w:lang w:val="en-US" w:eastAsia="zh-CN" w:bidi="ar-SA"/>
        </w:rPr>
        <w:t>3、</w:t>
      </w:r>
      <w:r>
        <w:rPr>
          <w:rStyle w:val="12"/>
          <w:rFonts w:hint="eastAsia" w:ascii="仿宋_GB2312" w:hAnsi="Calibri" w:eastAsia="仿宋_GB2312" w:cs="Times New Roman"/>
          <w:snapToGrid/>
          <w:color w:val="000000"/>
          <w:kern w:val="2"/>
          <w:sz w:val="32"/>
          <w:szCs w:val="32"/>
          <w:lang w:val="en-US" w:eastAsia="zh-CN" w:bidi="ar-SA"/>
        </w:rPr>
        <w:t>加强专项监管工作针对性，突出装配式工程、大型机械、预防高处坠落事故、冬春火灾防护等危大工程及事故多发危险点的专项检查，同时指导街镇对属地建设项目全覆盖检查，做到以点带面，进一步落实参建各方主体责任。</w:t>
      </w:r>
    </w:p>
    <w:p>
      <w:pPr>
        <w:keepNext w:val="0"/>
        <w:keepLines w:val="0"/>
        <w:pageBreakBefore w:val="0"/>
        <w:widowControl w:val="0"/>
        <w:numPr>
          <w:ilvl w:val="0"/>
          <w:numId w:val="0"/>
        </w:numPr>
        <w:tabs>
          <w:tab w:val="center" w:pos="4153"/>
          <w:tab w:val="right" w:pos="8306"/>
        </w:tabs>
        <w:kinsoku/>
        <w:wordWrap/>
        <w:overflowPunct/>
        <w:topLinePunct w:val="0"/>
        <w:autoSpaceDE/>
        <w:autoSpaceDN/>
        <w:bidi w:val="0"/>
        <w:adjustRightInd/>
        <w:snapToGrid/>
        <w:spacing w:line="560" w:lineRule="exact"/>
        <w:ind w:left="0" w:leftChars="0" w:right="0" w:rightChars="0" w:firstLine="641" w:firstLineChars="200"/>
        <w:jc w:val="both"/>
        <w:textAlignment w:val="auto"/>
        <w:rPr>
          <w:rFonts w:hint="eastAsia" w:ascii="黑体" w:hAnsi="黑体" w:eastAsia="CESI楷体-GB2312" w:cs="黑体"/>
          <w:b/>
          <w:bCs/>
          <w:snapToGrid/>
          <w:kern w:val="2"/>
          <w:sz w:val="32"/>
          <w:szCs w:val="32"/>
          <w:lang w:val="en-US" w:eastAsia="zh-CN"/>
        </w:rPr>
      </w:pPr>
      <w:r>
        <w:rPr>
          <w:rFonts w:hint="eastAsia" w:ascii="黑体" w:hAnsi="黑体" w:eastAsia="CESI楷体-GB2312" w:cs="黑体"/>
          <w:b/>
          <w:bCs/>
          <w:snapToGrid/>
          <w:kern w:val="2"/>
          <w:sz w:val="32"/>
          <w:szCs w:val="32"/>
          <w:lang w:val="en-US" w:eastAsia="zh-CN"/>
        </w:rPr>
        <w:t>（四）朱家角镇人民政府</w:t>
      </w:r>
    </w:p>
    <w:p>
      <w:pPr>
        <w:pStyle w:val="6"/>
        <w:keepNext w:val="0"/>
        <w:keepLines w:val="0"/>
        <w:pageBreakBefore w:val="0"/>
        <w:widowControl/>
        <w:kinsoku w:val="0"/>
        <w:wordWrap/>
        <w:overflowPunct/>
        <w:topLinePunct w:val="0"/>
        <w:autoSpaceDE w:val="0"/>
        <w:autoSpaceDN w:val="0"/>
        <w:bidi w:val="0"/>
        <w:adjustRightInd w:val="0"/>
        <w:snapToGrid w:val="0"/>
        <w:spacing w:line="560" w:lineRule="exact"/>
        <w:ind w:left="0" w:leftChars="0" w:right="0" w:firstLine="640" w:firstLineChars="200"/>
        <w:jc w:val="both"/>
        <w:textAlignment w:val="baseline"/>
        <w:rPr>
          <w:rStyle w:val="12"/>
          <w:rFonts w:hint="eastAsia" w:ascii="仿宋_GB2312" w:hAnsi="Calibri" w:eastAsia="仿宋_GB2312" w:cs="Times New Roman"/>
          <w:snapToGrid/>
          <w:color w:val="000000"/>
          <w:kern w:val="2"/>
          <w:sz w:val="32"/>
          <w:szCs w:val="32"/>
          <w:lang w:val="en-US" w:eastAsia="zh-CN" w:bidi="ar-SA"/>
        </w:rPr>
      </w:pPr>
      <w:r>
        <w:rPr>
          <w:rStyle w:val="12"/>
          <w:rFonts w:hint="eastAsia" w:hAnsi="Calibri" w:cs="Times New Roman"/>
          <w:snapToGrid/>
          <w:color w:val="000000"/>
          <w:kern w:val="2"/>
          <w:sz w:val="32"/>
          <w:szCs w:val="32"/>
          <w:lang w:val="en-US" w:eastAsia="zh-CN" w:bidi="ar-SA"/>
        </w:rPr>
        <w:t>1、</w:t>
      </w:r>
      <w:r>
        <w:rPr>
          <w:rStyle w:val="12"/>
          <w:rFonts w:hint="eastAsia" w:ascii="仿宋_GB2312" w:hAnsi="Calibri" w:eastAsia="仿宋_GB2312" w:cs="Times New Roman"/>
          <w:snapToGrid/>
          <w:color w:val="000000"/>
          <w:kern w:val="2"/>
          <w:sz w:val="32"/>
          <w:szCs w:val="32"/>
          <w:lang w:val="en-US" w:eastAsia="zh-CN" w:bidi="ar-SA"/>
        </w:rPr>
        <w:t>深刻调查分析，严格落实监管</w:t>
      </w:r>
      <w:r>
        <w:rPr>
          <w:rStyle w:val="12"/>
          <w:rFonts w:hint="eastAsia" w:hAnsi="Calibri" w:cs="Times New Roman"/>
          <w:snapToGrid/>
          <w:color w:val="000000"/>
          <w:kern w:val="2"/>
          <w:sz w:val="32"/>
          <w:szCs w:val="32"/>
          <w:lang w:val="en-US" w:eastAsia="zh-CN" w:bidi="ar-SA"/>
        </w:rPr>
        <w:t>。朱家角</w:t>
      </w:r>
      <w:r>
        <w:rPr>
          <w:rStyle w:val="12"/>
          <w:rFonts w:hint="eastAsia" w:ascii="仿宋_GB2312" w:hAnsi="Calibri" w:eastAsia="仿宋_GB2312" w:cs="Times New Roman"/>
          <w:snapToGrid/>
          <w:color w:val="000000"/>
          <w:kern w:val="2"/>
          <w:sz w:val="32"/>
          <w:szCs w:val="32"/>
          <w:lang w:val="en-US" w:eastAsia="zh-CN" w:bidi="ar-SA"/>
        </w:rPr>
        <w:t>镇高度重视，对事故发生的原因进行了分析调查，对整改落实情况严格进行跟踪监管，监管过程中发现的问题及时向事故单位反馈，并提出工作要求。针对事故反映出的安全生产薄弱环节，要求抓好关键岗位到岗履职，严格履行建设程序。重点加强项目施工过程管理，严格按照工程设计图纸和施工技术标准施工，对易导致伤亡的起重机械、吊装工程、高空作业等，加强安全生产教育和技术交底，确保各项安全保障措施到位。</w:t>
      </w:r>
    </w:p>
    <w:p>
      <w:pPr>
        <w:pStyle w:val="6"/>
        <w:keepNext w:val="0"/>
        <w:keepLines w:val="0"/>
        <w:pageBreakBefore w:val="0"/>
        <w:widowControl/>
        <w:kinsoku w:val="0"/>
        <w:wordWrap/>
        <w:overflowPunct/>
        <w:topLinePunct w:val="0"/>
        <w:autoSpaceDE w:val="0"/>
        <w:autoSpaceDN w:val="0"/>
        <w:bidi w:val="0"/>
        <w:adjustRightInd w:val="0"/>
        <w:snapToGrid w:val="0"/>
        <w:spacing w:line="560" w:lineRule="exact"/>
        <w:ind w:left="0" w:leftChars="0" w:right="0" w:firstLine="640" w:firstLineChars="200"/>
        <w:jc w:val="both"/>
        <w:textAlignment w:val="baseline"/>
        <w:rPr>
          <w:rStyle w:val="12"/>
          <w:rFonts w:hint="eastAsia" w:ascii="仿宋_GB2312" w:hAnsi="Calibri" w:eastAsia="仿宋_GB2312" w:cs="Times New Roman"/>
          <w:snapToGrid/>
          <w:color w:val="000000"/>
          <w:kern w:val="2"/>
          <w:sz w:val="32"/>
          <w:szCs w:val="32"/>
          <w:lang w:val="en-US" w:eastAsia="zh-CN" w:bidi="ar-SA"/>
        </w:rPr>
      </w:pPr>
      <w:r>
        <w:rPr>
          <w:rStyle w:val="12"/>
          <w:rFonts w:hint="eastAsia" w:hAnsi="Calibri" w:cs="Times New Roman"/>
          <w:snapToGrid/>
          <w:color w:val="000000"/>
          <w:kern w:val="2"/>
          <w:sz w:val="32"/>
          <w:szCs w:val="32"/>
          <w:lang w:val="en-US" w:eastAsia="zh-CN" w:bidi="ar-SA"/>
        </w:rPr>
        <w:t>2、</w:t>
      </w:r>
      <w:r>
        <w:rPr>
          <w:rStyle w:val="12"/>
          <w:rFonts w:hint="eastAsia" w:ascii="仿宋_GB2312" w:hAnsi="Calibri" w:eastAsia="仿宋_GB2312" w:cs="Times New Roman"/>
          <w:snapToGrid/>
          <w:color w:val="000000"/>
          <w:kern w:val="2"/>
          <w:sz w:val="32"/>
          <w:szCs w:val="32"/>
          <w:lang w:val="en-US" w:eastAsia="zh-CN" w:bidi="ar-SA"/>
        </w:rPr>
        <w:t>全面排查整治，形成监管合力</w:t>
      </w:r>
      <w:r>
        <w:rPr>
          <w:rStyle w:val="12"/>
          <w:rFonts w:hint="eastAsia" w:hAnsi="Calibri" w:cs="Times New Roman"/>
          <w:snapToGrid/>
          <w:color w:val="000000"/>
          <w:kern w:val="2"/>
          <w:sz w:val="32"/>
          <w:szCs w:val="32"/>
          <w:lang w:val="en-US" w:eastAsia="zh-CN" w:bidi="ar-SA"/>
        </w:rPr>
        <w:t>。</w:t>
      </w:r>
      <w:r>
        <w:rPr>
          <w:rStyle w:val="12"/>
          <w:rFonts w:hint="eastAsia" w:ascii="仿宋_GB2312" w:hAnsi="Calibri" w:eastAsia="仿宋_GB2312" w:cs="Times New Roman"/>
          <w:snapToGrid/>
          <w:color w:val="000000"/>
          <w:kern w:val="2"/>
          <w:sz w:val="32"/>
          <w:szCs w:val="32"/>
          <w:lang w:val="en-US" w:eastAsia="zh-CN" w:bidi="ar-SA"/>
        </w:rPr>
        <w:t>为进一步规范建设工程监督管理程序，消除管理盲区，形成条块结合、上下联动的监管合力，结合常态化安全风险防范工作，重点开展了建筑工地领域隐患排查整治。组织属地村居、相关职能部门做好辖区内工程排摸和巡查，督促各参建单位落实安全主体责任。</w:t>
      </w:r>
    </w:p>
    <w:p>
      <w:pPr>
        <w:pStyle w:val="6"/>
        <w:keepNext w:val="0"/>
        <w:keepLines w:val="0"/>
        <w:pageBreakBefore w:val="0"/>
        <w:widowControl/>
        <w:kinsoku w:val="0"/>
        <w:wordWrap/>
        <w:overflowPunct/>
        <w:topLinePunct w:val="0"/>
        <w:autoSpaceDE w:val="0"/>
        <w:autoSpaceDN w:val="0"/>
        <w:bidi w:val="0"/>
        <w:adjustRightInd w:val="0"/>
        <w:snapToGrid w:val="0"/>
        <w:spacing w:line="560" w:lineRule="exact"/>
        <w:ind w:left="0" w:leftChars="0" w:right="0" w:firstLine="640" w:firstLineChars="200"/>
        <w:jc w:val="both"/>
        <w:textAlignment w:val="baseline"/>
        <w:rPr>
          <w:rStyle w:val="12"/>
          <w:rFonts w:hint="eastAsia" w:ascii="仿宋_GB2312" w:hAnsi="Calibri" w:eastAsia="仿宋_GB2312" w:cs="Times New Roman"/>
          <w:snapToGrid/>
          <w:color w:val="000000"/>
          <w:kern w:val="2"/>
          <w:sz w:val="32"/>
          <w:szCs w:val="32"/>
          <w:lang w:val="en-US" w:eastAsia="zh-CN" w:bidi="ar-SA"/>
        </w:rPr>
      </w:pPr>
      <w:r>
        <w:rPr>
          <w:rStyle w:val="12"/>
          <w:rFonts w:hint="eastAsia" w:hAnsi="Calibri" w:cs="Times New Roman"/>
          <w:snapToGrid/>
          <w:color w:val="000000"/>
          <w:kern w:val="2"/>
          <w:sz w:val="32"/>
          <w:szCs w:val="32"/>
          <w:lang w:val="en-US" w:eastAsia="zh-CN" w:bidi="ar-SA"/>
        </w:rPr>
        <w:t>3、</w:t>
      </w:r>
      <w:r>
        <w:rPr>
          <w:rStyle w:val="12"/>
          <w:rFonts w:hint="eastAsia" w:ascii="仿宋_GB2312" w:hAnsi="Calibri" w:eastAsia="仿宋_GB2312" w:cs="Times New Roman"/>
          <w:snapToGrid/>
          <w:color w:val="000000"/>
          <w:kern w:val="2"/>
          <w:sz w:val="32"/>
          <w:szCs w:val="32"/>
          <w:lang w:val="en-US" w:eastAsia="zh-CN" w:bidi="ar-SA"/>
        </w:rPr>
        <w:t>广泛宣传引导，提升安全意识</w:t>
      </w:r>
      <w:r>
        <w:rPr>
          <w:rStyle w:val="12"/>
          <w:rFonts w:hint="eastAsia" w:hAnsi="Calibri" w:cs="Times New Roman"/>
          <w:snapToGrid/>
          <w:color w:val="000000"/>
          <w:kern w:val="2"/>
          <w:sz w:val="32"/>
          <w:szCs w:val="32"/>
          <w:lang w:val="en-US" w:eastAsia="zh-CN" w:bidi="ar-SA"/>
        </w:rPr>
        <w:t>。</w:t>
      </w:r>
      <w:r>
        <w:rPr>
          <w:rStyle w:val="12"/>
          <w:rFonts w:hint="eastAsia" w:ascii="仿宋_GB2312" w:hAnsi="Calibri" w:eastAsia="仿宋_GB2312" w:cs="Times New Roman"/>
          <w:snapToGrid/>
          <w:color w:val="000000"/>
          <w:kern w:val="2"/>
          <w:sz w:val="32"/>
          <w:szCs w:val="32"/>
          <w:lang w:val="en-US" w:eastAsia="zh-CN" w:bidi="ar-SA"/>
        </w:rPr>
        <w:t>在朱家角镇“纪法讲堂”廉政教育专题学习会上开展建设工程领域安全监管宣传培训，解读了《上海市建筑装饰装修工程管理实施办法》《青浦区限额以下小型建设工程管理办法》《朱家角镇建设项目管理办法》等文件，旨在以案促治、以案促改、以案促教，强化安全生产责任体系，全面提升隐患排查能力和应急处置水平。此外，多次召开建筑领域报批程序培训会，面向属地村居、园区重点企业逐一解释并明确了限额以上、以下建设工程及私房翻建的报批流程，强化事前预防理念，力求从源头管控好建设程序，堵上工程建设领域的监管盲区，把事故苗头消灭在萌芽状态。</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right="0" w:firstLine="640" w:firstLineChars="200"/>
        <w:jc w:val="both"/>
        <w:textAlignment w:val="auto"/>
        <w:rPr>
          <w:rFonts w:hint="eastAsia" w:ascii="黑体" w:hAnsi="黑体" w:eastAsia="黑体" w:cs="黑体"/>
          <w:snapToGrid/>
          <w:kern w:val="2"/>
          <w:sz w:val="32"/>
          <w:szCs w:val="32"/>
          <w:lang w:val="en-US" w:eastAsia="zh-CN"/>
        </w:rPr>
      </w:pPr>
      <w:r>
        <w:rPr>
          <w:rFonts w:hint="eastAsia" w:ascii="黑体" w:hAnsi="黑体" w:eastAsia="黑体" w:cs="黑体"/>
          <w:snapToGrid/>
          <w:kern w:val="2"/>
          <w:sz w:val="32"/>
          <w:szCs w:val="32"/>
          <w:lang w:val="en-US" w:eastAsia="zh-CN"/>
        </w:rPr>
        <w:t>评估结论</w:t>
      </w:r>
    </w:p>
    <w:p>
      <w:pPr>
        <w:pStyle w:val="6"/>
        <w:keepNext w:val="0"/>
        <w:keepLines w:val="0"/>
        <w:pageBreakBefore w:val="0"/>
        <w:widowControl/>
        <w:kinsoku w:val="0"/>
        <w:wordWrap/>
        <w:overflowPunct/>
        <w:topLinePunct w:val="0"/>
        <w:autoSpaceDE w:val="0"/>
        <w:autoSpaceDN w:val="0"/>
        <w:bidi w:val="0"/>
        <w:adjustRightInd w:val="0"/>
        <w:snapToGrid w:val="0"/>
        <w:spacing w:line="560" w:lineRule="exact"/>
        <w:ind w:left="0" w:leftChars="0" w:right="0" w:firstLine="640" w:firstLineChars="200"/>
        <w:jc w:val="both"/>
        <w:textAlignment w:val="baseline"/>
        <w:rPr>
          <w:rStyle w:val="12"/>
          <w:rFonts w:hint="eastAsia" w:ascii="仿宋_GB2312" w:hAnsi="Calibri" w:eastAsia="仿宋_GB2312" w:cs="Times New Roman"/>
          <w:snapToGrid/>
          <w:color w:val="000000"/>
          <w:kern w:val="2"/>
          <w:sz w:val="32"/>
          <w:szCs w:val="32"/>
          <w:lang w:val="en-US" w:eastAsia="zh-CN" w:bidi="ar-SA"/>
        </w:rPr>
      </w:pPr>
      <w:r>
        <w:rPr>
          <w:rStyle w:val="12"/>
          <w:rFonts w:hint="eastAsia" w:ascii="仿宋_GB2312" w:hAnsi="Calibri" w:eastAsia="仿宋_GB2312" w:cs="Times New Roman"/>
          <w:snapToGrid/>
          <w:color w:val="000000"/>
          <w:kern w:val="2"/>
          <w:sz w:val="32"/>
          <w:szCs w:val="32"/>
          <w:lang w:val="en-US" w:eastAsia="zh-CN" w:bidi="ar-SA"/>
        </w:rPr>
        <w:t>评估组按照事故调查报告及其批复要求，经资料审查、座谈问询、查阅文件、走访核查、专业评查，对该起事故处理、整改和防范措施落实情况进行综合评估后认为：</w:t>
      </w:r>
    </w:p>
    <w:p>
      <w:pPr>
        <w:keepNext w:val="0"/>
        <w:keepLines w:val="0"/>
        <w:pageBreakBefore w:val="0"/>
        <w:widowControl w:val="0"/>
        <w:kinsoku/>
        <w:wordWrap/>
        <w:overflowPunct/>
        <w:topLinePunct w:val="0"/>
        <w:autoSpaceDE/>
        <w:autoSpaceDN/>
        <w:bidi w:val="0"/>
        <w:adjustRightInd/>
        <w:snapToGrid/>
        <w:spacing w:line="560" w:lineRule="exact"/>
        <w:ind w:left="0" w:right="0" w:firstLine="640" w:firstLineChars="200"/>
        <w:jc w:val="both"/>
        <w:rPr>
          <w:rStyle w:val="12"/>
          <w:rFonts w:ascii="仿宋_GB2312" w:hAnsi="Calibri" w:eastAsia="仿宋_GB2312" w:cs="Times New Roman"/>
          <w:snapToGrid/>
          <w:kern w:val="2"/>
          <w:sz w:val="32"/>
          <w:szCs w:val="32"/>
          <w:lang w:eastAsia="zh-CN"/>
        </w:rPr>
      </w:pPr>
      <w:r>
        <w:rPr>
          <w:rStyle w:val="12"/>
          <w:rFonts w:hint="eastAsia" w:ascii="仿宋_GB2312" w:hAnsi="Calibri" w:eastAsia="仿宋_GB2312" w:cs="Times New Roman"/>
          <w:snapToGrid/>
          <w:kern w:val="2"/>
          <w:sz w:val="32"/>
          <w:szCs w:val="32"/>
          <w:lang w:eastAsia="zh-CN"/>
        </w:rPr>
        <w:t>（一）相关单位及人员已履行行政处罚决定；相关单位对该起事故责任人的处理已落实。</w:t>
      </w:r>
    </w:p>
    <w:p>
      <w:pPr>
        <w:keepNext w:val="0"/>
        <w:keepLines w:val="0"/>
        <w:pageBreakBefore w:val="0"/>
        <w:widowControl w:val="0"/>
        <w:kinsoku/>
        <w:wordWrap/>
        <w:overflowPunct/>
        <w:topLinePunct w:val="0"/>
        <w:autoSpaceDE/>
        <w:autoSpaceDN/>
        <w:bidi w:val="0"/>
        <w:adjustRightInd/>
        <w:snapToGrid/>
        <w:spacing w:line="560" w:lineRule="exact"/>
        <w:ind w:left="0" w:right="0" w:firstLine="640" w:firstLineChars="200"/>
        <w:jc w:val="both"/>
        <w:rPr>
          <w:rStyle w:val="12"/>
          <w:rFonts w:ascii="仿宋_GB2312" w:hAnsi="Calibri" w:eastAsia="仿宋_GB2312" w:cs="Times New Roman"/>
          <w:snapToGrid/>
          <w:kern w:val="2"/>
          <w:sz w:val="32"/>
          <w:szCs w:val="32"/>
          <w:lang w:eastAsia="zh-CN"/>
        </w:rPr>
      </w:pPr>
      <w:r>
        <w:rPr>
          <w:rStyle w:val="12"/>
          <w:rFonts w:hint="eastAsia" w:ascii="仿宋_GB2312" w:hAnsi="Calibri" w:eastAsia="仿宋_GB2312" w:cs="Times New Roman"/>
          <w:snapToGrid/>
          <w:kern w:val="2"/>
          <w:sz w:val="32"/>
          <w:szCs w:val="32"/>
          <w:lang w:eastAsia="zh-CN"/>
        </w:rPr>
        <w:t>（二）该起事故相关单位、属地政府及相关部门已实施事故 调查报告提出的整改和防范措施。</w:t>
      </w:r>
    </w:p>
    <w:p>
      <w:pPr>
        <w:pStyle w:val="6"/>
        <w:keepNext w:val="0"/>
        <w:keepLines w:val="0"/>
        <w:pageBreakBefore w:val="0"/>
        <w:widowControl/>
        <w:kinsoku w:val="0"/>
        <w:wordWrap/>
        <w:overflowPunct/>
        <w:topLinePunct w:val="0"/>
        <w:autoSpaceDE w:val="0"/>
        <w:autoSpaceDN w:val="0"/>
        <w:bidi w:val="0"/>
        <w:adjustRightInd w:val="0"/>
        <w:snapToGrid w:val="0"/>
        <w:spacing w:line="560" w:lineRule="exact"/>
        <w:ind w:left="0" w:leftChars="0" w:right="0" w:firstLine="640" w:firstLineChars="200"/>
        <w:jc w:val="both"/>
        <w:textAlignment w:val="baseline"/>
        <w:rPr>
          <w:rStyle w:val="12"/>
          <w:rFonts w:hint="eastAsia" w:ascii="仿宋_GB2312" w:hAnsi="Calibri" w:eastAsia="仿宋_GB2312" w:cs="Times New Roman"/>
          <w:snapToGrid/>
          <w:color w:val="000000"/>
          <w:kern w:val="2"/>
          <w:sz w:val="32"/>
          <w:szCs w:val="32"/>
          <w:lang w:val="en-US" w:eastAsia="zh-CN" w:bidi="ar-SA"/>
        </w:rPr>
      </w:pPr>
      <w:r>
        <w:rPr>
          <w:rStyle w:val="12"/>
          <w:rFonts w:hint="eastAsia" w:ascii="仿宋_GB2312" w:hAnsi="Calibri" w:eastAsia="仿宋_GB2312" w:cs="Times New Roman"/>
          <w:snapToGrid/>
          <w:kern w:val="2"/>
          <w:sz w:val="32"/>
          <w:szCs w:val="32"/>
          <w:lang w:eastAsia="zh-CN"/>
        </w:rPr>
        <w:t>综上，该起事故处理已全部落实，事故整改措施已全部落实。</w:t>
      </w:r>
      <w:r>
        <w:rPr>
          <w:rStyle w:val="12"/>
          <w:rFonts w:hint="eastAsia" w:ascii="仿宋_GB2312" w:hAnsi="Calibri" w:eastAsia="仿宋_GB2312" w:cs="Times New Roman"/>
          <w:snapToGrid/>
          <w:kern w:val="2"/>
          <w:sz w:val="32"/>
          <w:szCs w:val="32"/>
          <w:lang w:val="en-US" w:eastAsia="zh-CN"/>
        </w:rPr>
        <w:t xml:space="preserve">  </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right="0" w:firstLine="640" w:firstLineChars="200"/>
        <w:jc w:val="both"/>
        <w:textAlignment w:val="auto"/>
        <w:rPr>
          <w:rFonts w:hint="eastAsia" w:ascii="黑体" w:hAnsi="黑体" w:eastAsia="黑体" w:cs="黑体"/>
          <w:snapToGrid/>
          <w:kern w:val="2"/>
          <w:sz w:val="32"/>
          <w:szCs w:val="32"/>
          <w:lang w:val="en-US" w:eastAsia="zh-CN"/>
        </w:rPr>
      </w:pPr>
      <w:r>
        <w:rPr>
          <w:rFonts w:hint="eastAsia" w:ascii="黑体" w:hAnsi="黑体" w:eastAsia="黑体" w:cs="黑体"/>
          <w:snapToGrid/>
          <w:kern w:val="2"/>
          <w:sz w:val="32"/>
          <w:szCs w:val="32"/>
          <w:lang w:val="en-US" w:eastAsia="zh-CN"/>
        </w:rPr>
        <w:t>工作建议</w:t>
      </w:r>
    </w:p>
    <w:p>
      <w:pPr>
        <w:pStyle w:val="6"/>
        <w:keepNext w:val="0"/>
        <w:keepLines w:val="0"/>
        <w:pageBreakBefore w:val="0"/>
        <w:widowControl/>
        <w:kinsoku w:val="0"/>
        <w:wordWrap/>
        <w:overflowPunct/>
        <w:topLinePunct w:val="0"/>
        <w:autoSpaceDE w:val="0"/>
        <w:autoSpaceDN w:val="0"/>
        <w:bidi w:val="0"/>
        <w:adjustRightInd w:val="0"/>
        <w:snapToGrid w:val="0"/>
        <w:spacing w:line="560" w:lineRule="exact"/>
        <w:ind w:left="0" w:leftChars="0" w:right="0" w:firstLine="640" w:firstLineChars="200"/>
        <w:jc w:val="both"/>
        <w:textAlignment w:val="baseline"/>
        <w:rPr>
          <w:rStyle w:val="12"/>
          <w:rFonts w:hint="eastAsia" w:ascii="仿宋_GB2312" w:hAnsi="Calibri" w:eastAsia="仿宋_GB2312" w:cs="Times New Roman"/>
          <w:snapToGrid/>
          <w:kern w:val="2"/>
          <w:sz w:val="32"/>
          <w:szCs w:val="32"/>
          <w:lang w:eastAsia="zh-CN"/>
        </w:rPr>
      </w:pPr>
      <w:bookmarkStart w:id="1" w:name="_Hlk179897897"/>
      <w:r>
        <w:rPr>
          <w:rStyle w:val="12"/>
          <w:rFonts w:hint="eastAsia" w:ascii="仿宋_GB2312" w:hAnsi="Calibri" w:eastAsia="仿宋_GB2312" w:cs="Times New Roman"/>
          <w:snapToGrid/>
          <w:kern w:val="2"/>
          <w:sz w:val="32"/>
          <w:szCs w:val="32"/>
          <w:lang w:eastAsia="zh-CN"/>
        </w:rPr>
        <w:t>（一）建议上海天喜建设工程有限公司、</w:t>
      </w:r>
      <w:bookmarkStart w:id="2" w:name="OLE_LINK1"/>
      <w:r>
        <w:rPr>
          <w:rStyle w:val="12"/>
          <w:rFonts w:hint="eastAsia" w:ascii="仿宋_GB2312" w:hAnsi="Calibri" w:eastAsia="仿宋_GB2312" w:cs="Times New Roman"/>
          <w:snapToGrid/>
          <w:kern w:val="2"/>
          <w:sz w:val="32"/>
          <w:szCs w:val="32"/>
          <w:lang w:eastAsia="zh-CN"/>
        </w:rPr>
        <w:t>中国建筑第二工程局有限公司</w:t>
      </w:r>
      <w:bookmarkEnd w:id="2"/>
      <w:r>
        <w:rPr>
          <w:rStyle w:val="12"/>
          <w:rFonts w:hint="eastAsia" w:ascii="仿宋_GB2312" w:hAnsi="Calibri" w:eastAsia="仿宋_GB2312" w:cs="Times New Roman"/>
          <w:snapToGrid/>
          <w:kern w:val="2"/>
          <w:sz w:val="32"/>
          <w:szCs w:val="32"/>
          <w:lang w:eastAsia="zh-CN"/>
        </w:rPr>
        <w:t>继续严格落实安全生产责任制，并定期进行安全生产责任制和责任目标的考核。切实做好作业人员的安全培训教育工作，加强现场安全管理工作。</w:t>
      </w:r>
    </w:p>
    <w:p>
      <w:pPr>
        <w:pStyle w:val="6"/>
        <w:keepNext w:val="0"/>
        <w:keepLines w:val="0"/>
        <w:pageBreakBefore w:val="0"/>
        <w:widowControl/>
        <w:kinsoku w:val="0"/>
        <w:wordWrap/>
        <w:overflowPunct/>
        <w:topLinePunct w:val="0"/>
        <w:autoSpaceDE w:val="0"/>
        <w:autoSpaceDN w:val="0"/>
        <w:bidi w:val="0"/>
        <w:adjustRightInd w:val="0"/>
        <w:snapToGrid w:val="0"/>
        <w:spacing w:line="560" w:lineRule="exact"/>
        <w:ind w:left="0" w:leftChars="0" w:right="0" w:firstLine="640" w:firstLineChars="200"/>
        <w:jc w:val="both"/>
        <w:textAlignment w:val="baseline"/>
        <w:rPr>
          <w:rStyle w:val="12"/>
          <w:rFonts w:hint="eastAsia" w:ascii="仿宋_GB2312" w:hAnsi="Calibri" w:eastAsia="仿宋_GB2312" w:cs="Times New Roman"/>
          <w:snapToGrid/>
          <w:kern w:val="2"/>
          <w:sz w:val="32"/>
          <w:szCs w:val="32"/>
          <w:lang w:eastAsia="zh-CN"/>
        </w:rPr>
      </w:pPr>
      <w:r>
        <w:rPr>
          <w:rStyle w:val="12"/>
          <w:rFonts w:hint="eastAsia" w:ascii="仿宋_GB2312" w:hAnsi="Calibri" w:eastAsia="仿宋_GB2312" w:cs="Times New Roman"/>
          <w:snapToGrid/>
          <w:kern w:val="2"/>
          <w:sz w:val="32"/>
          <w:szCs w:val="32"/>
          <w:lang w:eastAsia="zh-CN"/>
        </w:rPr>
        <w:t>（二）建议上海天喜建设工程有限公司、中国建筑第二工程局有限公司加强劳务</w:t>
      </w:r>
      <w:r>
        <w:rPr>
          <w:rStyle w:val="12"/>
          <w:rFonts w:hint="eastAsia" w:hAnsi="Calibri" w:cs="Times New Roman"/>
          <w:snapToGrid/>
          <w:kern w:val="2"/>
          <w:sz w:val="32"/>
          <w:szCs w:val="32"/>
          <w:lang w:eastAsia="zh-CN"/>
        </w:rPr>
        <w:t>公司</w:t>
      </w:r>
      <w:r>
        <w:rPr>
          <w:rStyle w:val="12"/>
          <w:rFonts w:hint="eastAsia" w:ascii="仿宋_GB2312" w:hAnsi="Calibri" w:eastAsia="仿宋_GB2312" w:cs="Times New Roman"/>
          <w:snapToGrid/>
          <w:kern w:val="2"/>
          <w:sz w:val="32"/>
          <w:szCs w:val="32"/>
          <w:lang w:eastAsia="zh-CN"/>
        </w:rPr>
        <w:t>安全管理，严格执行劳务</w:t>
      </w:r>
      <w:r>
        <w:rPr>
          <w:rStyle w:val="12"/>
          <w:rFonts w:hint="eastAsia" w:hAnsi="Calibri" w:cs="Times New Roman"/>
          <w:snapToGrid/>
          <w:kern w:val="2"/>
          <w:sz w:val="32"/>
          <w:szCs w:val="32"/>
          <w:lang w:eastAsia="zh-CN"/>
        </w:rPr>
        <w:t>公司</w:t>
      </w:r>
      <w:r>
        <w:rPr>
          <w:rStyle w:val="12"/>
          <w:rFonts w:hint="eastAsia" w:ascii="仿宋_GB2312" w:hAnsi="Calibri" w:eastAsia="仿宋_GB2312" w:cs="Times New Roman"/>
          <w:snapToGrid/>
          <w:kern w:val="2"/>
          <w:sz w:val="32"/>
          <w:szCs w:val="32"/>
          <w:lang w:eastAsia="zh-CN"/>
        </w:rPr>
        <w:t>入厂教育培训规定，定期回顾各部门相关劳务</w:t>
      </w:r>
      <w:r>
        <w:rPr>
          <w:rStyle w:val="12"/>
          <w:rFonts w:hint="eastAsia" w:hAnsi="Calibri" w:cs="Times New Roman"/>
          <w:snapToGrid/>
          <w:kern w:val="2"/>
          <w:sz w:val="32"/>
          <w:szCs w:val="32"/>
          <w:lang w:eastAsia="zh-CN"/>
        </w:rPr>
        <w:t>公司</w:t>
      </w:r>
      <w:r>
        <w:rPr>
          <w:rStyle w:val="12"/>
          <w:rFonts w:hint="eastAsia" w:ascii="仿宋_GB2312" w:hAnsi="Calibri" w:eastAsia="仿宋_GB2312" w:cs="Times New Roman"/>
          <w:snapToGrid/>
          <w:kern w:val="2"/>
          <w:sz w:val="32"/>
          <w:szCs w:val="32"/>
          <w:lang w:eastAsia="zh-CN"/>
        </w:rPr>
        <w:t>安全表现业绩；严格落实劳务</w:t>
      </w:r>
      <w:r>
        <w:rPr>
          <w:rStyle w:val="12"/>
          <w:rFonts w:hint="eastAsia" w:hAnsi="Calibri" w:cs="Times New Roman"/>
          <w:snapToGrid/>
          <w:kern w:val="2"/>
          <w:sz w:val="32"/>
          <w:szCs w:val="32"/>
          <w:lang w:eastAsia="zh-CN"/>
        </w:rPr>
        <w:t>公司</w:t>
      </w:r>
      <w:r>
        <w:rPr>
          <w:rStyle w:val="12"/>
          <w:rFonts w:hint="eastAsia" w:ascii="仿宋_GB2312" w:hAnsi="Calibri" w:eastAsia="仿宋_GB2312" w:cs="Times New Roman"/>
          <w:snapToGrid/>
          <w:kern w:val="2"/>
          <w:sz w:val="32"/>
          <w:szCs w:val="32"/>
          <w:lang w:eastAsia="zh-CN"/>
        </w:rPr>
        <w:t>现场作业安全责任，优化现场监督管理。</w:t>
      </w:r>
    </w:p>
    <w:p>
      <w:pPr>
        <w:pStyle w:val="6"/>
        <w:keepNext w:val="0"/>
        <w:keepLines w:val="0"/>
        <w:pageBreakBefore w:val="0"/>
        <w:widowControl/>
        <w:kinsoku w:val="0"/>
        <w:wordWrap/>
        <w:overflowPunct/>
        <w:topLinePunct w:val="0"/>
        <w:autoSpaceDE w:val="0"/>
        <w:autoSpaceDN w:val="0"/>
        <w:bidi w:val="0"/>
        <w:adjustRightInd w:val="0"/>
        <w:snapToGrid w:val="0"/>
        <w:spacing w:line="560" w:lineRule="exact"/>
        <w:ind w:left="0" w:leftChars="0" w:right="0" w:firstLine="640" w:firstLineChars="200"/>
        <w:jc w:val="both"/>
        <w:textAlignment w:val="baseline"/>
        <w:rPr>
          <w:rStyle w:val="12"/>
          <w:rFonts w:hint="eastAsia" w:ascii="仿宋_GB2312" w:hAnsi="Calibri" w:eastAsia="仿宋_GB2312" w:cs="Times New Roman"/>
          <w:snapToGrid/>
          <w:kern w:val="2"/>
          <w:sz w:val="32"/>
          <w:szCs w:val="32"/>
          <w:lang w:eastAsia="zh-CN"/>
        </w:rPr>
      </w:pPr>
      <w:r>
        <w:rPr>
          <w:rStyle w:val="12"/>
          <w:rFonts w:hint="eastAsia" w:ascii="仿宋_GB2312" w:hAnsi="Calibri" w:eastAsia="仿宋_GB2312" w:cs="Times New Roman"/>
          <w:snapToGrid/>
          <w:kern w:val="2"/>
          <w:sz w:val="32"/>
          <w:szCs w:val="32"/>
          <w:lang w:eastAsia="zh-CN"/>
        </w:rPr>
        <w:t>（三）建议上海天喜建设工程有限公司、中国建筑第二工程局有限公司继续加强作业过程中的安全检查、巡查，贯彻落实隐患排查治理制度，及时发现并消除事故隐患，及时发现并制止作业过程中的动态安全隐患，早发现早预防。切实做好施工人员安全培训工作，不断提高人员的安全意识和制止不安全行为的发生，确保施工过程安全可靠，谨防事故发生。</w:t>
      </w:r>
    </w:p>
    <w:bookmarkEnd w:id="1"/>
    <w:p>
      <w:pPr>
        <w:pStyle w:val="6"/>
        <w:spacing w:before="141" w:line="311" w:lineRule="auto"/>
        <w:jc w:val="both"/>
        <w:rPr>
          <w:rFonts w:hint="eastAsia" w:asciiTheme="minorEastAsia" w:hAnsiTheme="minorEastAsia" w:eastAsiaTheme="minorEastAsia"/>
          <w:spacing w:val="5"/>
          <w:sz w:val="32"/>
          <w:szCs w:val="32"/>
          <w:lang w:eastAsia="zh-CN"/>
        </w:rPr>
      </w:pPr>
      <w:bookmarkStart w:id="3" w:name="_GoBack"/>
      <w:bookmarkEnd w:id="3"/>
    </w:p>
    <w:p>
      <w:pPr>
        <w:widowControl w:val="0"/>
        <w:kinsoku/>
        <w:autoSpaceDE/>
        <w:autoSpaceDN/>
        <w:adjustRightInd/>
        <w:snapToGrid/>
        <w:spacing w:line="560" w:lineRule="exact"/>
        <w:ind w:firstLine="640" w:firstLineChars="200"/>
        <w:jc w:val="right"/>
        <w:rPr>
          <w:rStyle w:val="12"/>
          <w:rFonts w:hint="eastAsia" w:ascii="仿宋_GB2312" w:hAnsi="Calibri" w:eastAsia="仿宋_GB2312" w:cs="Times New Roman"/>
          <w:snapToGrid/>
          <w:kern w:val="2"/>
          <w:sz w:val="32"/>
          <w:szCs w:val="32"/>
          <w:lang w:eastAsia="zh-CN"/>
        </w:rPr>
      </w:pPr>
      <w:r>
        <w:rPr>
          <w:rStyle w:val="12"/>
          <w:rFonts w:hint="eastAsia" w:ascii="仿宋_GB2312" w:hAnsi="Calibri" w:eastAsia="仿宋_GB2312" w:cs="Times New Roman"/>
          <w:snapToGrid/>
          <w:kern w:val="2"/>
          <w:sz w:val="32"/>
          <w:szCs w:val="32"/>
          <w:lang w:eastAsia="zh-CN"/>
        </w:rPr>
        <w:t>上海天喜建设工程有限公司“3.6”起重伤害</w:t>
      </w:r>
    </w:p>
    <w:p>
      <w:pPr>
        <w:widowControl w:val="0"/>
        <w:kinsoku/>
        <w:autoSpaceDE/>
        <w:autoSpaceDN/>
        <w:adjustRightInd/>
        <w:snapToGrid/>
        <w:spacing w:line="560" w:lineRule="exact"/>
        <w:ind w:firstLine="640" w:firstLineChars="200"/>
        <w:jc w:val="right"/>
        <w:rPr>
          <w:rStyle w:val="12"/>
          <w:rFonts w:hint="eastAsia" w:ascii="仿宋_GB2312" w:hAnsi="Calibri" w:eastAsia="仿宋_GB2312" w:cs="Times New Roman"/>
          <w:snapToGrid/>
          <w:kern w:val="2"/>
          <w:sz w:val="32"/>
          <w:szCs w:val="32"/>
          <w:lang w:eastAsia="zh-CN"/>
        </w:rPr>
      </w:pPr>
      <w:r>
        <w:rPr>
          <w:rStyle w:val="12"/>
          <w:rFonts w:hint="eastAsia" w:ascii="仿宋_GB2312" w:hAnsi="Calibri" w:eastAsia="仿宋_GB2312" w:cs="Times New Roman"/>
          <w:snapToGrid/>
          <w:kern w:val="2"/>
          <w:sz w:val="32"/>
          <w:szCs w:val="32"/>
          <w:lang w:eastAsia="zh-CN"/>
        </w:rPr>
        <w:t>一般事故整改和防范措施落实情况评估组</w:t>
      </w:r>
    </w:p>
    <w:p>
      <w:pPr>
        <w:widowControl w:val="0"/>
        <w:kinsoku/>
        <w:autoSpaceDE/>
        <w:autoSpaceDN/>
        <w:adjustRightInd/>
        <w:snapToGrid/>
        <w:spacing w:line="560" w:lineRule="exact"/>
        <w:ind w:firstLine="640" w:firstLineChars="200"/>
        <w:jc w:val="right"/>
        <w:rPr>
          <w:rStyle w:val="12"/>
          <w:rFonts w:hint="default" w:ascii="仿宋_GB2312" w:hAnsi="Calibri" w:eastAsia="仿宋_GB2312" w:cs="Times New Roman"/>
          <w:snapToGrid/>
          <w:kern w:val="2"/>
          <w:sz w:val="32"/>
          <w:szCs w:val="32"/>
          <w:lang w:val="en-US" w:eastAsia="zh-CN"/>
        </w:rPr>
      </w:pPr>
      <w:r>
        <w:rPr>
          <w:rStyle w:val="12"/>
          <w:rFonts w:hint="eastAsia" w:ascii="仿宋_GB2312" w:hAnsi="Calibri" w:eastAsia="仿宋_GB2312" w:cs="Times New Roman"/>
          <w:snapToGrid/>
          <w:kern w:val="2"/>
          <w:sz w:val="32"/>
          <w:szCs w:val="32"/>
          <w:lang w:eastAsia="zh-CN"/>
        </w:rPr>
        <w:t>2025年</w:t>
      </w:r>
      <w:r>
        <w:rPr>
          <w:rStyle w:val="12"/>
          <w:rFonts w:hint="eastAsia" w:ascii="仿宋_GB2312" w:hAnsi="Calibri" w:eastAsia="仿宋_GB2312" w:cs="Times New Roman"/>
          <w:snapToGrid/>
          <w:kern w:val="2"/>
          <w:sz w:val="32"/>
          <w:szCs w:val="32"/>
          <w:lang w:val="en-US" w:eastAsia="zh-CN"/>
        </w:rPr>
        <w:t>6</w:t>
      </w:r>
      <w:r>
        <w:rPr>
          <w:rStyle w:val="12"/>
          <w:rFonts w:hint="eastAsia" w:ascii="仿宋_GB2312" w:hAnsi="Calibri" w:eastAsia="仿宋_GB2312" w:cs="Times New Roman"/>
          <w:snapToGrid/>
          <w:kern w:val="2"/>
          <w:sz w:val="32"/>
          <w:szCs w:val="32"/>
          <w:lang w:eastAsia="zh-CN"/>
        </w:rPr>
        <w:t>月</w:t>
      </w:r>
      <w:r>
        <w:rPr>
          <w:rStyle w:val="12"/>
          <w:rFonts w:hint="eastAsia" w:ascii="仿宋_GB2312" w:hAnsi="Calibri" w:eastAsia="仿宋_GB2312" w:cs="Times New Roman"/>
          <w:snapToGrid/>
          <w:kern w:val="2"/>
          <w:sz w:val="32"/>
          <w:szCs w:val="32"/>
          <w:lang w:val="en-US" w:eastAsia="zh-CN"/>
        </w:rPr>
        <w:t>30日</w:t>
      </w:r>
    </w:p>
    <w:sectPr>
      <w:footerReference r:id="rId3" w:type="default"/>
      <w:pgSz w:w="11906" w:h="16839"/>
      <w:pgMar w:top="1431" w:right="1381" w:bottom="1310" w:left="1596" w:header="0" w:footer="1025" w:gutter="0"/>
      <w:pgNumType w:fmt="decimal"/>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仿宋">
    <w:altName w:val="方正仿宋_GBK"/>
    <w:panose1 w:val="02010609060101010101"/>
    <w:charset w:val="86"/>
    <w:family w:val="modern"/>
    <w:pitch w:val="default"/>
    <w:sig w:usb0="00000000" w:usb1="00000000"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CESI楷体-GB2312">
    <w:panose1 w:val="02000500000000000000"/>
    <w:charset w:val="86"/>
    <w:family w:val="auto"/>
    <w:pitch w:val="default"/>
    <w:sig w:usb0="800002BF" w:usb1="184F6CF8" w:usb2="00000012" w:usb3="00000000" w:csb0="0004000F"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黑体_GBK">
    <w:panose1 w:val="02000000000000000000"/>
    <w:charset w:val="86"/>
    <w:family w:val="auto"/>
    <w:pitch w:val="default"/>
    <w:sig w:usb0="00000001" w:usb1="08000000" w:usb2="00000000" w:usb3="00000000" w:csb0="00040000" w:csb1="00000000"/>
  </w:font>
  <w:font w:name="Cambria">
    <w:altName w:val="仿宋_GB2312"/>
    <w:panose1 w:val="00000000000000000000"/>
    <w:charset w:val="00"/>
    <w:family w:val="auto"/>
    <w:pitch w:val="default"/>
    <w:sig w:usb0="00000000" w:usb1="00000000" w:usb2="00000000" w:usb3="00000000" w:csb0="00000000" w:csb1="00000000"/>
  </w:font>
  <w:font w:name="CESI仿宋-GB2312">
    <w:panose1 w:val="02000500000000000000"/>
    <w:charset w:val="86"/>
    <w:family w:val="auto"/>
    <w:pitch w:val="default"/>
    <w:sig w:usb0="800002AF" w:usb1="084F6CF8" w:usb2="00000010" w:usb3="00000000" w:csb0="0004000F" w:csb1="00000000"/>
  </w:font>
  <w:font w:name="Bitstream Charter">
    <w:panose1 w:val="00000000000000000000"/>
    <w:charset w:val="00"/>
    <w:family w:val="auto"/>
    <w:pitch w:val="default"/>
    <w:sig w:usb0="00000000" w:usb1="00000000" w:usb2="00000000" w:usb3="00000000" w:csb0="00000000" w:csb1="00000000"/>
  </w:font>
  <w:font w:name="CESI仿宋-GB13000">
    <w:panose1 w:val="02000500000000000000"/>
    <w:charset w:val="86"/>
    <w:family w:val="auto"/>
    <w:pitch w:val="default"/>
    <w:sig w:usb0="800002BF" w:usb1="18CF7CF8" w:usb2="00000016" w:usb3="00000000" w:csb0="0004000F" w:csb1="00000000"/>
  </w:font>
  <w:font w:name="CESI仿宋-GB18030">
    <w:panose1 w:val="02000500000000000000"/>
    <w:charset w:val="86"/>
    <w:family w:val="auto"/>
    <w:pitch w:val="default"/>
    <w:sig w:usb0="A00002BF" w:usb1="38C77CFA" w:usb2="00000016" w:usb3="00000000" w:csb0="0004000F" w:csb1="00000000"/>
  </w:font>
  <w:font w:name="CESI宋体-GB18030">
    <w:panose1 w:val="02000500000000000000"/>
    <w:charset w:val="86"/>
    <w:family w:val="auto"/>
    <w:pitch w:val="default"/>
    <w:sig w:usb0="A00002BF" w:usb1="38C77CFA" w:usb2="00000016" w:usb3="00000000" w:csb0="0004000F" w:csb1="00000000"/>
  </w:font>
  <w:font w:name="CESI小标宋-GB13000">
    <w:panose1 w:val="02000500000000000000"/>
    <w:charset w:val="86"/>
    <w:family w:val="auto"/>
    <w:pitch w:val="default"/>
    <w:sig w:usb0="800002BF" w:usb1="18CF7CF8"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rPr>
        <w:rFonts w:hint="eastAsia"/>
      </w:rPr>
    </w:pPr>
    <w:r>
      <w:rPr>
        <w:sz w:val="18"/>
      </w:rPr>
      <mc:AlternateContent>
        <mc:Choice Requires="wps">
          <w:drawing>
            <wp:anchor distT="0" distB="0" distL="114300" distR="114300" simplePos="0" relativeHeight="251658240"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8240;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BYAAABkcnMvUEsBAhQAFAAAAAgA&#10;h07iQLNJWO7QAAAABQEAAA8AAAAAAAAAAQAgAAAAOAAAAGRycy9kb3ducmV2LnhtbFBLAQIUABQA&#10;AAAIAIdO4kA8FiLyGwIAACkEAAAOAAAAAAAAAAEAIAAAADUBAABkcnMvZTJvRG9jLnhtbFBLBQYA&#10;AAAABgAGAFkBAADCBQAAAAA=&#10;">
              <v:fill on="f" focussize="0,0"/>
              <v:stroke on="f" weight="0.5pt"/>
              <v:imagedata o:title=""/>
              <o:lock v:ext="edit" aspectratio="f"/>
              <v:textbox inset="0mm,0mm,0mm,0mm" style="mso-fit-shape-to-text:t;">
                <w:txbxContent>
                  <w:p>
                    <w:pPr>
                      <w:pStyle w:val="7"/>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27E8CD1"/>
    <w:multiLevelType w:val="singleLevel"/>
    <w:tmpl w:val="B27E8CD1"/>
    <w:lvl w:ilvl="0" w:tentative="0">
      <w:start w:val="1"/>
      <w:numFmt w:val="chineseCounting"/>
      <w:suff w:val="nothing"/>
      <w:lvlText w:val="%1、"/>
      <w:lvlJc w:val="left"/>
      <w:pPr>
        <w:ind w:left="600" w:firstLine="0"/>
      </w:pPr>
      <w:rPr>
        <w:rFonts w:hint="eastAsia"/>
      </w:rPr>
    </w:lvl>
  </w:abstractNum>
  <w:abstractNum w:abstractNumId="1">
    <w:nsid w:val="D7B7CA39"/>
    <w:multiLevelType w:val="singleLevel"/>
    <w:tmpl w:val="D7B7CA39"/>
    <w:lvl w:ilvl="0" w:tentative="0">
      <w:start w:val="1"/>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true"/>
  <w:bordersDoNotSurroundHeader w:val="true"/>
  <w:bordersDoNotSurroundFooter w:val="true"/>
  <w:documentProtection w:enforcement="0"/>
  <w:defaultTabStop w:val="420"/>
  <w:characterSpacingControl w:val="doNotCompress"/>
  <w:compat>
    <w:spaceForUL/>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TBjZjRhZGFhNTU0MzU5ZDI2ZTVmZmJkZjY2M2QxYjQifQ=="/>
  </w:docVars>
  <w:rsids>
    <w:rsidRoot w:val="00C869D6"/>
    <w:rsid w:val="000062E7"/>
    <w:rsid w:val="00013137"/>
    <w:rsid w:val="000140CC"/>
    <w:rsid w:val="00033843"/>
    <w:rsid w:val="00060D57"/>
    <w:rsid w:val="000612EF"/>
    <w:rsid w:val="00094489"/>
    <w:rsid w:val="000B5CDE"/>
    <w:rsid w:val="000C10BF"/>
    <w:rsid w:val="000C1ADB"/>
    <w:rsid w:val="000D1332"/>
    <w:rsid w:val="000F0079"/>
    <w:rsid w:val="00135E28"/>
    <w:rsid w:val="00136FF6"/>
    <w:rsid w:val="00161533"/>
    <w:rsid w:val="00166A17"/>
    <w:rsid w:val="0018765D"/>
    <w:rsid w:val="00187BB6"/>
    <w:rsid w:val="001B4976"/>
    <w:rsid w:val="001D686B"/>
    <w:rsid w:val="001F0CAB"/>
    <w:rsid w:val="00215989"/>
    <w:rsid w:val="002172BB"/>
    <w:rsid w:val="002209AC"/>
    <w:rsid w:val="00224A49"/>
    <w:rsid w:val="00224AD7"/>
    <w:rsid w:val="002318F6"/>
    <w:rsid w:val="00232F7F"/>
    <w:rsid w:val="002334BA"/>
    <w:rsid w:val="002533FC"/>
    <w:rsid w:val="00276526"/>
    <w:rsid w:val="00292217"/>
    <w:rsid w:val="002B18AB"/>
    <w:rsid w:val="002B23E2"/>
    <w:rsid w:val="002C42DE"/>
    <w:rsid w:val="003035AE"/>
    <w:rsid w:val="00307DFD"/>
    <w:rsid w:val="00346849"/>
    <w:rsid w:val="003559FC"/>
    <w:rsid w:val="00366D52"/>
    <w:rsid w:val="003A3FD6"/>
    <w:rsid w:val="003C4C3B"/>
    <w:rsid w:val="003C66DD"/>
    <w:rsid w:val="003E3EEA"/>
    <w:rsid w:val="003E7CA8"/>
    <w:rsid w:val="004017D8"/>
    <w:rsid w:val="00441B51"/>
    <w:rsid w:val="0045440E"/>
    <w:rsid w:val="004851EA"/>
    <w:rsid w:val="004930F4"/>
    <w:rsid w:val="004C2307"/>
    <w:rsid w:val="004C2CDA"/>
    <w:rsid w:val="004C5575"/>
    <w:rsid w:val="00516621"/>
    <w:rsid w:val="005178CB"/>
    <w:rsid w:val="00550B57"/>
    <w:rsid w:val="0056251C"/>
    <w:rsid w:val="0058492E"/>
    <w:rsid w:val="005B7166"/>
    <w:rsid w:val="005D3499"/>
    <w:rsid w:val="005E4C43"/>
    <w:rsid w:val="00602760"/>
    <w:rsid w:val="00626061"/>
    <w:rsid w:val="00627A60"/>
    <w:rsid w:val="0066241E"/>
    <w:rsid w:val="006A18AE"/>
    <w:rsid w:val="006A58C8"/>
    <w:rsid w:val="006B060A"/>
    <w:rsid w:val="006C2780"/>
    <w:rsid w:val="006F4831"/>
    <w:rsid w:val="007028A7"/>
    <w:rsid w:val="00704484"/>
    <w:rsid w:val="00780648"/>
    <w:rsid w:val="007930A0"/>
    <w:rsid w:val="007B276F"/>
    <w:rsid w:val="007B3D19"/>
    <w:rsid w:val="007C5D76"/>
    <w:rsid w:val="008006D2"/>
    <w:rsid w:val="00835C2C"/>
    <w:rsid w:val="008422C4"/>
    <w:rsid w:val="00882583"/>
    <w:rsid w:val="008831FD"/>
    <w:rsid w:val="008C2028"/>
    <w:rsid w:val="008C2463"/>
    <w:rsid w:val="008E2486"/>
    <w:rsid w:val="008F3F3F"/>
    <w:rsid w:val="008F4F29"/>
    <w:rsid w:val="0095293D"/>
    <w:rsid w:val="00953491"/>
    <w:rsid w:val="0095749B"/>
    <w:rsid w:val="0096514A"/>
    <w:rsid w:val="00966773"/>
    <w:rsid w:val="009C73B8"/>
    <w:rsid w:val="009C7BA1"/>
    <w:rsid w:val="009D03C7"/>
    <w:rsid w:val="009D6D8A"/>
    <w:rsid w:val="00A2572B"/>
    <w:rsid w:val="00A67385"/>
    <w:rsid w:val="00A75191"/>
    <w:rsid w:val="00A82407"/>
    <w:rsid w:val="00A97E6E"/>
    <w:rsid w:val="00AA04FC"/>
    <w:rsid w:val="00AA0C47"/>
    <w:rsid w:val="00AA78F8"/>
    <w:rsid w:val="00AD3657"/>
    <w:rsid w:val="00B3521D"/>
    <w:rsid w:val="00B8686E"/>
    <w:rsid w:val="00B877FB"/>
    <w:rsid w:val="00B959FD"/>
    <w:rsid w:val="00BA1589"/>
    <w:rsid w:val="00BA407D"/>
    <w:rsid w:val="00BA5471"/>
    <w:rsid w:val="00BB7B6E"/>
    <w:rsid w:val="00C339C7"/>
    <w:rsid w:val="00C57041"/>
    <w:rsid w:val="00C72784"/>
    <w:rsid w:val="00C764CC"/>
    <w:rsid w:val="00C80C62"/>
    <w:rsid w:val="00C85889"/>
    <w:rsid w:val="00C869D6"/>
    <w:rsid w:val="00C87FAA"/>
    <w:rsid w:val="00CA0496"/>
    <w:rsid w:val="00CE6D89"/>
    <w:rsid w:val="00D00BDD"/>
    <w:rsid w:val="00D03AC5"/>
    <w:rsid w:val="00D12F4B"/>
    <w:rsid w:val="00D1425D"/>
    <w:rsid w:val="00D237E1"/>
    <w:rsid w:val="00D637B7"/>
    <w:rsid w:val="00D81468"/>
    <w:rsid w:val="00D85665"/>
    <w:rsid w:val="00D94D48"/>
    <w:rsid w:val="00DD61A7"/>
    <w:rsid w:val="00DE61C2"/>
    <w:rsid w:val="00E0434E"/>
    <w:rsid w:val="00E1320C"/>
    <w:rsid w:val="00E3494B"/>
    <w:rsid w:val="00E366F0"/>
    <w:rsid w:val="00E54B71"/>
    <w:rsid w:val="00E87D1F"/>
    <w:rsid w:val="00E87DE6"/>
    <w:rsid w:val="00EA034E"/>
    <w:rsid w:val="00EE22D0"/>
    <w:rsid w:val="00F24A3E"/>
    <w:rsid w:val="00F41758"/>
    <w:rsid w:val="00F449E0"/>
    <w:rsid w:val="00F451AC"/>
    <w:rsid w:val="00F52B32"/>
    <w:rsid w:val="00F7641B"/>
    <w:rsid w:val="2AFDCA3D"/>
    <w:rsid w:val="3FA076F0"/>
    <w:rsid w:val="3FDEFCA8"/>
    <w:rsid w:val="57FE2D22"/>
    <w:rsid w:val="5F573267"/>
    <w:rsid w:val="6CDDCCDC"/>
    <w:rsid w:val="6FD0DCEA"/>
    <w:rsid w:val="737CC5FE"/>
    <w:rsid w:val="75EB97D0"/>
    <w:rsid w:val="767F7399"/>
    <w:rsid w:val="7BEB68B9"/>
    <w:rsid w:val="7CF3175C"/>
    <w:rsid w:val="7E3F19C8"/>
    <w:rsid w:val="7F76A612"/>
    <w:rsid w:val="7FEB1292"/>
    <w:rsid w:val="B3D5B4BE"/>
    <w:rsid w:val="B67F2C27"/>
    <w:rsid w:val="BAEF21C6"/>
    <w:rsid w:val="BFAFB1FF"/>
    <w:rsid w:val="BFE3BC73"/>
    <w:rsid w:val="CDBBDFB7"/>
    <w:rsid w:val="D7F3B825"/>
    <w:rsid w:val="DD3F94C9"/>
    <w:rsid w:val="DFEB4ADC"/>
    <w:rsid w:val="E97EBF17"/>
    <w:rsid w:val="F47E17DB"/>
    <w:rsid w:val="F5FF34C0"/>
    <w:rsid w:val="F77E4093"/>
    <w:rsid w:val="F7D1AE7D"/>
    <w:rsid w:val="FDFEF4CE"/>
    <w:rsid w:val="FF46A45C"/>
    <w:rsid w:val="FFBA9173"/>
    <w:rsid w:val="FFDA180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Theme="minorEastAsia" w:cs="Arial"/>
      </w:rPr>
    </w:r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semiHidden/>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Body Text 2"/>
    <w:basedOn w:val="1"/>
    <w:next w:val="3"/>
    <w:qFormat/>
    <w:uiPriority w:val="0"/>
    <w:pPr>
      <w:jc w:val="right"/>
    </w:pPr>
    <w:rPr>
      <w:rFonts w:ascii="黑体" w:eastAsia="黑体"/>
      <w:sz w:val="44"/>
    </w:rPr>
  </w:style>
  <w:style w:type="paragraph" w:styleId="3">
    <w:name w:val="Body Text First Indent 2"/>
    <w:basedOn w:val="4"/>
    <w:next w:val="1"/>
    <w:unhideWhenUsed/>
    <w:qFormat/>
    <w:uiPriority w:val="0"/>
    <w:pPr>
      <w:spacing w:after="120"/>
      <w:ind w:left="420" w:leftChars="200" w:firstLine="420" w:firstLineChars="200"/>
    </w:pPr>
    <w:rPr>
      <w:rFonts w:hint="default" w:ascii="Calibri" w:hAnsi="Calibri" w:cs="Times New Roman"/>
      <w:sz w:val="21"/>
    </w:rPr>
  </w:style>
  <w:style w:type="paragraph" w:styleId="4">
    <w:name w:val="Body Text Indent"/>
    <w:basedOn w:val="1"/>
    <w:next w:val="5"/>
    <w:qFormat/>
    <w:uiPriority w:val="0"/>
    <w:pPr>
      <w:ind w:left="100" w:leftChars="100"/>
    </w:pPr>
    <w:rPr>
      <w:rFonts w:hint="eastAsia" w:ascii="宋体" w:hAnsi="宋体" w:eastAsia="宋体"/>
      <w:sz w:val="28"/>
      <w:szCs w:val="24"/>
    </w:rPr>
  </w:style>
  <w:style w:type="paragraph" w:styleId="5">
    <w:name w:val="Normal Indent"/>
    <w:basedOn w:val="1"/>
    <w:next w:val="1"/>
    <w:qFormat/>
    <w:uiPriority w:val="0"/>
    <w:pPr>
      <w:ind w:firstLine="420" w:firstLineChars="200"/>
    </w:pPr>
    <w:rPr>
      <w:rFonts w:ascii="Times New Roman" w:hAnsi="Times New Roman" w:eastAsia="仿宋" w:cs="Times New Roman"/>
      <w:sz w:val="32"/>
    </w:rPr>
  </w:style>
  <w:style w:type="paragraph" w:styleId="6">
    <w:name w:val="Body Text"/>
    <w:basedOn w:val="1"/>
    <w:link w:val="16"/>
    <w:semiHidden/>
    <w:qFormat/>
    <w:uiPriority w:val="0"/>
    <w:rPr>
      <w:rFonts w:ascii="仿宋_GB2312" w:hAnsi="仿宋_GB2312" w:eastAsia="仿宋_GB2312" w:cs="仿宋_GB2312"/>
      <w:sz w:val="31"/>
      <w:szCs w:val="31"/>
    </w:rPr>
  </w:style>
  <w:style w:type="paragraph" w:styleId="7">
    <w:name w:val="footer"/>
    <w:basedOn w:val="1"/>
    <w:link w:val="15"/>
    <w:qFormat/>
    <w:uiPriority w:val="0"/>
    <w:pPr>
      <w:tabs>
        <w:tab w:val="center" w:pos="4153"/>
        <w:tab w:val="right" w:pos="8306"/>
      </w:tabs>
    </w:pPr>
    <w:rPr>
      <w:sz w:val="18"/>
      <w:szCs w:val="18"/>
    </w:rPr>
  </w:style>
  <w:style w:type="paragraph" w:styleId="8">
    <w:name w:val="header"/>
    <w:basedOn w:val="1"/>
    <w:link w:val="14"/>
    <w:qFormat/>
    <w:uiPriority w:val="0"/>
    <w:pPr>
      <w:tabs>
        <w:tab w:val="center" w:pos="4153"/>
        <w:tab w:val="right" w:pos="8306"/>
      </w:tabs>
      <w:jc w:val="center"/>
    </w:pPr>
    <w:rPr>
      <w:sz w:val="18"/>
      <w:szCs w:val="18"/>
    </w:rPr>
  </w:style>
  <w:style w:type="table" w:customStyle="1" w:styleId="11">
    <w:name w:val="Table Normal"/>
    <w:semiHidden/>
    <w:unhideWhenUsed/>
    <w:qFormat/>
    <w:uiPriority w:val="0"/>
    <w:tblPr>
      <w:tblCellMar>
        <w:top w:w="0" w:type="dxa"/>
        <w:left w:w="0" w:type="dxa"/>
        <w:bottom w:w="0" w:type="dxa"/>
        <w:right w:w="0" w:type="dxa"/>
      </w:tblCellMar>
    </w:tblPr>
  </w:style>
  <w:style w:type="character" w:customStyle="1" w:styleId="12">
    <w:name w:val="NormalCharacter"/>
    <w:qFormat/>
    <w:uiPriority w:val="0"/>
  </w:style>
  <w:style w:type="paragraph" w:styleId="13">
    <w:name w:val="List Paragraph"/>
    <w:basedOn w:val="1"/>
    <w:unhideWhenUsed/>
    <w:qFormat/>
    <w:uiPriority w:val="99"/>
    <w:pPr>
      <w:ind w:firstLine="420" w:firstLineChars="200"/>
    </w:pPr>
  </w:style>
  <w:style w:type="character" w:customStyle="1" w:styleId="14">
    <w:name w:val="页眉 字符"/>
    <w:basedOn w:val="10"/>
    <w:link w:val="8"/>
    <w:qFormat/>
    <w:uiPriority w:val="0"/>
    <w:rPr>
      <w:rFonts w:eastAsia="Arial"/>
      <w:snapToGrid w:val="0"/>
      <w:color w:val="000000"/>
      <w:sz w:val="18"/>
      <w:szCs w:val="18"/>
      <w:lang w:eastAsia="en-US"/>
    </w:rPr>
  </w:style>
  <w:style w:type="character" w:customStyle="1" w:styleId="15">
    <w:name w:val="页脚 字符"/>
    <w:basedOn w:val="10"/>
    <w:link w:val="7"/>
    <w:qFormat/>
    <w:uiPriority w:val="0"/>
    <w:rPr>
      <w:rFonts w:eastAsia="Arial"/>
      <w:snapToGrid w:val="0"/>
      <w:color w:val="000000"/>
      <w:sz w:val="18"/>
      <w:szCs w:val="18"/>
      <w:lang w:eastAsia="en-US"/>
    </w:rPr>
  </w:style>
  <w:style w:type="character" w:customStyle="1" w:styleId="16">
    <w:name w:val="正文文本 字符"/>
    <w:basedOn w:val="10"/>
    <w:link w:val="6"/>
    <w:semiHidden/>
    <w:qFormat/>
    <w:uiPriority w:val="0"/>
    <w:rPr>
      <w:rFonts w:ascii="仿宋_GB2312" w:hAnsi="仿宋_GB2312" w:eastAsia="仿宋_GB2312" w:cs="仿宋_GB2312"/>
      <w:snapToGrid w:val="0"/>
      <w:color w:val="000000"/>
      <w:sz w:val="31"/>
      <w:szCs w:val="31"/>
      <w:lang w:eastAsia="en-US"/>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443</Words>
  <Characters>2529</Characters>
  <Lines>21</Lines>
  <Paragraphs>5</Paragraphs>
  <TotalTime>1</TotalTime>
  <ScaleCrop>false</ScaleCrop>
  <LinksUpToDate>false</LinksUpToDate>
  <CharactersWithSpaces>2967</CharactersWithSpaces>
  <Application>WPS Office_11.8.2.10251_F1E327BC-269C-435d-A152-05C5408002CA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2024-10-21T05:12:00Z</dcterms:created>
  <dc:creator>ms</dc:creator>
  <cp:lastModifiedBy>yjj-503</cp:lastModifiedBy>
  <dcterms:modified xsi:type="dcterms:W3CDTF">2025-10-27T10:49:58Z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wqlLaW5nc29mdCBQREYgdG8gV1BTIDEwMA</vt:lpwstr>
  </property>
  <property fmtid="{D5CDD505-2E9C-101B-9397-08002B2CF9AE}" pid="3" name="Created">
    <vt:filetime>2024-10-08T14:12:57Z</vt:filetime>
  </property>
  <property fmtid="{D5CDD505-2E9C-101B-9397-08002B2CF9AE}" pid="4" name="KSOProductBuildVer">
    <vt:lpwstr>2052-11.8.2.10251</vt:lpwstr>
  </property>
  <property fmtid="{D5CDD505-2E9C-101B-9397-08002B2CF9AE}" pid="5" name="ICV">
    <vt:lpwstr>470CCB2971BE4280A4FBD44C2BD2C97D_12</vt:lpwstr>
  </property>
</Properties>
</file>