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上海舜鸣建筑劳务劳务有限公司“2023.3.4”</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高处坠落死亡一般事故责任追究和</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整改措施落实情况评估报告</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0"/>
        <w:rPr>
          <w:rFonts w:hint="eastAsia" w:ascii="方正小标宋简体" w:hAnsi="方正小标宋简体" w:eastAsia="方正小标宋简体" w:cs="方正小标宋简体"/>
          <w:b/>
          <w:bCs/>
          <w:color w:val="000000" w:themeColor="text1"/>
          <w:sz w:val="44"/>
          <w:szCs w:val="44"/>
          <w:lang w:val="en-US" w:eastAsia="zh-CN"/>
          <w14:textFill>
            <w14:solidFill>
              <w14:schemeClr w14:val="tx1"/>
            </w14:solidFill>
          </w14:textFill>
        </w:rPr>
      </w:pP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一、评估工作组织及开展</w:t>
      </w:r>
      <w:r>
        <w:rPr>
          <w:rFonts w:hint="eastAsia" w:ascii="黑体" w:hAnsi="黑体" w:eastAsia="黑体"/>
          <w:snapToGrid w:val="0"/>
          <w:kern w:val="0"/>
          <w:szCs w:val="32"/>
          <w:lang w:val="en-US" w:eastAsia="zh-CN"/>
        </w:rPr>
        <w:t>基本</w:t>
      </w:r>
      <w:r>
        <w:rPr>
          <w:rFonts w:hint="eastAsia" w:ascii="黑体" w:hAnsi="黑体" w:eastAsia="黑体"/>
          <w:snapToGrid w:val="0"/>
          <w:kern w:val="0"/>
          <w:szCs w:val="32"/>
        </w:rPr>
        <w:t>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依据国务院安委会办公室《生产安全事故防范和整改措施落实情况评估办法》（安委办〔2021〕4号）、《上海市生产安全事故整改和防范措施落实情况评估办法》（沪安委会〔2024〕5号）、《闵行区开展 2023 年生产安全事故整改和防范措施落实情况的评估工作方案》（闵安委办〔2024〕27 号）等有关规定，区安委会办公室于2024年</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4月</w:t>
      </w:r>
      <w:r>
        <w:rPr>
          <w:rFonts w:hint="eastAsia" w:ascii="仿宋_GB2312" w:hAnsi="宋体" w:eastAsia="仿宋_GB2312"/>
          <w:color w:val="000000" w:themeColor="text1"/>
          <w:sz w:val="32"/>
          <w:szCs w:val="22"/>
          <w:lang w:val="en-US" w:eastAsia="zh-CN"/>
          <w14:textFill>
            <w14:solidFill>
              <w14:schemeClr w14:val="tx1"/>
            </w14:solidFill>
          </w14:textFill>
        </w:rPr>
        <w:t>份牵头组织成立上海舜鸣建筑劳务劳务有限公司（以下简称：舜鸣建筑劳务）“2023.3.4”（2023年）高处坠落死亡一般事故后评估小组（以下简称“评估小组”），评估小组成员单位包括区应急局、</w:t>
      </w:r>
      <w:r>
        <w:rPr>
          <w:rFonts w:hint="eastAsia" w:ascii="仿宋_GB2312" w:hAnsi="仿宋" w:eastAsia="仿宋_GB2312"/>
          <w:sz w:val="32"/>
          <w:szCs w:val="32"/>
          <w:highlight w:val="none"/>
        </w:rPr>
        <w:t>区建管委、</w:t>
      </w:r>
      <w:r>
        <w:rPr>
          <w:rFonts w:hint="eastAsia" w:ascii="仿宋_GB2312" w:hAnsi="宋体" w:eastAsia="仿宋_GB2312"/>
          <w:color w:val="000000" w:themeColor="text1"/>
          <w:sz w:val="32"/>
          <w:szCs w:val="22"/>
          <w:lang w:val="en-US" w:eastAsia="zh-CN"/>
          <w14:textFill>
            <w14:solidFill>
              <w14:schemeClr w14:val="tx1"/>
            </w14:solidFill>
          </w14:textFill>
        </w:rPr>
        <w:t>区公安分局、区总工会、上海柏科管理咨询股份有限公司（事故后评估技术服务第三方）。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评估小组以该起事故的《事故调查报告》为依据，依据科学严谨、依法依规、实事求是、注重实效和“四不放过”的原则，制定事故评估工作方案，确定了以事故责任追究及整改措施落实为重点的评估资料清单</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。4</w:t>
      </w:r>
      <w:r>
        <w:rPr>
          <w:rFonts w:hint="eastAsia" w:ascii="仿宋_GB2312" w:hAnsi="宋体" w:eastAsia="仿宋_GB2312"/>
          <w:color w:val="000000" w:themeColor="text1"/>
          <w:sz w:val="32"/>
          <w:szCs w:val="22"/>
          <w:lang w:val="en-US" w:eastAsia="zh-CN"/>
          <w14:textFill>
            <w14:solidFill>
              <w14:schemeClr w14:val="tx1"/>
            </w14:solidFill>
          </w14:textFill>
        </w:rPr>
        <w:t>月13日，由区应急局牵头，在区应急局举行了评估小组、事故责任单位、事故关联单位联席会议，区应急局有关负责人就该起事故后评估的目的、意义、后续评估工作流程安排、时间节点、工作要求等进行了说明与沟通，并就事故评估工作方案责任分工、时间进度等内容进行了沟通与确认，达成一致意见。与会各方并就本次事故教训吸取和后续事故预防各自发表了意见。上海柏科管理咨询股份有限公司（第三方）事故后评估技术服务人员就事故后评估的方式、方法在会上做了说明，确认了后评估方式包括资料确认、现场走访、人员谈话等，并根据该起事故调查报告的相关内容，各单位就该起事故处理措施及后续事故防范措施的落实需要提供的资料清单作了说明。区应急局、区建管委、颛桥镇，采取远程沟通和资料收集方式进行评估，主要确认事故发生后，相关单位行业监管、属地监管，单位主体责任落实情况。对事故责任单位舜鸣建筑劳务采取远程沟通、现场走访</w:t>
      </w:r>
      <w:r>
        <w:rPr>
          <w:rFonts w:hint="eastAsia" w:ascii="仿宋_GB2312" w:hAnsi="宋体" w:eastAsia="仿宋_GB2312"/>
          <w:color w:val="auto"/>
          <w:sz w:val="32"/>
          <w:szCs w:val="22"/>
          <w:lang w:val="en-US" w:eastAsia="zh-CN"/>
        </w:rPr>
        <w:t>、资料收集</w:t>
      </w:r>
      <w:r>
        <w:rPr>
          <w:rFonts w:hint="eastAsia" w:ascii="仿宋_GB2312" w:hAnsi="宋体" w:eastAsia="仿宋_GB2312"/>
          <w:color w:val="auto"/>
          <w:sz w:val="32"/>
          <w:szCs w:val="22"/>
          <w:highlight w:val="none"/>
          <w:lang w:val="en-US" w:eastAsia="zh-CN"/>
        </w:rPr>
        <w:t>方式进行了评估，对事故关联单位上海丽奎建筑工程有限公司进行了远程沟通、</w:t>
      </w:r>
      <w:r>
        <w:rPr>
          <w:rFonts w:hint="eastAsia" w:ascii="仿宋_GB2312" w:hAnsi="宋体" w:eastAsia="仿宋_GB2312"/>
          <w:color w:val="auto"/>
          <w:sz w:val="32"/>
          <w:szCs w:val="22"/>
          <w:lang w:val="en-US" w:eastAsia="zh-CN"/>
        </w:rPr>
        <w:t>资料收集、现场走访</w:t>
      </w:r>
      <w:r>
        <w:rPr>
          <w:rFonts w:hint="eastAsia" w:ascii="仿宋_GB2312" w:hAnsi="宋体" w:eastAsia="仿宋_GB2312"/>
          <w:color w:val="000000" w:themeColor="text1"/>
          <w:sz w:val="32"/>
          <w:szCs w:val="22"/>
          <w:lang w:val="en-US" w:eastAsia="zh-CN"/>
          <w14:textFill>
            <w14:solidFill>
              <w14:schemeClr w14:val="tx1"/>
            </w14:solidFill>
          </w14:textFill>
        </w:rPr>
        <w:t>方式</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进行了评估。查看了相关单位安全生产责任制、安全生产规章制度等安全生产管理体系的建设情况，向相关人员了解本起事故处理、事故教训吸取和后续事故防范对策措施的落实情况等，评估小组按事故评估方案要求完成了评估工作</w:t>
      </w:r>
      <w:r>
        <w:rPr>
          <w:rFonts w:hint="eastAsia" w:ascii="仿宋_GB2312" w:hAnsi="宋体" w:eastAsia="仿宋_GB2312"/>
          <w:color w:val="000000" w:themeColor="text1"/>
          <w:sz w:val="32"/>
          <w:szCs w:val="22"/>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总体看，行业及属地安全生产监管部门、事故责任及关联单位基本能按本起事故的《事故调查报告》要求，落实处理意见与防范措施，在事故责任追究与教训吸取、安全生产行业和属地监管、单位主体责任和整改措施落实等方面总体较好，符合该起事故的《事故调查报告》中提出的整改要求。</w:t>
      </w: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二、事故责任单位和人员处理情况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查见了主要事故责任单位舜鸣建筑劳务负责人陶勤和罚款10000元整（票据号码0100002025，缴款日期2023年6月26日）。查见了对舜鸣建筑劳务“行政处罚决定书”（沪闵应急罚〔2023〕1021号），对该单位给予30万元的行政处罚，并查见了罚没款交费凭证（回单编号0061-5913-2384-1100），罚没款执行到位。查见了《关于对上海丽奎建筑工程有限公司进行安全生产约谈警示的会议纪要》（区安委会办公室，2023年8月7日），对该企业总经理余奎先进行了约谈警示教育。查见了舜鸣建筑劳务</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w:t>
      </w:r>
      <w:r>
        <w:rPr>
          <w:rFonts w:hint="eastAsia" w:ascii="仿宋_GB2312" w:hAnsi="宋体" w:eastAsia="仿宋_GB2312"/>
          <w:color w:val="000000" w:themeColor="text1"/>
          <w:sz w:val="32"/>
          <w:szCs w:val="22"/>
          <w:lang w:val="en-US" w:eastAsia="zh-CN"/>
          <w14:textFill>
            <w14:solidFill>
              <w14:schemeClr w14:val="tx1"/>
            </w14:solidFill>
          </w14:textFill>
        </w:rPr>
        <w:t>上海丽奎建筑工程内部对相关人员进行了处罚和警示教育记录。相关单位和人员的行政处罚、警示教育符合本起《事故调查报告》的要求。</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rPr>
        <w:t>三、事故防范和整改措施落实情况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评估小组通过资料审查，人员问询、现场走访与核查等形式，对事故责任及关联单位事故处理、事故后续整改措施落实、事故预防长效机制等情况进行了针对性检查评估。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事故责任及关联单位基本能按照“四不放过”原则，查明事故原因，落实整改措施，排查现场安全隐患，堵塞安全生产漏洞，规范了登高等危险作业审批流程，教育与培训事故相关责任人员，进行从业人员事故警示教育和培训，并从以下几个方面建立事故防范与整改措施落实长效机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highlight w:val="none"/>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（一）进一步完善了安全生产制度体系。建立了较为健全的安全生产规章制度和安全操作规程，包括</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安全生产责任制、风险辨识评估与控制管理制度、安全检查与隐患排查治理制度、作业安全管理制度、安全教育培训制度、危险作业审批制度等。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（二）建立了单位安全生产管理组织架构、配备了专兼职安全生产管理人员，特种作业人员做到持证上岗。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开展安全生产风险辨识和隐患排查。策划和识别了单位安全风险，确定了单位的重点风险源和控制措施。落实了隐患排查制度，编制隐患排查方案、计划，查见了安全检查和隐患排查记录、台账和整改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（四）落实安全教育培训工作。对从业人员进行入职三级安全教育、事故警示教育、安全生产持续再教育，保留有教育培训记录和档案资料。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（五）规范和严格了登高等危险作业审批许可程序。查见了登高作业许可资料、相关作业安全交底记录等台账资料。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（六）编制了单位应急预案并开展应急演练。应急预案包括火灾、高处坠落事故等，查见了相关演练方案、演练报告、演练照片和签到记录等。</w:t>
      </w:r>
    </w:p>
    <w:p>
      <w:pPr>
        <w:spacing w:line="620" w:lineRule="exact"/>
        <w:ind w:firstLine="640" w:firstLineChars="200"/>
        <w:jc w:val="left"/>
        <w:rPr>
          <w:rFonts w:hint="default" w:ascii="黑体" w:hAnsi="黑体" w:eastAsia="黑体"/>
          <w:snapToGrid w:val="0"/>
          <w:kern w:val="0"/>
          <w:szCs w:val="32"/>
          <w:highlight w:val="none"/>
          <w:lang w:val="en-US" w:eastAsia="zh-CN"/>
        </w:rPr>
      </w:pPr>
      <w:r>
        <w:rPr>
          <w:rFonts w:hint="eastAsia" w:ascii="黑体" w:hAnsi="黑体" w:eastAsia="黑体"/>
          <w:snapToGrid w:val="0"/>
          <w:kern w:val="0"/>
          <w:szCs w:val="32"/>
          <w:highlight w:val="none"/>
          <w:lang w:val="en-US" w:eastAsia="zh-CN"/>
        </w:rPr>
        <w:t>四</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评估结论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经综合评估后一致认为，相关部门和单位均能按照《事故调查报告》要求，认真吸取事故教训，履行行业监管、属地监管责任，完善内部安全管理制度流程，加强人员事故警示教育，加大安全风险辨识、事故隐患排查，并落实闭环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综合资料审查、人员问询、现场走访核查确认结果，评估小组认为此次事故处理、内部责任追究符合该起《事故调查报告》要求，后续整改措施落实有效。</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lang w:val="en-US" w:eastAsia="zh-CN"/>
        </w:rPr>
        <w:t>五</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工作</w:t>
      </w:r>
      <w:r>
        <w:rPr>
          <w:rFonts w:hint="eastAsia" w:ascii="黑体" w:hAnsi="黑体" w:eastAsia="黑体"/>
          <w:snapToGrid w:val="0"/>
          <w:kern w:val="0"/>
          <w:szCs w:val="32"/>
          <w:highlight w:val="none"/>
        </w:rPr>
        <w:t>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评估小组针对事故责任单位在事故整改与措施落实方面仍存在的不足提出以下建议：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进一步压实单位安全生产主体责任，完善全员安全生产责任体系，健全安全生产规章制度和安全作业规程，并督促制度、规程的落地实施。重点抓好单位重大风险辨识与管控、隐患排查与治理、危险作业许可与监管、从业人员（包括外单位、临时用工等）教育与培训等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（二）加强从业人员的安全意识与能力培训。特别要做好持证人员（安全负责人、安全管理人员、特种作业人员），危险作业人员（如登高、动火等）的培训与教育，以提高从业人员的安全意识和安全管理水平。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（三）加强项目现场安全检查与隐患问题整改。项目现场要确定安全管理人员，负责项目过程的问题隐患排查，并督促问题隐患的整改，建立隐患台账，保留检查记录。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（四）完善应急预案，开展应急演练。编制与完善符合预案编制导则且符合单位作业特点的应急预案，并组织开展预案的演练与评估，以提升从业人员的应急响应能力。</w:t>
      </w:r>
    </w:p>
    <w:p>
      <w:pPr>
        <w:spacing w:line="620" w:lineRule="exact"/>
        <w:jc w:val="right"/>
        <w:rPr>
          <w:rFonts w:hint="eastAsia" w:ascii="仿宋_GB2312" w:hAnsi="Calibri" w:eastAsia="仿宋_GB2312"/>
          <w:b/>
          <w:snapToGrid w:val="0"/>
          <w:kern w:val="0"/>
          <w:szCs w:val="32"/>
        </w:rPr>
      </w:pP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right"/>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上海舜鸣建筑劳务劳务有限公司</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jc w:val="right"/>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 xml:space="preserve">“2023.3.4”高处坠落死亡  </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jc w:val="right"/>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 xml:space="preserve">一般事故后评估小组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5120" w:firstLineChars="1600"/>
        <w:jc w:val="left"/>
        <w:textAlignment w:val="auto"/>
        <w:outlineLvl w:val="9"/>
        <w:rPr>
          <w:rFonts w:hint="eastAsia" w:ascii="仿宋_GB2312" w:hAnsi="宋体" w:eastAsia="仿宋_GB2312"/>
          <w:b w:val="0"/>
          <w:bCs w:val="0"/>
          <w:color w:val="000000" w:themeColor="text1"/>
          <w:sz w:val="32"/>
          <w:szCs w:val="22"/>
          <w:highlight w:val="none"/>
          <w:lang w:val="en-US" w:eastAsia="zh-CN"/>
          <w14:textFill>
            <w14:solidFill>
              <w14:schemeClr w14:val="tx1"/>
            </w14:solidFill>
          </w14:textFill>
        </w:rPr>
      </w:pPr>
      <w:r>
        <w:rPr>
          <w:rFonts w:hint="eastAsia" w:ascii="仿宋_GB2312" w:hAnsi="宋体" w:eastAsia="仿宋_GB2312"/>
          <w:b w:val="0"/>
          <w:bCs w:val="0"/>
          <w:color w:val="000000" w:themeColor="text1"/>
          <w:sz w:val="32"/>
          <w:szCs w:val="22"/>
          <w:highlight w:val="none"/>
          <w:lang w:val="en-US" w:eastAsia="zh-CN"/>
          <w14:textFill>
            <w14:solidFill>
              <w14:schemeClr w14:val="tx1"/>
            </w14:solidFill>
          </w14:textFill>
        </w:rPr>
        <w:t>2024年4月30日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宋体"/>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pStyle w:val="2"/>
                      <w:rPr>
                        <w:rFonts w:eastAsia="宋体"/>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FC84C3"/>
    <w:multiLevelType w:val="singleLevel"/>
    <w:tmpl w:val="4BFC84C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RkNTA4M2M3NjFhMmMxYjQ1OWMyMzI3MWY4NDA4ZDMifQ=="/>
  </w:docVars>
  <w:rsids>
    <w:rsidRoot w:val="008A7E3F"/>
    <w:rsid w:val="00073EC4"/>
    <w:rsid w:val="000839C8"/>
    <w:rsid w:val="00086C29"/>
    <w:rsid w:val="000A1DA4"/>
    <w:rsid w:val="000A5EDC"/>
    <w:rsid w:val="000C03C3"/>
    <w:rsid w:val="000F4579"/>
    <w:rsid w:val="0013577D"/>
    <w:rsid w:val="00154FC5"/>
    <w:rsid w:val="001748EC"/>
    <w:rsid w:val="001750C8"/>
    <w:rsid w:val="001A7BFE"/>
    <w:rsid w:val="001B4AE3"/>
    <w:rsid w:val="001B7A71"/>
    <w:rsid w:val="001E0906"/>
    <w:rsid w:val="001F5DC4"/>
    <w:rsid w:val="00234EFE"/>
    <w:rsid w:val="00264E81"/>
    <w:rsid w:val="0026674E"/>
    <w:rsid w:val="00294261"/>
    <w:rsid w:val="002D42F0"/>
    <w:rsid w:val="002F60F4"/>
    <w:rsid w:val="00301D1E"/>
    <w:rsid w:val="00305F83"/>
    <w:rsid w:val="00312EDB"/>
    <w:rsid w:val="00367C73"/>
    <w:rsid w:val="003D5900"/>
    <w:rsid w:val="00401169"/>
    <w:rsid w:val="00421DAD"/>
    <w:rsid w:val="00437048"/>
    <w:rsid w:val="004769DD"/>
    <w:rsid w:val="00486889"/>
    <w:rsid w:val="004B2B7C"/>
    <w:rsid w:val="004B64F8"/>
    <w:rsid w:val="004E5E0B"/>
    <w:rsid w:val="0050038D"/>
    <w:rsid w:val="005B5458"/>
    <w:rsid w:val="005B76B9"/>
    <w:rsid w:val="005E3878"/>
    <w:rsid w:val="00617A70"/>
    <w:rsid w:val="00624ECA"/>
    <w:rsid w:val="0069738B"/>
    <w:rsid w:val="006A007E"/>
    <w:rsid w:val="006A43C0"/>
    <w:rsid w:val="00711522"/>
    <w:rsid w:val="007A13E6"/>
    <w:rsid w:val="007B5F72"/>
    <w:rsid w:val="007F221E"/>
    <w:rsid w:val="007F6311"/>
    <w:rsid w:val="00810E4D"/>
    <w:rsid w:val="00824105"/>
    <w:rsid w:val="008249D2"/>
    <w:rsid w:val="00856BD7"/>
    <w:rsid w:val="00857724"/>
    <w:rsid w:val="0087011C"/>
    <w:rsid w:val="00880186"/>
    <w:rsid w:val="00896C48"/>
    <w:rsid w:val="008A7E3F"/>
    <w:rsid w:val="008E1DEF"/>
    <w:rsid w:val="008F0B17"/>
    <w:rsid w:val="00913726"/>
    <w:rsid w:val="00925326"/>
    <w:rsid w:val="00944EA4"/>
    <w:rsid w:val="00980F8F"/>
    <w:rsid w:val="00984B46"/>
    <w:rsid w:val="009A5079"/>
    <w:rsid w:val="009B5285"/>
    <w:rsid w:val="009C4013"/>
    <w:rsid w:val="009F16FC"/>
    <w:rsid w:val="00A4201E"/>
    <w:rsid w:val="00AB27FB"/>
    <w:rsid w:val="00AC6E93"/>
    <w:rsid w:val="00AC72E8"/>
    <w:rsid w:val="00B03C69"/>
    <w:rsid w:val="00B24947"/>
    <w:rsid w:val="00B73893"/>
    <w:rsid w:val="00B91D0B"/>
    <w:rsid w:val="00BA6335"/>
    <w:rsid w:val="00BB4216"/>
    <w:rsid w:val="00BC6C3F"/>
    <w:rsid w:val="00C445EE"/>
    <w:rsid w:val="00C875CB"/>
    <w:rsid w:val="00D12859"/>
    <w:rsid w:val="00D167E9"/>
    <w:rsid w:val="00D25E81"/>
    <w:rsid w:val="00D36C5B"/>
    <w:rsid w:val="00D46113"/>
    <w:rsid w:val="00D51214"/>
    <w:rsid w:val="00D61BAD"/>
    <w:rsid w:val="00D730A4"/>
    <w:rsid w:val="00D87D75"/>
    <w:rsid w:val="00D91483"/>
    <w:rsid w:val="00DA3988"/>
    <w:rsid w:val="00DF51A7"/>
    <w:rsid w:val="00DF588B"/>
    <w:rsid w:val="00DF6683"/>
    <w:rsid w:val="00E06CC2"/>
    <w:rsid w:val="00E11730"/>
    <w:rsid w:val="00E14C35"/>
    <w:rsid w:val="00E4292B"/>
    <w:rsid w:val="00E46954"/>
    <w:rsid w:val="00E65A55"/>
    <w:rsid w:val="00E7472E"/>
    <w:rsid w:val="00EB07BB"/>
    <w:rsid w:val="00EB4514"/>
    <w:rsid w:val="00EE0EC0"/>
    <w:rsid w:val="00F2077C"/>
    <w:rsid w:val="00F53620"/>
    <w:rsid w:val="00FB7995"/>
    <w:rsid w:val="00FC2AFC"/>
    <w:rsid w:val="00FD23D6"/>
    <w:rsid w:val="00FE3798"/>
    <w:rsid w:val="01015972"/>
    <w:rsid w:val="0201016A"/>
    <w:rsid w:val="04185498"/>
    <w:rsid w:val="05A43D64"/>
    <w:rsid w:val="097519BC"/>
    <w:rsid w:val="09842A15"/>
    <w:rsid w:val="0B18779D"/>
    <w:rsid w:val="0B245862"/>
    <w:rsid w:val="0F6A77FB"/>
    <w:rsid w:val="1373256D"/>
    <w:rsid w:val="147A3417"/>
    <w:rsid w:val="149A61E1"/>
    <w:rsid w:val="175514A2"/>
    <w:rsid w:val="175D721C"/>
    <w:rsid w:val="17C45868"/>
    <w:rsid w:val="17FBE8D8"/>
    <w:rsid w:val="19DB60F9"/>
    <w:rsid w:val="1A366198"/>
    <w:rsid w:val="1C42294D"/>
    <w:rsid w:val="1CBE8A51"/>
    <w:rsid w:val="1DFC091B"/>
    <w:rsid w:val="1E765F50"/>
    <w:rsid w:val="1F992D2A"/>
    <w:rsid w:val="237D7293"/>
    <w:rsid w:val="2467441E"/>
    <w:rsid w:val="25E93097"/>
    <w:rsid w:val="2782275D"/>
    <w:rsid w:val="2B0D78A5"/>
    <w:rsid w:val="2C651EED"/>
    <w:rsid w:val="310B75DF"/>
    <w:rsid w:val="31C81974"/>
    <w:rsid w:val="32A20421"/>
    <w:rsid w:val="33E76D48"/>
    <w:rsid w:val="35104F58"/>
    <w:rsid w:val="35D825ED"/>
    <w:rsid w:val="369D022E"/>
    <w:rsid w:val="373DF72A"/>
    <w:rsid w:val="3B874946"/>
    <w:rsid w:val="3BD821B5"/>
    <w:rsid w:val="3DBA0C7B"/>
    <w:rsid w:val="3DE9465E"/>
    <w:rsid w:val="3EE338FA"/>
    <w:rsid w:val="3EE9514F"/>
    <w:rsid w:val="4379487C"/>
    <w:rsid w:val="449A462F"/>
    <w:rsid w:val="47692A3C"/>
    <w:rsid w:val="48BE4B9A"/>
    <w:rsid w:val="48FD1513"/>
    <w:rsid w:val="496F78AA"/>
    <w:rsid w:val="4AF11E5F"/>
    <w:rsid w:val="4C153D43"/>
    <w:rsid w:val="4D4261B3"/>
    <w:rsid w:val="4EFD1998"/>
    <w:rsid w:val="514C116E"/>
    <w:rsid w:val="52EC1BFF"/>
    <w:rsid w:val="57DB0FE8"/>
    <w:rsid w:val="5AD93B85"/>
    <w:rsid w:val="5BD451EC"/>
    <w:rsid w:val="5C945403"/>
    <w:rsid w:val="5CC72843"/>
    <w:rsid w:val="5EBB61F8"/>
    <w:rsid w:val="5EBDEF7B"/>
    <w:rsid w:val="5EC96258"/>
    <w:rsid w:val="5F326928"/>
    <w:rsid w:val="5F39B20B"/>
    <w:rsid w:val="5F582E1B"/>
    <w:rsid w:val="60AB2DEE"/>
    <w:rsid w:val="60D74757"/>
    <w:rsid w:val="61624E28"/>
    <w:rsid w:val="62895BA0"/>
    <w:rsid w:val="660A72D8"/>
    <w:rsid w:val="666842C9"/>
    <w:rsid w:val="67131EDF"/>
    <w:rsid w:val="6B5B6524"/>
    <w:rsid w:val="6C6E3A97"/>
    <w:rsid w:val="6CD1637E"/>
    <w:rsid w:val="6EA0059F"/>
    <w:rsid w:val="6EA22FE5"/>
    <w:rsid w:val="6ED335A5"/>
    <w:rsid w:val="6EFF061A"/>
    <w:rsid w:val="6FF2019B"/>
    <w:rsid w:val="702F0840"/>
    <w:rsid w:val="70904AD9"/>
    <w:rsid w:val="70942346"/>
    <w:rsid w:val="70F262DE"/>
    <w:rsid w:val="77C7E2CA"/>
    <w:rsid w:val="78730186"/>
    <w:rsid w:val="78CA90EC"/>
    <w:rsid w:val="79FF681C"/>
    <w:rsid w:val="7AEFED13"/>
    <w:rsid w:val="7BCB0BF9"/>
    <w:rsid w:val="7E3428CE"/>
    <w:rsid w:val="7E481C50"/>
    <w:rsid w:val="7EFD3964"/>
    <w:rsid w:val="7F3FF8F5"/>
    <w:rsid w:val="7F733F80"/>
    <w:rsid w:val="7FBF8646"/>
    <w:rsid w:val="B3DA92A4"/>
    <w:rsid w:val="BBD628CC"/>
    <w:rsid w:val="BD3BE8A9"/>
    <w:rsid w:val="BD6B1BA6"/>
    <w:rsid w:val="BF4FF59A"/>
    <w:rsid w:val="BF6FE6AA"/>
    <w:rsid w:val="C7BE4CA6"/>
    <w:rsid w:val="DCFD18E4"/>
    <w:rsid w:val="FC8D774A"/>
    <w:rsid w:val="FDFCE7F4"/>
    <w:rsid w:val="FFB77D6C"/>
    <w:rsid w:val="FFFD8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customStyle="1"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2742</Words>
  <Characters>2810</Characters>
  <Lines>39</Lines>
  <Paragraphs>11</Paragraphs>
  <TotalTime>1</TotalTime>
  <ScaleCrop>false</ScaleCrop>
  <LinksUpToDate>false</LinksUpToDate>
  <CharactersWithSpaces>2818</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2021-04-01T21:34:00Z</dcterms:created>
  <dc:creator>陈满松</dc:creator>
  <cp:lastModifiedBy>mhxc-langchao</cp:lastModifiedBy>
  <cp:lastPrinted>2022-12-18T09:55:00Z</cp:lastPrinted>
  <dcterms:modified xsi:type="dcterms:W3CDTF">2025-11-10T09:05:22Z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5800EFB2CDC5429FA3EB9D2C111D64F8</vt:lpwstr>
  </property>
</Properties>
</file>