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left"/>
        <w:textAlignment w:val="auto"/>
        <w:rPr>
          <w:rFonts w:hint="eastAsia" w:ascii="黑体" w:hAnsi="黑体" w:eastAsia="黑体" w:cs="黑体"/>
          <w:b w:val="0"/>
          <w:bCs w:val="0"/>
          <w:color w:val="000000"/>
          <w:kern w:val="2"/>
          <w:sz w:val="32"/>
          <w:szCs w:val="32"/>
          <w:shd w:val="clear" w:color="auto" w:fill="auto"/>
          <w:lang w:eastAsia="zh-CN" w:bidi="ar-SA"/>
        </w:rPr>
      </w:pPr>
      <w:r>
        <w:rPr>
          <w:rFonts w:hint="eastAsia" w:ascii="黑体" w:hAnsi="黑体" w:eastAsia="黑体" w:cs="黑体"/>
          <w:b w:val="0"/>
          <w:bCs w:val="0"/>
          <w:color w:val="000000"/>
          <w:kern w:val="2"/>
          <w:sz w:val="32"/>
          <w:szCs w:val="32"/>
          <w:shd w:val="clear" w:color="auto" w:fill="auto"/>
          <w:lang w:eastAsia="zh-CN" w:bidi="ar-SA"/>
        </w:rPr>
        <w:t>附件2</w:t>
      </w:r>
    </w:p>
    <w:p>
      <w:pPr>
        <w:rPr>
          <w:rFonts w:hint="default"/>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957" w:leftChars="513" w:hanging="880" w:hangingChars="200"/>
        <w:jc w:val="both"/>
        <w:textAlignment w:val="auto"/>
        <w:rPr>
          <w:rFonts w:hint="eastAsia"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长春市李氏婚纱梦想城“7</w:t>
      </w:r>
      <w:r>
        <w:rPr>
          <w:rFonts w:hint="default" w:ascii="Times New Roman" w:hAnsi="Times New Roman" w:eastAsia="方正小标宋简体" w:cs="Times New Roman"/>
          <w:sz w:val="44"/>
          <w:szCs w:val="44"/>
          <w:highlight w:val="none"/>
          <w:lang w:val="en-US" w:eastAsia="zh-CN"/>
        </w:rPr>
        <w:t>·</w:t>
      </w:r>
      <w:r>
        <w:rPr>
          <w:rFonts w:hint="eastAsia" w:ascii="Times New Roman" w:hAnsi="Times New Roman" w:eastAsia="方正小标宋简体" w:cs="Times New Roman"/>
          <w:sz w:val="44"/>
          <w:szCs w:val="44"/>
          <w:highlight w:val="none"/>
          <w:lang w:val="en-US" w:eastAsia="zh-CN"/>
        </w:rPr>
        <w:t>2</w:t>
      </w:r>
      <w:r>
        <w:rPr>
          <w:rFonts w:hint="default" w:ascii="Times New Roman" w:hAnsi="Times New Roman" w:eastAsia="方正小标宋简体" w:cs="Times New Roman"/>
          <w:sz w:val="44"/>
          <w:szCs w:val="44"/>
          <w:highlight w:val="none"/>
          <w:lang w:val="en-US" w:eastAsia="zh-CN"/>
        </w:rPr>
        <w:t>4</w:t>
      </w:r>
      <w:r>
        <w:rPr>
          <w:rFonts w:hint="eastAsia" w:ascii="Times New Roman" w:hAnsi="Times New Roman" w:eastAsia="方正小标宋简体" w:cs="Times New Roman"/>
          <w:sz w:val="44"/>
          <w:szCs w:val="44"/>
          <w:highlight w:val="none"/>
          <w:lang w:val="en-US" w:eastAsia="zh-CN"/>
        </w:rPr>
        <w:t>”重大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398" w:leftChars="304" w:hanging="1760" w:hangingChars="400"/>
        <w:jc w:val="both"/>
        <w:textAlignment w:val="auto"/>
        <w:rPr>
          <w:rFonts w:hint="default"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火灾</w:t>
      </w:r>
      <w:r>
        <w:rPr>
          <w:rFonts w:hint="default" w:ascii="Times New Roman" w:hAnsi="Times New Roman" w:eastAsia="方正小标宋简体" w:cs="Times New Roman"/>
          <w:sz w:val="44"/>
          <w:szCs w:val="44"/>
          <w:highlight w:val="none"/>
          <w:lang w:val="en-US" w:eastAsia="zh-CN"/>
        </w:rPr>
        <w:t>事故防范和整改措施经验做法清单</w:t>
      </w:r>
    </w:p>
    <w:p>
      <w:pPr>
        <w:pStyle w:val="2"/>
        <w:rPr>
          <w:rFonts w:hint="default"/>
          <w:lang w:eastAsia="zh-CN"/>
        </w:rPr>
      </w:pP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8"/>
        <w:gridCol w:w="716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tblHeader/>
          <w:jc w:val="center"/>
        </w:trPr>
        <w:tc>
          <w:tcPr>
            <w:tcW w:w="778" w:type="dxa"/>
            <w:noWrap w:val="0"/>
            <w:vAlign w:val="center"/>
          </w:tcPr>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center"/>
              <w:textAlignment w:val="auto"/>
              <w:rPr>
                <w:rFonts w:hint="default" w:ascii="Times New Roman" w:hAnsi="Times New Roman" w:eastAsia="黑体" w:cs="Times New Roman"/>
                <w:b w:val="0"/>
                <w:color w:val="000000"/>
                <w:kern w:val="2"/>
                <w:sz w:val="24"/>
                <w:szCs w:val="24"/>
                <w:shd w:val="clear" w:color="auto" w:fill="auto"/>
                <w:vertAlign w:val="baseline"/>
                <w:lang w:eastAsia="zh-CN" w:bidi="ar-SA"/>
              </w:rPr>
            </w:pPr>
            <w:r>
              <w:rPr>
                <w:rFonts w:hint="default" w:ascii="Times New Roman" w:hAnsi="Times New Roman" w:eastAsia="黑体" w:cs="Times New Roman"/>
                <w:b w:val="0"/>
                <w:color w:val="000000"/>
                <w:kern w:val="2"/>
                <w:sz w:val="24"/>
                <w:szCs w:val="24"/>
                <w:shd w:val="clear" w:color="auto" w:fill="auto"/>
                <w:vertAlign w:val="baseline"/>
                <w:lang w:eastAsia="zh-CN" w:bidi="ar-SA"/>
              </w:rPr>
              <w:t>序号</w:t>
            </w:r>
          </w:p>
        </w:tc>
        <w:tc>
          <w:tcPr>
            <w:tcW w:w="7168" w:type="dxa"/>
            <w:noWrap w:val="0"/>
            <w:vAlign w:val="center"/>
          </w:tcPr>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center"/>
              <w:textAlignment w:val="auto"/>
              <w:rPr>
                <w:rFonts w:hint="default" w:ascii="Times New Roman" w:hAnsi="Times New Roman" w:eastAsia="黑体" w:cs="Times New Roman"/>
                <w:b w:val="0"/>
                <w:color w:val="000000"/>
                <w:kern w:val="2"/>
                <w:sz w:val="24"/>
                <w:szCs w:val="24"/>
                <w:shd w:val="clear" w:color="auto" w:fill="auto"/>
                <w:vertAlign w:val="baseline"/>
                <w:lang w:val="en-US" w:eastAsia="zh-CN" w:bidi="ar-SA"/>
              </w:rPr>
            </w:pPr>
            <w:r>
              <w:rPr>
                <w:rFonts w:hint="default" w:ascii="Times New Roman" w:hAnsi="Times New Roman" w:eastAsia="黑体" w:cs="Times New Roman"/>
                <w:b w:val="0"/>
                <w:color w:val="000000"/>
                <w:kern w:val="2"/>
                <w:sz w:val="24"/>
                <w:szCs w:val="24"/>
                <w:shd w:val="clear" w:color="auto" w:fill="auto"/>
                <w:vertAlign w:val="baseline"/>
                <w:lang w:eastAsia="zh-CN" w:bidi="ar-SA"/>
              </w:rPr>
              <w:t>经验</w:t>
            </w:r>
            <w:r>
              <w:rPr>
                <w:rFonts w:hint="default" w:ascii="Times New Roman" w:hAnsi="Times New Roman" w:eastAsia="黑体" w:cs="Times New Roman"/>
                <w:b w:val="0"/>
                <w:color w:val="000000"/>
                <w:kern w:val="2"/>
                <w:sz w:val="24"/>
                <w:szCs w:val="24"/>
                <w:shd w:val="clear" w:color="auto" w:fill="auto"/>
                <w:vertAlign w:val="baseline"/>
                <w:lang w:val="en-US" w:eastAsia="zh-CN" w:bidi="ar-SA"/>
              </w:rPr>
              <w:t>做法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78" w:type="dxa"/>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560" w:lineRule="exact"/>
              <w:ind w:left="0" w:leftChars="0" w:firstLine="0" w:firstLineChars="0"/>
              <w:jc w:val="center"/>
              <w:textAlignment w:val="auto"/>
              <w:rPr>
                <w:rFonts w:hint="default" w:ascii="Times New Roman" w:hAnsi="Times New Roman" w:eastAsia="仿宋_GB2312" w:cs="Times New Roman"/>
                <w:b w:val="0"/>
                <w:color w:val="000000"/>
                <w:kern w:val="2"/>
                <w:sz w:val="24"/>
                <w:szCs w:val="24"/>
                <w:shd w:val="clear" w:color="auto" w:fill="auto"/>
                <w:vertAlign w:val="baseline"/>
                <w:lang w:eastAsia="zh-CN" w:bidi="ar-SA"/>
              </w:rPr>
            </w:pPr>
            <w:r>
              <w:rPr>
                <w:rFonts w:hint="eastAsia" w:ascii="Times New Roman" w:hAnsi="Times New Roman" w:eastAsia="仿宋_GB2312" w:cs="Times New Roman"/>
                <w:b w:val="0"/>
                <w:color w:val="000000"/>
                <w:kern w:val="2"/>
                <w:sz w:val="24"/>
                <w:szCs w:val="24"/>
                <w:shd w:val="clear" w:color="auto" w:fill="auto"/>
                <w:vertAlign w:val="baseline"/>
                <w:lang w:eastAsia="zh-CN" w:bidi="ar-SA"/>
              </w:rPr>
              <w:t>一</w:t>
            </w:r>
          </w:p>
        </w:tc>
        <w:tc>
          <w:tcPr>
            <w:tcW w:w="7168" w:type="dxa"/>
            <w:noWrap w:val="0"/>
            <w:vAlign w:val="center"/>
          </w:tcPr>
          <w:p>
            <w:pPr>
              <w:pStyle w:val="13"/>
              <w:keepNext w:val="0"/>
              <w:keepLines w:val="0"/>
              <w:pageBreakBefore w:val="0"/>
              <w:kinsoku/>
              <w:wordWrap/>
              <w:topLinePunct w:val="0"/>
              <w:autoSpaceDE/>
              <w:autoSpaceDN/>
              <w:bidi w:val="0"/>
              <w:adjustRightInd/>
              <w:spacing w:line="240" w:lineRule="auto"/>
              <w:ind w:left="0" w:leftChars="0" w:firstLine="0" w:firstLineChars="0"/>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省级部门：</w:t>
            </w:r>
          </w:p>
          <w:p>
            <w:pPr>
              <w:pStyle w:val="13"/>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1.省政府审议通过了《吉林省政府消防安全责任制实施办法》，构建“党委、政府、部门、单位、公众”五位一体的责任体系，明确了消防安全责任体系，细化了行业部门监督责任清单。</w:t>
            </w:r>
          </w:p>
          <w:p>
            <w:pPr>
              <w:pStyle w:val="13"/>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2.省安委办、省应急管理厅下发《关于压实消防监督管理主体责任的通知》，推动地方出台文件明确消防救援机构、公安派出所和住建等部门以及街道（乡镇）、社区（村屯）各自的消防监督管理主体责任。</w:t>
            </w:r>
          </w:p>
          <w:p>
            <w:pPr>
              <w:pStyle w:val="13"/>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3.省消防救援总队修订《吉林省社会单位消防安全“四个能力”建设通用规范》，编印重点场所行业部门消防工作指导手册，督促落实社会单位风险隐患“自知自查自改”和公示承诺制度。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65" w:hRule="atLeast"/>
          <w:jc w:val="center"/>
        </w:trPr>
        <w:tc>
          <w:tcPr>
            <w:tcW w:w="778" w:type="dxa"/>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560" w:lineRule="exact"/>
              <w:ind w:left="0" w:leftChars="0" w:firstLine="0" w:firstLineChars="0"/>
              <w:jc w:val="center"/>
              <w:textAlignment w:val="auto"/>
              <w:rPr>
                <w:rFonts w:hint="default" w:ascii="Times New Roman" w:hAnsi="Times New Roman" w:eastAsia="仿宋_GB2312" w:cs="Times New Roman"/>
                <w:b w:val="0"/>
                <w:color w:val="000000"/>
                <w:kern w:val="2"/>
                <w:sz w:val="24"/>
                <w:szCs w:val="24"/>
                <w:shd w:val="clear" w:color="auto" w:fill="auto"/>
                <w:vertAlign w:val="baseline"/>
                <w:lang w:eastAsia="zh-CN" w:bidi="ar-SA"/>
              </w:rPr>
            </w:pPr>
            <w:r>
              <w:rPr>
                <w:rFonts w:hint="eastAsia" w:ascii="Times New Roman" w:hAnsi="Times New Roman" w:eastAsia="仿宋_GB2312" w:cs="Times New Roman"/>
                <w:b w:val="0"/>
                <w:color w:val="000000"/>
                <w:kern w:val="2"/>
                <w:sz w:val="24"/>
                <w:szCs w:val="24"/>
                <w:shd w:val="clear" w:color="auto" w:fill="auto"/>
                <w:vertAlign w:val="baseline"/>
                <w:lang w:eastAsia="zh-CN" w:bidi="ar-SA"/>
              </w:rPr>
              <w:t>二</w:t>
            </w:r>
          </w:p>
        </w:tc>
        <w:tc>
          <w:tcPr>
            <w:tcW w:w="7168" w:type="dxa"/>
            <w:noWrap w:val="0"/>
            <w:vAlign w:val="center"/>
          </w:tcPr>
          <w:p>
            <w:pPr>
              <w:keepNext w:val="0"/>
              <w:keepLines w:val="0"/>
              <w:pageBreakBefore w:val="0"/>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长春市：</w:t>
            </w:r>
          </w:p>
          <w:p>
            <w:pPr>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1.长春市颁布长春市首部《消防安全责任制实施办法》，印发《长春市人民政府办公厅关于进一步压实消防安全监督管理责任的通知》，将全市5938家消防安全重点单位由各级消防救援机构实施日常监督管理，其余生产经营单位列入消防安全非重点单位，由公安部门在全省率先承担消防监管责任，实施日常监督管理。</w:t>
            </w:r>
          </w:p>
          <w:p>
            <w:pPr>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highlight w:val="none"/>
                <w:lang w:val="en-US" w:eastAsia="zh-CN" w:bidi="ar-SA"/>
              </w:rPr>
              <w:t>2.长春市公安局制发《全市非消防安全重点单位台账》，组织全市派出所对辖区非消防重点单位全面摸排建档、清仓见底，列划非消防重点单位64815家, 居民住宅区的物业服务企业1136家，居、村民委员会2435家，确定派出所所长、社区民警消防监管具体任务；明确消防监督检查工作程序，对检查、整改、移交等进行细致规定，汇编成《公安派出所消防工作实操手册》，对工作进一步有效指导。</w:t>
            </w:r>
          </w:p>
          <w:p>
            <w:pPr>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3.长春市消防救援支队与国网电力长春分公司联合制定《电气消防安全管理协作十五项常态机制》，在全省、甚至全国范围率先实现了电力专业化检查向用户侧的延伸，市发改委会同电力企业进一步制定了电力检查向用户侧延伸的具体工作方案，减少电气火灾发生率，大幅提升全市火灾事故的防范能力。</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78" w:type="dxa"/>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560" w:lineRule="exact"/>
              <w:ind w:left="0" w:leftChars="0" w:firstLine="0" w:firstLineChars="0"/>
              <w:jc w:val="center"/>
              <w:textAlignment w:val="auto"/>
              <w:rPr>
                <w:rFonts w:hint="default" w:ascii="Times New Roman" w:hAnsi="Times New Roman" w:eastAsia="仿宋_GB2312" w:cs="Times New Roman"/>
                <w:b w:val="0"/>
                <w:color w:val="000000"/>
                <w:kern w:val="2"/>
                <w:sz w:val="24"/>
                <w:szCs w:val="24"/>
                <w:shd w:val="clear" w:color="auto" w:fill="auto"/>
                <w:vertAlign w:val="baseline"/>
                <w:lang w:eastAsia="zh-CN" w:bidi="ar-SA"/>
              </w:rPr>
            </w:pPr>
            <w:r>
              <w:rPr>
                <w:rFonts w:hint="eastAsia" w:ascii="Times New Roman" w:hAnsi="Times New Roman" w:eastAsia="仿宋_GB2312" w:cs="Times New Roman"/>
                <w:b w:val="0"/>
                <w:color w:val="000000"/>
                <w:kern w:val="2"/>
                <w:sz w:val="24"/>
                <w:szCs w:val="24"/>
                <w:shd w:val="clear" w:color="auto" w:fill="auto"/>
                <w:vertAlign w:val="baseline"/>
                <w:lang w:eastAsia="zh-CN" w:bidi="ar-SA"/>
              </w:rPr>
              <w:t>三</w:t>
            </w:r>
          </w:p>
        </w:tc>
        <w:tc>
          <w:tcPr>
            <w:tcW w:w="7168" w:type="dxa"/>
            <w:noWrap w:val="0"/>
            <w:vAlign w:val="center"/>
          </w:tcPr>
          <w:p>
            <w:pPr>
              <w:keepNext w:val="0"/>
              <w:keepLines w:val="0"/>
              <w:pageBreakBefore w:val="0"/>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净月高新区管委会：</w:t>
            </w:r>
          </w:p>
          <w:p>
            <w:pPr>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1.净月高新区管委会与长光卫星公司合作建立净月高新区遥感综合服务监管平台，借助平台优势对辖区全域定期进行卫星影像拍摄及分析比对，组织相关部门提取疑似违建图斑，通过现场复核和快速处置流程，发现疑似违法建设图斑影像145处，核准非违建已销号处理96处，认定违法建（构）筑物23处，已拆除13处，履行法律程序10处，有效提高违建查处的准确性和时效性。</w:t>
            </w:r>
          </w:p>
          <w:p>
            <w:pPr>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 xml:space="preserve">2.长春市公安局净月分局坚持实战导向，“促工作”与“强队伍”一体推动，通过消防例会、消防监督管理业务培训、社区警务日巡，消防演练等形式提高全员消防安全监督管理的能力，全局18名派出所负责人和38个社区警务队民警划分为372个网格内消防安全管理的“教员”和“督导员”。  </w:t>
            </w:r>
          </w:p>
          <w:p>
            <w:pPr>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3.净月高新区消防救援大队在全区开展重点任务时，大队主官下沉前沿阵地，充实一线监督执法力量，主动联合房管、城乡建设、教育、民政等等部门及街道、派出所共同开展建筑水系统消防设施治理、群租屋综合治理、高层建筑治理、电动车、危化品、生命通道等专项行动，累计联合检查50余次，防控合力高度凝聚。</w:t>
            </w:r>
          </w:p>
          <w:p>
            <w:pPr>
              <w:keepNext w:val="0"/>
              <w:keepLines w:val="0"/>
              <w:pageBreakBefore w:val="0"/>
              <w:numPr>
                <w:ilvl w:val="0"/>
                <w:numId w:val="0"/>
              </w:numPr>
              <w:kinsoku/>
              <w:wordWrap/>
              <w:topLinePunct w:val="0"/>
              <w:autoSpaceDE/>
              <w:autoSpaceDN/>
              <w:bidi w:val="0"/>
              <w:adjustRightInd/>
              <w:spacing w:line="240"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kern w:val="2"/>
                <w:sz w:val="21"/>
                <w:szCs w:val="21"/>
                <w:highlight w:val="none"/>
                <w:lang w:val="en-US" w:eastAsia="zh-CN" w:bidi="ar-SA"/>
              </w:rPr>
              <w:t>4.净月街道以坚决遏制新建、新增违法建筑为总体目标，制定《净月街道市容环境综合整治工作方案》，并将此项工作列为“一把手”工程项目，分管领导亲自挂帅，结合净月高新区遥感综合服务监管平台，对“两违图斑”进行确认、查处，发动各相关科室、社区、村对全街范围内新增的乱建、偷建、抢建的违法建筑行为依法坚决查处。</w:t>
            </w:r>
          </w:p>
        </w:tc>
      </w:tr>
    </w:tbl>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hint="default" w:ascii="仿宋_GB2312" w:hAnsi="仿宋_GB2312" w:eastAsia="仿宋_GB2312"/>
          <w:sz w:val="32"/>
          <w:lang w:val="en-US" w:eastAsia="zh-CN"/>
        </w:rPr>
      </w:pPr>
    </w:p>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left"/>
        <w:textAlignment w:val="auto"/>
        <w:rPr>
          <w:rFonts w:hint="eastAsia" w:ascii="黑体" w:hAnsi="黑体" w:eastAsia="黑体" w:cs="黑体"/>
          <w:b w:val="0"/>
          <w:bCs w:val="0"/>
          <w:color w:val="000000"/>
          <w:kern w:val="2"/>
          <w:sz w:val="32"/>
          <w:szCs w:val="32"/>
          <w:shd w:val="clear" w:color="auto" w:fill="auto"/>
          <w:lang w:eastAsia="zh-CN" w:bidi="ar-S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xMjMyNTYzZmEyNzRlMTYzZWI4ZTZkMjA4Y2M5ZjUifQ=="/>
  </w:docVars>
  <w:rsids>
    <w:rsidRoot w:val="54F67B5E"/>
    <w:rsid w:val="20A35C0A"/>
    <w:rsid w:val="54F67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next w:val="5"/>
    <w:qFormat/>
    <w:uiPriority w:val="0"/>
    <w:pPr>
      <w:ind w:firstLine="200" w:firstLineChars="200"/>
    </w:pPr>
    <w:rPr>
      <w:rFonts w:eastAsia="仿宋"/>
      <w:sz w:val="32"/>
    </w:rPr>
  </w:style>
  <w:style w:type="paragraph" w:styleId="5">
    <w:name w:val="toc 2"/>
    <w:basedOn w:val="1"/>
    <w:next w:val="1"/>
    <w:qFormat/>
    <w:uiPriority w:val="0"/>
    <w:pPr>
      <w:ind w:left="420" w:leftChars="200"/>
    </w:p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0">
    <w:name w:val="正文首行缩进 21"/>
    <w:basedOn w:val="11"/>
    <w:qFormat/>
    <w:uiPriority w:val="0"/>
    <w:pPr>
      <w:ind w:firstLine="200" w:firstLineChars="200"/>
    </w:pPr>
    <w:rPr>
      <w:rFonts w:ascii="Calibri" w:hAnsi="Calibri" w:cs="Times New Roman"/>
    </w:rPr>
  </w:style>
  <w:style w:type="paragraph" w:customStyle="1" w:styleId="11">
    <w:name w:val="正文文本缩进1"/>
    <w:basedOn w:val="1"/>
    <w:next w:val="12"/>
    <w:qFormat/>
    <w:uiPriority w:val="0"/>
    <w:pPr>
      <w:ind w:left="200" w:leftChars="200"/>
    </w:pPr>
  </w:style>
  <w:style w:type="paragraph" w:customStyle="1" w:styleId="12">
    <w:name w:val="正文缩进1"/>
    <w:basedOn w:val="1"/>
    <w:qFormat/>
    <w:uiPriority w:val="0"/>
    <w:pPr>
      <w:ind w:firstLine="200" w:firstLineChars="200"/>
    </w:pPr>
    <w:rPr>
      <w:rFonts w:eastAsia="仿宋"/>
      <w:sz w:val="32"/>
    </w:rPr>
  </w:style>
  <w:style w:type="paragraph" w:customStyle="1" w:styleId="13">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579</Words>
  <Characters>582</Characters>
  <Lines>0</Lines>
  <Paragraphs>0</Paragraphs>
  <TotalTime>1</TotalTime>
  <ScaleCrop>false</ScaleCrop>
  <LinksUpToDate>false</LinksUpToDate>
  <CharactersWithSpaces>582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2023-04-03T00:44:00Z</dcterms:created>
  <dc:creator>繁花monster</dc:creator>
  <cp:lastModifiedBy>繁花monster</cp:lastModifiedBy>
  <dcterms:modified xsi:type="dcterms:W3CDTF">2023-04-03T00:45:34Z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423B1C4C3F3041F2A8EE3DBE8BEFCCEE_13</vt:lpwstr>
  </property>
</Properties>
</file>