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80" w:lineRule="exact"/>
        <w:rPr>
          <w:rFonts w:hint="eastAsia" w:ascii="黑体" w:eastAsia="黑体"/>
          <w:spacing w:val="-20"/>
          <w:sz w:val="48"/>
          <w:szCs w:val="48"/>
        </w:rPr>
      </w:pPr>
    </w:p>
    <w:p>
      <w:pPr>
        <w:spacing w:line="780" w:lineRule="exact"/>
        <w:rPr>
          <w:rFonts w:hint="eastAsia" w:ascii="黑体" w:eastAsia="黑体"/>
          <w:spacing w:val="-20"/>
          <w:sz w:val="48"/>
          <w:szCs w:val="48"/>
        </w:rPr>
      </w:pPr>
    </w:p>
    <w:p>
      <w:pPr>
        <w:spacing w:line="780" w:lineRule="exact"/>
        <w:rPr>
          <w:rFonts w:hint="eastAsia" w:ascii="黑体" w:eastAsia="黑体"/>
          <w:spacing w:val="-20"/>
          <w:sz w:val="48"/>
          <w:szCs w:val="48"/>
        </w:rPr>
      </w:pPr>
    </w:p>
    <w:p>
      <w:pPr>
        <w:spacing w:line="780" w:lineRule="exact"/>
        <w:jc w:val="center"/>
        <w:rPr>
          <w:rFonts w:hint="eastAsia" w:ascii="宋体" w:hAnsi="宋体" w:eastAsia="宋体" w:cs="宋体"/>
          <w:b/>
          <w:bCs/>
          <w:spacing w:val="0"/>
          <w:kern w:val="0"/>
          <w:sz w:val="44"/>
          <w:szCs w:val="44"/>
        </w:rPr>
      </w:pPr>
      <w:r>
        <w:rPr>
          <w:rFonts w:hint="eastAsia" w:ascii="宋体" w:hAnsi="宋体" w:eastAsia="宋体" w:cs="宋体"/>
          <w:b/>
          <w:bCs/>
          <w:spacing w:val="0"/>
          <w:kern w:val="0"/>
          <w:sz w:val="44"/>
          <w:szCs w:val="44"/>
          <w:lang w:val="en-US" w:eastAsia="zh-CN"/>
        </w:rPr>
        <w:t>山西太钢不锈钢股份有限公司炼钢二厂</w:t>
      </w:r>
      <w:r>
        <w:rPr>
          <w:rFonts w:hint="eastAsia" w:ascii="宋体" w:hAnsi="宋体" w:eastAsia="宋体" w:cs="宋体"/>
          <w:b/>
          <w:bCs/>
          <w:spacing w:val="0"/>
          <w:kern w:val="0"/>
          <w:sz w:val="44"/>
          <w:szCs w:val="44"/>
          <w:lang w:eastAsia="zh-CN"/>
        </w:rPr>
        <w:t>“</w:t>
      </w:r>
      <w:r>
        <w:rPr>
          <w:rFonts w:hint="eastAsia" w:ascii="宋体" w:hAnsi="宋体" w:cs="宋体"/>
          <w:b/>
          <w:bCs/>
          <w:spacing w:val="0"/>
          <w:kern w:val="0"/>
          <w:sz w:val="44"/>
          <w:szCs w:val="44"/>
          <w:lang w:val="en-US" w:eastAsia="zh-CN"/>
        </w:rPr>
        <w:t>6</w:t>
      </w:r>
      <w:r>
        <w:rPr>
          <w:rFonts w:hint="eastAsia" w:ascii="宋体" w:hAnsi="宋体" w:eastAsia="宋体" w:cs="宋体"/>
          <w:b/>
          <w:bCs/>
          <w:spacing w:val="0"/>
          <w:kern w:val="0"/>
          <w:sz w:val="44"/>
          <w:szCs w:val="44"/>
        </w:rPr>
        <w:t>·2</w:t>
      </w:r>
      <w:r>
        <w:rPr>
          <w:rFonts w:hint="eastAsia" w:ascii="宋体" w:hAnsi="宋体" w:cs="宋体"/>
          <w:b/>
          <w:bCs/>
          <w:spacing w:val="0"/>
          <w:kern w:val="0"/>
          <w:sz w:val="44"/>
          <w:szCs w:val="44"/>
          <w:lang w:val="en-US" w:eastAsia="zh-CN"/>
        </w:rPr>
        <w:t>1</w:t>
      </w:r>
      <w:r>
        <w:rPr>
          <w:rFonts w:hint="eastAsia" w:ascii="宋体" w:hAnsi="宋体" w:eastAsia="宋体" w:cs="宋体"/>
          <w:b/>
          <w:bCs/>
          <w:spacing w:val="0"/>
          <w:kern w:val="0"/>
          <w:sz w:val="44"/>
          <w:szCs w:val="44"/>
          <w:lang w:eastAsia="zh-CN"/>
        </w:rPr>
        <w:t>”</w:t>
      </w:r>
      <w:r>
        <w:rPr>
          <w:rFonts w:hint="eastAsia" w:ascii="宋体" w:hAnsi="宋体" w:cs="宋体"/>
          <w:b/>
          <w:bCs/>
          <w:spacing w:val="0"/>
          <w:kern w:val="0"/>
          <w:sz w:val="44"/>
          <w:szCs w:val="44"/>
          <w:lang w:val="en-US" w:eastAsia="zh-CN"/>
        </w:rPr>
        <w:t>煤气中毒</w:t>
      </w:r>
      <w:r>
        <w:rPr>
          <w:rFonts w:hint="eastAsia" w:ascii="宋体" w:hAnsi="宋体" w:eastAsia="宋体" w:cs="宋体"/>
          <w:b/>
          <w:bCs/>
          <w:spacing w:val="0"/>
          <w:kern w:val="0"/>
          <w:sz w:val="44"/>
          <w:szCs w:val="44"/>
        </w:rPr>
        <w:t>事故调查报告</w:t>
      </w: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ascii="仿宋_GB2312" w:hAnsi="仿宋" w:eastAsia="仿宋_GB2312"/>
          <w:b/>
          <w:sz w:val="32"/>
          <w:szCs w:val="32"/>
        </w:rPr>
      </w:pPr>
      <w:r>
        <w:rPr>
          <w:rFonts w:hint="eastAsia" w:ascii="仿宋_GB2312" w:hAnsi="仿宋" w:eastAsia="仿宋_GB2312"/>
          <w:b/>
          <w:sz w:val="32"/>
          <w:szCs w:val="32"/>
        </w:rPr>
        <w:t>尖草坪区人民政府“</w:t>
      </w:r>
      <w:r>
        <w:rPr>
          <w:rFonts w:hint="eastAsia" w:ascii="仿宋_GB2312" w:hAnsi="仿宋" w:eastAsia="仿宋_GB2312"/>
          <w:b/>
          <w:sz w:val="32"/>
          <w:szCs w:val="32"/>
          <w:lang w:val="en-US" w:eastAsia="zh-CN"/>
        </w:rPr>
        <w:t>6</w:t>
      </w:r>
      <w:r>
        <w:rPr>
          <w:rFonts w:hint="eastAsia" w:ascii="仿宋_GB2312" w:hAnsi="仿宋" w:eastAsia="仿宋_GB2312"/>
          <w:b/>
          <w:sz w:val="32"/>
          <w:szCs w:val="32"/>
        </w:rPr>
        <w:t>·2</w:t>
      </w:r>
      <w:r>
        <w:rPr>
          <w:rFonts w:hint="eastAsia" w:ascii="仿宋_GB2312" w:hAnsi="仿宋" w:eastAsia="仿宋_GB2312"/>
          <w:b/>
          <w:sz w:val="32"/>
          <w:szCs w:val="32"/>
          <w:lang w:val="en-US" w:eastAsia="zh-CN"/>
        </w:rPr>
        <w:t>1</w:t>
      </w:r>
      <w:r>
        <w:rPr>
          <w:rFonts w:hint="eastAsia" w:ascii="仿宋_GB2312" w:hAnsi="仿宋" w:eastAsia="仿宋_GB2312"/>
          <w:b/>
          <w:sz w:val="32"/>
          <w:szCs w:val="32"/>
        </w:rPr>
        <w:t>”事故调查组</w:t>
      </w:r>
    </w:p>
    <w:p>
      <w:pPr>
        <w:jc w:val="center"/>
        <w:rPr>
          <w:rFonts w:hint="eastAsia" w:ascii="仿宋_GB2312" w:hAnsi="仿宋" w:eastAsia="仿宋_GB2312"/>
          <w:b/>
          <w:sz w:val="32"/>
          <w:szCs w:val="32"/>
        </w:rPr>
      </w:pPr>
      <w:r>
        <w:rPr>
          <w:rFonts w:hint="eastAsia" w:ascii="仿宋_GB2312" w:hAnsi="仿宋" w:eastAsia="仿宋_GB2312"/>
          <w:b/>
          <w:sz w:val="32"/>
          <w:szCs w:val="32"/>
        </w:rPr>
        <w:t>202</w:t>
      </w:r>
      <w:r>
        <w:rPr>
          <w:rFonts w:hint="eastAsia" w:ascii="仿宋_GB2312" w:hAnsi="仿宋" w:eastAsia="仿宋_GB2312"/>
          <w:b/>
          <w:sz w:val="32"/>
          <w:szCs w:val="32"/>
          <w:lang w:val="en-US" w:eastAsia="zh-CN"/>
        </w:rPr>
        <w:t>2</w:t>
      </w:r>
      <w:r>
        <w:rPr>
          <w:rFonts w:hint="eastAsia" w:ascii="仿宋_GB2312" w:hAnsi="仿宋" w:eastAsia="仿宋_GB2312"/>
          <w:b/>
          <w:sz w:val="32"/>
          <w:szCs w:val="32"/>
        </w:rPr>
        <w:t>年</w:t>
      </w:r>
      <w:r>
        <w:rPr>
          <w:rFonts w:hint="eastAsia" w:ascii="仿宋_GB2312" w:hAnsi="仿宋" w:eastAsia="仿宋_GB2312"/>
          <w:b/>
          <w:sz w:val="32"/>
          <w:szCs w:val="32"/>
          <w:lang w:val="en-US" w:eastAsia="zh-CN"/>
        </w:rPr>
        <w:t>10</w:t>
      </w:r>
      <w:r>
        <w:rPr>
          <w:rFonts w:hint="eastAsia" w:ascii="仿宋_GB2312" w:hAnsi="仿宋" w:eastAsia="仿宋_GB2312"/>
          <w:b/>
          <w:sz w:val="32"/>
          <w:szCs w:val="32"/>
        </w:rPr>
        <w:t>月</w:t>
      </w:r>
      <w:r>
        <w:rPr>
          <w:rFonts w:hint="eastAsia" w:ascii="仿宋_GB2312" w:hAnsi="仿宋" w:eastAsia="仿宋_GB2312"/>
          <w:b/>
          <w:sz w:val="32"/>
          <w:szCs w:val="32"/>
          <w:lang w:val="en-US" w:eastAsia="zh-CN"/>
        </w:rPr>
        <w:t>20</w:t>
      </w:r>
      <w:r>
        <w:rPr>
          <w:rFonts w:hint="eastAsia" w:ascii="仿宋_GB2312" w:hAnsi="仿宋" w:eastAsia="仿宋_GB2312"/>
          <w:b/>
          <w:sz w:val="32"/>
          <w:szCs w:val="32"/>
        </w:rPr>
        <w:t>日</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cs="Times New Roman"/>
          <w:sz w:val="32"/>
          <w:szCs w:val="32"/>
          <w:lang w:val="en-US" w:eastAsia="zh-CN"/>
        </w:rPr>
        <w:sectPr>
          <w:footerReference r:id="rId3" w:type="default"/>
          <w:pgSz w:w="11906" w:h="16838"/>
          <w:pgMar w:top="1440" w:right="1800" w:bottom="1440" w:left="1800" w:header="851" w:footer="992" w:gutter="0"/>
          <w:pgNumType w:fmt="decimal" w:start="1"/>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sz w:val="32"/>
          <w:szCs w:val="32"/>
          <w:lang w:val="en-US" w:eastAsia="zh-CN"/>
        </w:rPr>
      </w:pPr>
      <w:r>
        <w:rPr>
          <w:rFonts w:hint="eastAsia" w:ascii="仿宋_GB2312" w:hAnsi="仿宋" w:eastAsia="仿宋_GB2312" w:cs="Times New Roman"/>
          <w:sz w:val="32"/>
          <w:szCs w:val="32"/>
          <w:lang w:val="en-US" w:eastAsia="zh-CN"/>
        </w:rPr>
        <w:t>2022年6月21日9时15分许，</w:t>
      </w:r>
      <w:r>
        <w:rPr>
          <w:rFonts w:hint="eastAsia" w:ascii="仿宋_GB2312" w:hAnsi="仿宋" w:eastAsia="仿宋_GB2312"/>
          <w:sz w:val="32"/>
          <w:szCs w:val="32"/>
          <w:lang w:val="en-US" w:eastAsia="zh-CN"/>
        </w:rPr>
        <w:t>山西太钢不锈钢股份有限公司炼钢二厂能源环保作业区南区转炉一次除尘风机房一层，发生了一起煤气中毒事故，造成1人死亡、1人受伤，</w:t>
      </w:r>
      <w:r>
        <w:rPr>
          <w:rFonts w:hint="eastAsia" w:ascii="仿宋_GB2312" w:hAnsi="仿宋_GB2312" w:eastAsia="仿宋_GB2312" w:cs="仿宋_GB2312"/>
          <w:sz w:val="32"/>
          <w:szCs w:val="32"/>
          <w:lang w:val="en-US" w:eastAsia="zh-CN"/>
        </w:rPr>
        <w:t>直接经济损失约245万元</w:t>
      </w:r>
      <w:r>
        <w:rPr>
          <w:rFonts w:hint="eastAsia" w:ascii="仿宋_GB2312" w:hAnsi="仿宋" w:eastAsia="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sz w:val="32"/>
          <w:szCs w:val="32"/>
        </w:rPr>
      </w:pPr>
      <w:r>
        <w:rPr>
          <w:rFonts w:hint="eastAsia" w:ascii="仿宋_GB2312" w:hAnsi="仿宋" w:eastAsia="仿宋_GB2312"/>
          <w:sz w:val="32"/>
          <w:szCs w:val="32"/>
        </w:rPr>
        <w:t>依据《中华人民共和国安全生产法》和《生产安全事故报告和调查处理条例》（国务院令第4</w:t>
      </w:r>
      <w:r>
        <w:rPr>
          <w:rFonts w:ascii="仿宋_GB2312" w:hAnsi="仿宋" w:eastAsia="仿宋_GB2312"/>
          <w:sz w:val="32"/>
          <w:szCs w:val="32"/>
        </w:rPr>
        <w:t>93</w:t>
      </w:r>
      <w:r>
        <w:rPr>
          <w:rFonts w:hint="eastAsia" w:ascii="仿宋_GB2312" w:hAnsi="仿宋" w:eastAsia="仿宋_GB2312"/>
          <w:sz w:val="32"/>
          <w:szCs w:val="32"/>
        </w:rPr>
        <w:t>号）等有关法律法规规定，经尖草坪</w:t>
      </w:r>
      <w:r>
        <w:rPr>
          <w:rFonts w:hint="eastAsia" w:ascii="仿宋_GB2312" w:hAnsi="仿宋" w:eastAsia="仿宋_GB2312"/>
          <w:color w:val="000000"/>
          <w:sz w:val="32"/>
          <w:szCs w:val="32"/>
        </w:rPr>
        <w:t>区政府批准同意，</w:t>
      </w:r>
      <w:r>
        <w:rPr>
          <w:rFonts w:hint="eastAsia" w:ascii="仿宋_GB2312" w:hAnsi="仿宋" w:eastAsia="仿宋_GB2312"/>
          <w:sz w:val="32"/>
          <w:szCs w:val="32"/>
        </w:rPr>
        <w:t>成立了由</w:t>
      </w:r>
      <w:r>
        <w:rPr>
          <w:rFonts w:hint="eastAsia" w:ascii="仿宋_GB2312" w:hAnsi="仿宋" w:eastAsia="仿宋_GB2312"/>
          <w:color w:val="000000"/>
          <w:sz w:val="32"/>
          <w:szCs w:val="32"/>
        </w:rPr>
        <w:t>区</w:t>
      </w:r>
      <w:r>
        <w:rPr>
          <w:rFonts w:hint="eastAsia" w:ascii="仿宋_GB2312" w:hAnsi="仿宋" w:eastAsia="仿宋_GB2312"/>
          <w:color w:val="000000"/>
          <w:sz w:val="32"/>
          <w:szCs w:val="32"/>
          <w:lang w:val="en-US" w:eastAsia="zh-CN"/>
        </w:rPr>
        <w:t>应急管理</w:t>
      </w:r>
      <w:r>
        <w:rPr>
          <w:rFonts w:hint="eastAsia" w:ascii="仿宋_GB2312" w:hAnsi="仿宋" w:eastAsia="仿宋_GB2312"/>
          <w:sz w:val="32"/>
          <w:szCs w:val="32"/>
        </w:rPr>
        <w:t>局牵头，</w:t>
      </w:r>
      <w:r>
        <w:rPr>
          <w:rFonts w:hint="eastAsia" w:ascii="仿宋" w:hAnsi="仿宋" w:eastAsia="仿宋"/>
          <w:sz w:val="32"/>
          <w:szCs w:val="32"/>
          <w:lang w:val="en-US" w:eastAsia="zh-CN"/>
        </w:rPr>
        <w:t>区工信局、</w:t>
      </w:r>
      <w:r>
        <w:rPr>
          <w:rFonts w:hint="eastAsia" w:ascii="仿宋_GB2312" w:hAnsi="仿宋" w:eastAsia="仿宋_GB2312"/>
          <w:sz w:val="32"/>
          <w:szCs w:val="32"/>
        </w:rPr>
        <w:t>公安尖草坪分局、区总工会、</w:t>
      </w:r>
      <w:r>
        <w:rPr>
          <w:rFonts w:hint="eastAsia" w:ascii="仿宋_GB2312" w:hAnsi="仿宋" w:eastAsia="仿宋_GB2312"/>
          <w:sz w:val="32"/>
          <w:szCs w:val="32"/>
          <w:lang w:val="en-US" w:eastAsia="zh-CN"/>
        </w:rPr>
        <w:t>古城街道</w:t>
      </w:r>
      <w:r>
        <w:rPr>
          <w:rFonts w:hint="eastAsia" w:ascii="仿宋_GB2312" w:hAnsi="仿宋" w:eastAsia="仿宋_GB2312"/>
          <w:sz w:val="32"/>
          <w:szCs w:val="32"/>
        </w:rPr>
        <w:t>办事处等相关单位组成的事故调查组，并邀请区</w:t>
      </w:r>
      <w:r>
        <w:rPr>
          <w:rFonts w:hint="eastAsia" w:ascii="仿宋_GB2312" w:hAnsi="仿宋" w:eastAsia="仿宋_GB2312"/>
          <w:sz w:val="32"/>
          <w:szCs w:val="32"/>
          <w:lang w:val="en-US" w:eastAsia="zh-CN"/>
        </w:rPr>
        <w:t>纪委监委</w:t>
      </w:r>
      <w:r>
        <w:rPr>
          <w:rFonts w:hint="eastAsia" w:ascii="仿宋_GB2312" w:hAnsi="仿宋" w:eastAsia="仿宋_GB2312"/>
          <w:sz w:val="32"/>
          <w:szCs w:val="32"/>
        </w:rPr>
        <w:t>参加，</w:t>
      </w:r>
      <w:r>
        <w:rPr>
          <w:rFonts w:hint="eastAsia" w:ascii="仿宋_GB2312" w:hAnsi="仿宋" w:eastAsia="仿宋_GB2312"/>
          <w:sz w:val="32"/>
          <w:szCs w:val="32"/>
          <w:lang w:val="en-US" w:eastAsia="zh-CN"/>
        </w:rPr>
        <w:t>同时邀请两名燃气专家，</w:t>
      </w:r>
      <w:r>
        <w:rPr>
          <w:rFonts w:hint="eastAsia" w:ascii="仿宋_GB2312" w:hAnsi="仿宋" w:eastAsia="仿宋_GB2312"/>
          <w:sz w:val="32"/>
          <w:szCs w:val="32"/>
        </w:rPr>
        <w:t>对事故展开了全面调查。</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仿宋_GB2312" w:hAnsi="仿宋" w:eastAsia="仿宋_GB2312"/>
          <w:sz w:val="32"/>
          <w:szCs w:val="32"/>
          <w:lang w:val="en-US" w:eastAsia="zh-CN"/>
        </w:rPr>
      </w:pPr>
      <w:r>
        <w:rPr>
          <w:rFonts w:hint="default" w:ascii="仿宋_GB2312" w:hAnsi="仿宋" w:eastAsia="仿宋_GB2312"/>
          <w:sz w:val="32"/>
          <w:szCs w:val="32"/>
          <w:lang w:val="en-US" w:eastAsia="zh-CN"/>
        </w:rPr>
        <w:t>事故调查组按照“四不放过”和“科学严谨、依法依规、实事求是、注重实效”的原则，通过调阅有关资料文件，与相关责任人谈话、现场勘验等调查取证工作，查明了事故经过、事故原因、应急处置以及经济损失情况，认定了事故性质和责任，提出了对有关责任单位、责任人员的处理建议和事故防范整改措施。</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b/>
          <w:color w:val="000000"/>
          <w:sz w:val="32"/>
          <w:szCs w:val="32"/>
          <w:shd w:val="clear" w:color="auto" w:fill="FFFFFF"/>
        </w:rPr>
      </w:pPr>
      <w:r>
        <w:rPr>
          <w:rFonts w:hint="eastAsia" w:ascii="黑体" w:hAnsi="黑体" w:eastAsia="黑体"/>
          <w:sz w:val="32"/>
          <w:szCs w:val="32"/>
        </w:rPr>
        <w:t>一、基本情况</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楷体" w:hAnsi="楷体" w:eastAsia="楷体" w:cs="楷体"/>
          <w:b/>
          <w:color w:val="000000"/>
          <w:sz w:val="32"/>
          <w:szCs w:val="32"/>
          <w:shd w:val="clear" w:color="auto" w:fill="FFFFFF"/>
        </w:rPr>
      </w:pPr>
      <w:r>
        <w:rPr>
          <w:rFonts w:hint="eastAsia" w:ascii="楷体" w:hAnsi="楷体" w:eastAsia="楷体" w:cs="楷体"/>
          <w:b/>
          <w:color w:val="000000"/>
          <w:sz w:val="32"/>
          <w:szCs w:val="32"/>
          <w:shd w:val="clear" w:color="auto" w:fill="FFFFFF"/>
        </w:rPr>
        <w:t>（一）事故相关单位情况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s="Times New Roman"/>
          <w:sz w:val="32"/>
          <w:szCs w:val="28"/>
        </w:rPr>
      </w:pPr>
      <w:r>
        <w:rPr>
          <w:rFonts w:hint="eastAsia" w:ascii="仿宋_GB2312" w:hAnsi="仿宋" w:eastAsia="仿宋_GB2312"/>
          <w:sz w:val="32"/>
          <w:szCs w:val="32"/>
        </w:rPr>
        <w:t>1.</w:t>
      </w:r>
      <w:r>
        <w:rPr>
          <w:rFonts w:hint="eastAsia" w:ascii="仿宋_GB2312" w:eastAsia="仿宋_GB2312"/>
          <w:sz w:val="32"/>
          <w:szCs w:val="28"/>
        </w:rPr>
        <w:t>山西太钢不锈钢股份有限公司炼钢二厂（以下简称炼钢二厂）是太钢核心生产厂，承担着太钢90%以上的产钢任务和主要品种钢冶炼任务，具备年产380万吨不锈钢、750万吨碳钢的生产能力，全厂占地面积60万平方米，固定资产129.74亿元，下设6个科室、16个作业区，目前拥有职工2050人，各类管理、专业技术人员190人。</w:t>
      </w:r>
    </w:p>
    <w:p>
      <w:pPr>
        <w:snapToGrid w:val="0"/>
        <w:spacing w:line="560" w:lineRule="exact"/>
        <w:ind w:firstLine="640" w:firstLineChars="200"/>
        <w:rPr>
          <w:rFonts w:hint="eastAsia" w:ascii="仿宋_GB2312" w:hAnsi="仿宋" w:eastAsia="仿宋_GB2312"/>
          <w:sz w:val="32"/>
          <w:szCs w:val="32"/>
          <w:lang w:val="en-US" w:eastAsia="zh-CN"/>
        </w:rPr>
      </w:pPr>
      <w:r>
        <w:rPr>
          <w:rFonts w:hint="eastAsia" w:ascii="仿宋_GB2312" w:hAnsi="仿宋" w:eastAsia="仿宋_GB2312" w:cs="Times New Roman"/>
          <w:sz w:val="32"/>
          <w:szCs w:val="32"/>
        </w:rPr>
        <w:t>2.</w:t>
      </w:r>
      <w:r>
        <w:rPr>
          <w:rFonts w:hint="eastAsia" w:ascii="仿宋_GB2312" w:hAnsi="仿宋" w:eastAsia="仿宋_GB2312"/>
          <w:sz w:val="32"/>
          <w:szCs w:val="32"/>
          <w:lang w:eastAsia="zh-CN"/>
        </w:rPr>
        <w:t>中冶宝钢技术服务有限公司（以下简称中冶宝钢），</w:t>
      </w:r>
      <w:r>
        <w:rPr>
          <w:rFonts w:hint="eastAsia" w:ascii="仿宋_GB2312" w:hAnsi="仿宋" w:eastAsia="仿宋_GB2312"/>
          <w:sz w:val="32"/>
          <w:szCs w:val="32"/>
          <w:lang w:val="en-US" w:eastAsia="zh-CN"/>
        </w:rPr>
        <w:t>法定代表人：王振智，</w:t>
      </w:r>
      <w:r>
        <w:rPr>
          <w:rFonts w:hint="eastAsia" w:ascii="仿宋" w:hAnsi="仿宋" w:eastAsia="仿宋" w:cs="仿宋"/>
          <w:color w:val="000000"/>
          <w:sz w:val="32"/>
          <w:szCs w:val="40"/>
          <w:lang w:val="en-US" w:eastAsia="zh-CN"/>
        </w:rPr>
        <w:t>注册资金：12亿元整，</w:t>
      </w:r>
      <w:r>
        <w:rPr>
          <w:rFonts w:hint="eastAsia" w:ascii="仿宋" w:hAnsi="仿宋" w:eastAsia="仿宋" w:cs="仿宋"/>
          <w:color w:val="000000"/>
          <w:sz w:val="32"/>
          <w:szCs w:val="40"/>
        </w:rPr>
        <w:t>营业期限：</w:t>
      </w:r>
      <w:r>
        <w:rPr>
          <w:rFonts w:hint="eastAsia" w:ascii="仿宋" w:hAnsi="仿宋" w:eastAsia="仿宋" w:cs="仿宋"/>
          <w:color w:val="000000"/>
          <w:sz w:val="32"/>
          <w:szCs w:val="40"/>
          <w:lang w:val="en-US" w:eastAsia="zh-CN"/>
        </w:rPr>
        <w:t>1989年06月01日至2036年06年21日，</w:t>
      </w:r>
      <w:r>
        <w:rPr>
          <w:rFonts w:hint="eastAsia" w:ascii="仿宋_GB2312" w:hAnsi="仿宋" w:eastAsia="仿宋_GB2312"/>
          <w:sz w:val="32"/>
          <w:szCs w:val="32"/>
          <w:lang w:val="en-US" w:eastAsia="zh-CN"/>
        </w:rPr>
        <w:t>注册</w:t>
      </w:r>
      <w:r>
        <w:rPr>
          <w:rFonts w:hint="eastAsia" w:ascii="仿宋" w:hAnsi="仿宋" w:eastAsia="仿宋" w:cs="仿宋"/>
          <w:color w:val="000000"/>
          <w:sz w:val="32"/>
          <w:szCs w:val="40"/>
          <w:lang w:val="en-US" w:eastAsia="zh-CN"/>
        </w:rPr>
        <w:t>地址：上海市宝山区宝泉路1号；</w:t>
      </w:r>
      <w:r>
        <w:rPr>
          <w:rFonts w:hint="eastAsia" w:ascii="仿宋_GB2312" w:hAnsi="Times New Roman" w:eastAsia="仿宋_GB2312"/>
          <w:color w:val="000000"/>
          <w:sz w:val="32"/>
          <w:szCs w:val="32"/>
          <w:lang w:val="en-US" w:eastAsia="zh-CN"/>
        </w:rPr>
        <w:t>主营业务范围：</w:t>
      </w:r>
      <w:r>
        <w:rPr>
          <w:rFonts w:hint="eastAsia" w:ascii="仿宋_GB2312" w:hAnsi="仿宋" w:eastAsia="仿宋_GB2312"/>
          <w:sz w:val="32"/>
          <w:szCs w:val="32"/>
          <w:lang w:eastAsia="zh-CN"/>
        </w:rPr>
        <w:t>设备维修；锅炉、压力管道、压力容器及机电设备（含机电类特种设备）安装、改造、维修工程；冶金协力生产；劳务作业等业务范围。具有：特种设备安装改造修理许可证（起重机械、锅炉、承压类特种设备安装、修理、改造），建筑业企业资质证书机电工程施工总承包二级</w:t>
      </w:r>
      <w:r>
        <w:rPr>
          <w:rFonts w:hint="eastAsia" w:ascii="仿宋_GB2312" w:hAnsi="仿宋" w:eastAsia="仿宋_GB2312"/>
          <w:sz w:val="32"/>
          <w:szCs w:val="32"/>
          <w:lang w:val="en-US" w:eastAsia="zh-CN"/>
        </w:rPr>
        <w:t>等资质。</w:t>
      </w:r>
    </w:p>
    <w:p>
      <w:pPr>
        <w:keepNext w:val="0"/>
        <w:keepLines w:val="0"/>
        <w:pageBreakBefore w:val="0"/>
        <w:widowControl w:val="0"/>
        <w:kinsoku/>
        <w:wordWrap/>
        <w:overflowPunct/>
        <w:topLinePunct w:val="0"/>
        <w:autoSpaceDE/>
        <w:autoSpaceDN/>
        <w:bidi w:val="0"/>
        <w:adjustRightInd/>
        <w:snapToGrid/>
        <w:spacing w:line="560" w:lineRule="exact"/>
        <w:ind w:firstLine="707" w:firstLineChars="221"/>
        <w:jc w:val="both"/>
        <w:textAlignment w:val="auto"/>
        <w:rPr>
          <w:rFonts w:hint="eastAsia" w:ascii="仿宋_GB2312" w:hAnsi="仿宋" w:eastAsia="仿宋_GB2312" w:cs="Times New Roman"/>
          <w:sz w:val="32"/>
          <w:szCs w:val="32"/>
        </w:rPr>
      </w:pPr>
      <w:r>
        <w:rPr>
          <w:rFonts w:hint="eastAsia" w:ascii="仿宋_GB2312" w:hAnsi="仿宋" w:eastAsia="仿宋_GB2312" w:cs="Times New Roman"/>
          <w:sz w:val="32"/>
          <w:szCs w:val="32"/>
        </w:rPr>
        <w:t>3.</w:t>
      </w:r>
      <w:r>
        <w:rPr>
          <w:rFonts w:ascii="仿宋_GB2312" w:hAnsi="仿宋" w:eastAsia="仿宋_GB2312" w:cs="Times New Roman"/>
          <w:sz w:val="32"/>
          <w:szCs w:val="32"/>
        </w:rPr>
        <w:t>山西荣智建筑劳务有限公司</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lang w:val="en-US" w:eastAsia="zh-CN"/>
        </w:rPr>
        <w:t>以下简称荣智劳务</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rPr>
        <w:t>法定代表人</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rPr>
        <w:t>李楠</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rPr>
        <w:t>注册资本</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lang w:val="en-US" w:eastAsia="zh-CN"/>
        </w:rPr>
        <w:t>500百万元</w:t>
      </w:r>
      <w:r>
        <w:rPr>
          <w:rFonts w:hint="eastAsia" w:ascii="仿宋_GB2312" w:hAnsi="仿宋" w:eastAsia="仿宋_GB2312" w:cs="Times New Roman"/>
          <w:sz w:val="32"/>
          <w:szCs w:val="32"/>
        </w:rPr>
        <w:t>整</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rPr>
        <w:t>营业期限</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rPr>
        <w:t>2021年06月21日至2041年06月20日</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lang w:val="en-US" w:eastAsia="zh-CN"/>
        </w:rPr>
        <w:t>注册地址：</w:t>
      </w:r>
      <w:r>
        <w:rPr>
          <w:rFonts w:hint="eastAsia" w:ascii="仿宋_GB2312" w:hAnsi="仿宋" w:eastAsia="仿宋_GB2312" w:cs="Times New Roman"/>
          <w:sz w:val="32"/>
          <w:szCs w:val="32"/>
        </w:rPr>
        <w:t>太原市晋源区西中环路南段199号国投大厦4-11层</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rPr>
        <w:t>经营范围</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rPr>
        <w:t>劳务派遣服务;建设工程施工;建筑劳务分包;建设工程质量检测;特种设备安装改造修理;住宅室内装饰装修;机械设备租赁;通用设备修理;专用设备修理;电气设备修理;金属结构制造;金属制品修理。</w:t>
      </w:r>
    </w:p>
    <w:p>
      <w:pPr>
        <w:keepNext w:val="0"/>
        <w:keepLines w:val="0"/>
        <w:pageBreakBefore w:val="0"/>
        <w:widowControl w:val="0"/>
        <w:kinsoku/>
        <w:wordWrap/>
        <w:overflowPunct/>
        <w:topLinePunct w:val="0"/>
        <w:autoSpaceDE/>
        <w:autoSpaceDN/>
        <w:bidi w:val="0"/>
        <w:adjustRightInd/>
        <w:snapToGrid/>
        <w:spacing w:line="560" w:lineRule="exact"/>
        <w:ind w:firstLine="710" w:firstLineChars="221"/>
        <w:jc w:val="both"/>
        <w:textAlignment w:val="auto"/>
        <w:rPr>
          <w:rFonts w:hint="eastAsia" w:ascii="楷体" w:hAnsi="楷体" w:eastAsia="楷体" w:cs="楷体"/>
          <w:b/>
          <w:color w:val="000000"/>
          <w:sz w:val="32"/>
          <w:szCs w:val="32"/>
          <w:shd w:val="clear" w:color="auto" w:fill="FFFFFF"/>
          <w:lang w:val="en-US" w:eastAsia="zh-CN"/>
        </w:rPr>
      </w:pPr>
      <w:r>
        <w:rPr>
          <w:rFonts w:hint="eastAsia" w:ascii="楷体" w:hAnsi="楷体" w:eastAsia="楷体" w:cs="楷体"/>
          <w:b/>
          <w:color w:val="000000"/>
          <w:sz w:val="32"/>
          <w:szCs w:val="32"/>
          <w:shd w:val="clear" w:color="auto" w:fill="FFFFFF"/>
          <w:lang w:val="en-US" w:eastAsia="zh-CN"/>
        </w:rPr>
        <w:t>（二）项目概况</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中冶宝钢山西分公司代表中冶宝钢每年一月与炼钢二厂签订《设备检修合同》（合同号：2021JXPZ201）和《主体机械设备检修功能性承包安全生产管理协议书》，承揽炼钢二厂2022年主体设备日常维保，工作内容有炼钢二厂南区预处理、转炉、动力设备，南区连铸机、成品设备，北区转炉、动力设备等共十一项内容的日常维保，其中包括本次事故涉及的南区湿法电除尘及煤气回收系统。工期自2022年1月1日至2022年12月31日止。</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中冶宝钢与荣智劳务于2021年12月24日，签订了《设备检修分包合同》，荣智劳务负责提供协力人员，承担生产作业协力业务，负责中冶宝钢在山西太原不锈钢股份有限公司、太原钢铁(集团)有限公司及中冶宝钢承接的其他区域范围内的设备检修业务，包括常规检修(日、定、年、抢修)、值班保驾、运行维护等业务。工期自2022年1月1日至2022年12月31日止。</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sz w:val="32"/>
          <w:szCs w:val="32"/>
        </w:rPr>
      </w:pPr>
      <w:r>
        <w:rPr>
          <w:rFonts w:hint="eastAsia" w:ascii="黑体" w:hAnsi="黑体" w:eastAsia="黑体"/>
          <w:sz w:val="32"/>
          <w:szCs w:val="32"/>
        </w:rPr>
        <w:t>二、事故发生的经过、救援和报告情况</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（一）事故发生经过及救援情况</w:t>
      </w:r>
    </w:p>
    <w:p>
      <w:pPr>
        <w:snapToGrid w:val="0"/>
        <w:spacing w:line="560" w:lineRule="exact"/>
        <w:ind w:firstLine="640" w:firstLineChars="200"/>
        <w:rPr>
          <w:rFonts w:hint="eastAsia" w:ascii="仿宋_GB2312" w:hAnsi="仿宋" w:eastAsia="仿宋_GB2312" w:cs="Times New Roman"/>
          <w:sz w:val="32"/>
          <w:szCs w:val="32"/>
          <w:lang w:val="zh-CN"/>
        </w:rPr>
      </w:pPr>
      <w:r>
        <w:rPr>
          <w:rFonts w:hint="eastAsia" w:ascii="仿宋_GB2312" w:hAnsi="仿宋" w:eastAsia="仿宋_GB2312" w:cs="Times New Roman"/>
          <w:sz w:val="32"/>
          <w:szCs w:val="32"/>
          <w:lang w:val="zh-CN"/>
        </w:rPr>
        <w:t>202</w:t>
      </w:r>
      <w:r>
        <w:rPr>
          <w:rFonts w:hint="eastAsia" w:ascii="仿宋_GB2312" w:hAnsi="仿宋" w:eastAsia="仿宋_GB2312" w:cs="Times New Roman"/>
          <w:sz w:val="32"/>
          <w:szCs w:val="32"/>
          <w:lang w:val="en-US" w:eastAsia="zh-CN"/>
        </w:rPr>
        <w:t>2</w:t>
      </w:r>
      <w:r>
        <w:rPr>
          <w:rFonts w:hint="eastAsia" w:ascii="仿宋_GB2312" w:hAnsi="仿宋" w:eastAsia="仿宋_GB2312" w:cs="Times New Roman"/>
          <w:sz w:val="32"/>
          <w:szCs w:val="32"/>
          <w:lang w:val="zh-CN"/>
        </w:rPr>
        <w:t>年6月21日</w:t>
      </w:r>
      <w:r>
        <w:rPr>
          <w:rFonts w:hint="eastAsia" w:ascii="仿宋_GB2312" w:hAnsi="仿宋" w:eastAsia="仿宋_GB2312" w:cs="Times New Roman"/>
          <w:sz w:val="32"/>
          <w:szCs w:val="32"/>
          <w:lang w:val="en-US" w:eastAsia="zh-CN"/>
        </w:rPr>
        <w:t>7时30分许，</w:t>
      </w:r>
      <w:r>
        <w:rPr>
          <w:rFonts w:hint="eastAsia" w:ascii="仿宋_GB2312" w:hAnsi="仿宋" w:eastAsia="仿宋_GB2312" w:cs="Times New Roman"/>
          <w:sz w:val="32"/>
          <w:szCs w:val="32"/>
        </w:rPr>
        <w:t>炼钢二厂能源环保作业区</w:t>
      </w:r>
      <w:r>
        <w:rPr>
          <w:rFonts w:hint="eastAsia" w:ascii="仿宋_GB2312" w:hAnsi="仿宋" w:eastAsia="仿宋_GB2312" w:cs="Times New Roman"/>
          <w:sz w:val="32"/>
          <w:szCs w:val="32"/>
          <w:lang w:val="en-US" w:eastAsia="zh-CN"/>
        </w:rPr>
        <w:t>南区动力点检组</w:t>
      </w:r>
      <w:r>
        <w:rPr>
          <w:rFonts w:hint="eastAsia" w:ascii="仿宋_GB2312" w:hAnsi="仿宋" w:eastAsia="仿宋_GB2312" w:cs="Times New Roman"/>
          <w:sz w:val="32"/>
          <w:szCs w:val="32"/>
        </w:rPr>
        <w:t>点检员郭晋虎</w:t>
      </w:r>
      <w:r>
        <w:rPr>
          <w:rFonts w:hint="eastAsia" w:ascii="仿宋_GB2312" w:hAnsi="仿宋" w:eastAsia="仿宋_GB2312" w:cs="Times New Roman"/>
          <w:sz w:val="32"/>
          <w:szCs w:val="32"/>
          <w:lang w:val="zh-CN" w:eastAsia="zh-CN"/>
        </w:rPr>
        <w:t>到达点检室，</w:t>
      </w:r>
      <w:r>
        <w:rPr>
          <w:rFonts w:hint="eastAsia" w:ascii="仿宋_GB2312" w:hAnsi="仿宋" w:eastAsia="仿宋_GB2312" w:cs="Times New Roman"/>
          <w:sz w:val="32"/>
          <w:szCs w:val="32"/>
          <w:lang w:val="en-US" w:eastAsia="zh-CN"/>
        </w:rPr>
        <w:t>与南区转炉</w:t>
      </w:r>
      <w:r>
        <w:rPr>
          <w:rFonts w:hint="eastAsia" w:ascii="仿宋_GB2312" w:hAnsi="仿宋" w:eastAsia="仿宋_GB2312" w:cs="Times New Roman"/>
          <w:sz w:val="32"/>
          <w:szCs w:val="32"/>
          <w:lang w:val="zh-CN" w:eastAsia="zh-CN"/>
        </w:rPr>
        <w:t>风机房运行值班人员了解到</w:t>
      </w:r>
      <w:r>
        <w:rPr>
          <w:rFonts w:hint="eastAsia" w:ascii="仿宋_GB2312" w:hAnsi="仿宋" w:eastAsia="仿宋_GB2312" w:cs="Times New Roman"/>
          <w:sz w:val="32"/>
          <w:szCs w:val="32"/>
          <w:lang w:val="en-US" w:eastAsia="zh-CN"/>
        </w:rPr>
        <w:t>5#备用风</w:t>
      </w:r>
      <w:r>
        <w:rPr>
          <w:rFonts w:hint="eastAsia" w:ascii="仿宋_GB2312" w:hAnsi="仿宋" w:eastAsia="仿宋_GB2312" w:cs="Times New Roman"/>
          <w:sz w:val="32"/>
          <w:szCs w:val="32"/>
          <w:lang w:val="zh-CN" w:eastAsia="zh-CN"/>
        </w:rPr>
        <w:t>机需要</w:t>
      </w:r>
      <w:r>
        <w:rPr>
          <w:rFonts w:hint="eastAsia" w:ascii="仿宋_GB2312" w:hAnsi="仿宋" w:eastAsia="仿宋_GB2312" w:cs="Times New Roman"/>
          <w:sz w:val="32"/>
          <w:szCs w:val="32"/>
          <w:lang w:val="zh-CN"/>
        </w:rPr>
        <w:t>清理</w:t>
      </w:r>
      <w:r>
        <w:rPr>
          <w:rFonts w:hint="eastAsia" w:ascii="仿宋_GB2312" w:hAnsi="仿宋" w:eastAsia="仿宋_GB2312" w:cs="Times New Roman"/>
          <w:sz w:val="32"/>
          <w:szCs w:val="32"/>
          <w:lang w:val="en-US" w:eastAsia="zh-CN"/>
        </w:rPr>
        <w:t>风轮</w:t>
      </w:r>
      <w:r>
        <w:rPr>
          <w:rFonts w:hint="eastAsia" w:ascii="仿宋_GB2312" w:hAnsi="仿宋" w:eastAsia="仿宋_GB2312" w:cs="Times New Roman"/>
          <w:sz w:val="32"/>
          <w:szCs w:val="32"/>
          <w:lang w:val="zh-CN" w:eastAsia="zh-CN"/>
        </w:rPr>
        <w:t>。</w:t>
      </w:r>
      <w:r>
        <w:rPr>
          <w:rFonts w:hint="eastAsia" w:ascii="仿宋_GB2312" w:hAnsi="仿宋" w:eastAsia="仿宋_GB2312" w:cs="Times New Roman"/>
          <w:sz w:val="32"/>
          <w:szCs w:val="32"/>
          <w:lang w:val="en-US" w:eastAsia="zh-CN"/>
        </w:rPr>
        <w:t>7时50分许，晨会散会后，郭晋虎</w:t>
      </w:r>
      <w:r>
        <w:rPr>
          <w:rFonts w:hint="eastAsia" w:ascii="仿宋_GB2312" w:hAnsi="仿宋" w:eastAsia="仿宋_GB2312" w:cs="Times New Roman"/>
          <w:sz w:val="32"/>
          <w:szCs w:val="32"/>
        </w:rPr>
        <w:t>安排</w:t>
      </w:r>
      <w:r>
        <w:rPr>
          <w:rFonts w:hint="eastAsia" w:ascii="仿宋_GB2312" w:hAnsi="仿宋" w:eastAsia="仿宋_GB2312" w:cs="Times New Roman"/>
          <w:sz w:val="32"/>
          <w:szCs w:val="32"/>
          <w:lang w:val="en-US" w:eastAsia="zh-CN"/>
        </w:rPr>
        <w:t>负责</w:t>
      </w:r>
      <w:r>
        <w:rPr>
          <w:rFonts w:hint="eastAsia" w:ascii="仿宋_GB2312" w:hAnsi="仿宋" w:eastAsia="仿宋_GB2312" w:cs="Times New Roman"/>
          <w:sz w:val="32"/>
          <w:szCs w:val="32"/>
          <w:lang w:val="zh-CN"/>
        </w:rPr>
        <w:t>南区风机房风机日常</w:t>
      </w:r>
      <w:r>
        <w:rPr>
          <w:rFonts w:hint="eastAsia" w:ascii="仿宋_GB2312" w:hAnsi="仿宋" w:eastAsia="仿宋_GB2312" w:cs="Times New Roman"/>
          <w:sz w:val="32"/>
          <w:szCs w:val="32"/>
          <w:lang w:val="zh-CN" w:eastAsia="zh-CN"/>
        </w:rPr>
        <w:t>维</w:t>
      </w:r>
      <w:r>
        <w:rPr>
          <w:rFonts w:hint="eastAsia" w:ascii="仿宋_GB2312" w:hAnsi="仿宋" w:eastAsia="仿宋_GB2312" w:cs="Times New Roman"/>
          <w:sz w:val="32"/>
          <w:szCs w:val="32"/>
          <w:lang w:val="zh-CN"/>
        </w:rPr>
        <w:t>保项目</w:t>
      </w:r>
      <w:r>
        <w:rPr>
          <w:rFonts w:hint="eastAsia" w:ascii="仿宋_GB2312" w:hAnsi="仿宋" w:eastAsia="仿宋_GB2312" w:cs="Times New Roman"/>
          <w:sz w:val="32"/>
          <w:szCs w:val="32"/>
          <w:lang w:val="en-US" w:eastAsia="zh-CN"/>
        </w:rPr>
        <w:t>的</w:t>
      </w:r>
      <w:r>
        <w:rPr>
          <w:rFonts w:hint="eastAsia" w:ascii="仿宋_GB2312" w:hAnsi="仿宋" w:eastAsia="仿宋_GB2312" w:cs="Times New Roman"/>
          <w:sz w:val="32"/>
          <w:szCs w:val="32"/>
        </w:rPr>
        <w:t>中冶宝钢炼钢二队南区转炉作业区动力班班长耿培林</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lang w:val="en-US" w:eastAsia="zh-CN"/>
        </w:rPr>
        <w:t>荣智劳务公司劳务人员</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rPr>
        <w:t>，</w:t>
      </w:r>
      <w:r>
        <w:rPr>
          <w:rFonts w:hint="eastAsia" w:ascii="仿宋_GB2312" w:hAnsi="仿宋" w:eastAsia="仿宋_GB2312" w:cs="Times New Roman"/>
          <w:sz w:val="32"/>
          <w:szCs w:val="32"/>
          <w:lang w:val="zh-CN"/>
        </w:rPr>
        <w:t>对5</w:t>
      </w:r>
      <w:r>
        <w:rPr>
          <w:rFonts w:hint="eastAsia" w:ascii="仿宋_GB2312" w:hAnsi="仿宋" w:eastAsia="仿宋_GB2312" w:cs="Times New Roman"/>
          <w:sz w:val="32"/>
          <w:szCs w:val="32"/>
          <w:lang w:val="en-US" w:eastAsia="zh-CN"/>
        </w:rPr>
        <w:t>#备用</w:t>
      </w:r>
      <w:r>
        <w:rPr>
          <w:rFonts w:hint="eastAsia" w:ascii="仿宋_GB2312" w:hAnsi="仿宋" w:eastAsia="仿宋_GB2312" w:cs="Times New Roman"/>
          <w:sz w:val="32"/>
          <w:szCs w:val="32"/>
          <w:lang w:val="zh-CN"/>
        </w:rPr>
        <w:t>风机清理风</w:t>
      </w:r>
      <w:r>
        <w:rPr>
          <w:rFonts w:hint="eastAsia" w:ascii="仿宋_GB2312" w:hAnsi="仿宋" w:eastAsia="仿宋_GB2312" w:cs="Times New Roman"/>
          <w:sz w:val="32"/>
          <w:szCs w:val="32"/>
          <w:lang w:val="zh-CN" w:eastAsia="zh-CN"/>
        </w:rPr>
        <w:t>轮</w:t>
      </w:r>
      <w:r>
        <w:rPr>
          <w:rFonts w:hint="eastAsia" w:ascii="仿宋_GB2312" w:hAnsi="仿宋" w:eastAsia="仿宋_GB2312" w:cs="Times New Roman"/>
          <w:sz w:val="32"/>
          <w:szCs w:val="32"/>
          <w:lang w:val="zh-CN"/>
        </w:rPr>
        <w:t>淤泥（</w:t>
      </w:r>
      <w:r>
        <w:rPr>
          <w:rFonts w:hint="eastAsia" w:ascii="仿宋_GB2312" w:hAnsi="仿宋" w:eastAsia="仿宋_GB2312" w:cs="Times New Roman"/>
          <w:sz w:val="32"/>
          <w:szCs w:val="32"/>
          <w:lang w:val="en-US" w:eastAsia="zh-CN"/>
        </w:rPr>
        <w:t>刮风轮</w:t>
      </w:r>
      <w:r>
        <w:rPr>
          <w:rFonts w:hint="eastAsia" w:ascii="仿宋_GB2312" w:hAnsi="仿宋" w:eastAsia="仿宋_GB2312" w:cs="Times New Roman"/>
          <w:sz w:val="32"/>
          <w:szCs w:val="32"/>
          <w:lang w:val="zh-CN"/>
        </w:rPr>
        <w:t>）。</w:t>
      </w:r>
    </w:p>
    <w:p>
      <w:pPr>
        <w:snapToGrid w:val="0"/>
        <w:spacing w:line="560" w:lineRule="exact"/>
        <w:ind w:firstLine="640" w:firstLineChars="20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8时10分许，</w:t>
      </w:r>
      <w:r>
        <w:rPr>
          <w:rFonts w:hint="eastAsia" w:ascii="仿宋_GB2312" w:hAnsi="仿宋" w:eastAsia="仿宋_GB2312" w:cs="Times New Roman"/>
          <w:sz w:val="32"/>
          <w:szCs w:val="32"/>
        </w:rPr>
        <w:t>耿培林</w:t>
      </w:r>
      <w:r>
        <w:rPr>
          <w:rFonts w:hint="eastAsia" w:ascii="仿宋_GB2312" w:hAnsi="仿宋" w:eastAsia="仿宋_GB2312" w:cs="Times New Roman"/>
          <w:sz w:val="32"/>
          <w:szCs w:val="32"/>
          <w:lang w:val="en-US" w:eastAsia="zh-CN"/>
        </w:rPr>
        <w:t>安排</w:t>
      </w:r>
      <w:r>
        <w:rPr>
          <w:rFonts w:hint="eastAsia" w:ascii="仿宋_GB2312" w:hAnsi="仿宋" w:eastAsia="仿宋_GB2312" w:cs="Times New Roman"/>
          <w:kern w:val="2"/>
          <w:sz w:val="32"/>
          <w:szCs w:val="32"/>
          <w:lang w:val="en-US" w:eastAsia="zh-CN" w:bidi="ar-SA"/>
        </w:rPr>
        <w:t>动力班</w:t>
      </w:r>
      <w:r>
        <w:rPr>
          <w:rFonts w:hint="eastAsia" w:ascii="仿宋_GB2312" w:hAnsi="仿宋" w:eastAsia="仿宋_GB2312" w:cs="Times New Roman"/>
          <w:sz w:val="32"/>
          <w:szCs w:val="32"/>
          <w:lang w:val="en-US" w:eastAsia="zh-CN"/>
        </w:rPr>
        <w:t>荣智劳务公司劳务人员</w:t>
      </w:r>
      <w:r>
        <w:rPr>
          <w:rFonts w:hint="eastAsia" w:ascii="仿宋_GB2312" w:hAnsi="仿宋" w:eastAsia="仿宋_GB2312" w:cs="Times New Roman"/>
          <w:kern w:val="2"/>
          <w:sz w:val="32"/>
          <w:szCs w:val="32"/>
          <w:lang w:val="en-US" w:eastAsia="zh-CN" w:bidi="ar-SA"/>
        </w:rPr>
        <w:t>赵磊（伤者）、孙志忠（死者）找郭晋虎办理票据，确认工作内容，郭晋虎开好动火作业票（未开据刮风轮作业的零星检修作业工作票），让二人先做刮风轮前的准备工作。随后，郭晋虎前往南区转炉11米平台组织实施清理退水槽作业，耿培林前往29米平台做电机维修、电器维修。</w:t>
      </w:r>
    </w:p>
    <w:p>
      <w:pPr>
        <w:snapToGrid w:val="0"/>
        <w:spacing w:line="560" w:lineRule="exact"/>
        <w:ind w:firstLine="640" w:firstLineChars="20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8时37分许，赵磊、孙志忠来到南区转炉风机房二层平台，准备接水管、刮风轮需要的清洗泵和电焊工具。8时40分许，孙志忠离开二层平台前往三层控制室进行停电挂牌确认，8时52分许，赵磊对5#风机实施揭风机检修盖作业，8时55分孙志忠返回二层平台与赵磊回合，8时56分许，孙志忠从东出口离开二层平台。</w:t>
      </w:r>
    </w:p>
    <w:p>
      <w:pPr>
        <w:snapToGrid w:val="0"/>
        <w:spacing w:line="560" w:lineRule="exact"/>
        <w:ind w:firstLine="640" w:firstLineChars="200"/>
        <w:rPr>
          <w:rFonts w:hint="eastAsia" w:ascii="仿宋_GB2312" w:hAnsi="仿宋" w:eastAsia="仿宋_GB2312" w:cs="Times New Roman"/>
          <w:kern w:val="2"/>
          <w:sz w:val="32"/>
          <w:szCs w:val="32"/>
          <w:lang w:val="en-US" w:eastAsia="zh-CN" w:bidi="ar-SA"/>
        </w:rPr>
      </w:pPr>
      <w:r>
        <w:rPr>
          <w:rFonts w:ascii="仿宋_GB2312" w:hAnsi="仿宋" w:eastAsia="仿宋_GB2312" w:cs="Times New Roman"/>
          <w:sz w:val="32"/>
          <w:szCs w:val="32"/>
        </w:rPr>
        <w:t>9</w:t>
      </w:r>
      <w:r>
        <w:rPr>
          <w:rFonts w:hint="eastAsia" w:ascii="仿宋_GB2312" w:hAnsi="仿宋" w:eastAsia="仿宋_GB2312" w:cs="Times New Roman"/>
          <w:sz w:val="32"/>
          <w:szCs w:val="32"/>
          <w:lang w:val="en-US" w:eastAsia="zh-CN"/>
        </w:rPr>
        <w:t>时</w:t>
      </w:r>
      <w:r>
        <w:rPr>
          <w:rFonts w:ascii="仿宋_GB2312" w:hAnsi="仿宋" w:eastAsia="仿宋_GB2312" w:cs="Times New Roman"/>
          <w:sz w:val="32"/>
          <w:szCs w:val="32"/>
        </w:rPr>
        <w:t>15</w:t>
      </w:r>
      <w:r>
        <w:rPr>
          <w:rFonts w:hint="eastAsia" w:ascii="仿宋_GB2312" w:hAnsi="仿宋" w:eastAsia="仿宋_GB2312" w:cs="Times New Roman"/>
          <w:sz w:val="32"/>
          <w:szCs w:val="32"/>
          <w:lang w:val="en-US" w:eastAsia="zh-CN"/>
        </w:rPr>
        <w:t>分</w:t>
      </w:r>
      <w:r>
        <w:rPr>
          <w:rFonts w:hint="eastAsia" w:ascii="仿宋_GB2312" w:hAnsi="仿宋" w:eastAsia="仿宋_GB2312" w:cs="Times New Roman"/>
          <w:sz w:val="32"/>
          <w:szCs w:val="32"/>
        </w:rPr>
        <w:t>许，赵磊接到孙志忠电话，说</w:t>
      </w:r>
      <w:r>
        <w:rPr>
          <w:rFonts w:hint="eastAsia" w:ascii="仿宋_GB2312" w:hAnsi="仿宋" w:eastAsia="仿宋_GB2312" w:cs="Times New Roman"/>
          <w:sz w:val="32"/>
          <w:szCs w:val="32"/>
          <w:lang w:val="en-US" w:eastAsia="zh-CN"/>
        </w:rPr>
        <w:t>拆</w:t>
      </w:r>
      <w:r>
        <w:rPr>
          <w:rFonts w:hint="eastAsia" w:ascii="仿宋_GB2312" w:hAnsi="仿宋" w:eastAsia="仿宋_GB2312" w:cs="Times New Roman"/>
          <w:sz w:val="32"/>
          <w:szCs w:val="32"/>
        </w:rPr>
        <w:t>错煤气脱水器</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lang w:val="en-US" w:eastAsia="zh-CN"/>
        </w:rPr>
        <w:t>让赵磊和他下去恢复原样</w:t>
      </w:r>
      <w:r>
        <w:rPr>
          <w:rFonts w:hint="eastAsia" w:ascii="仿宋_GB2312" w:hAnsi="仿宋" w:eastAsia="仿宋_GB2312" w:cs="Times New Roman"/>
          <w:sz w:val="32"/>
          <w:szCs w:val="32"/>
        </w:rPr>
        <w:t>。赵磊立即从转炉风机房二层平台东出口下到转炉风机房一层，看到孙志忠在</w:t>
      </w:r>
      <w:r>
        <w:rPr>
          <w:rFonts w:ascii="仿宋_GB2312" w:hAnsi="仿宋" w:eastAsia="仿宋_GB2312" w:cs="Times New Roman"/>
          <w:sz w:val="32"/>
          <w:szCs w:val="32"/>
        </w:rPr>
        <w:t>4</w:t>
      </w:r>
      <w:r>
        <w:rPr>
          <w:rFonts w:hint="eastAsia" w:ascii="仿宋_GB2312" w:hAnsi="仿宋" w:eastAsia="仿宋_GB2312" w:cs="Times New Roman"/>
          <w:sz w:val="32"/>
          <w:szCs w:val="32"/>
        </w:rPr>
        <w:t>号风机煤气脱水器旁，</w:t>
      </w:r>
      <w:r>
        <w:rPr>
          <w:rFonts w:hint="eastAsia" w:ascii="仿宋_GB2312" w:hAnsi="仿宋" w:eastAsia="仿宋_GB2312" w:cs="Times New Roman"/>
          <w:sz w:val="32"/>
          <w:szCs w:val="32"/>
          <w:lang w:val="en-US" w:eastAsia="zh-CN"/>
        </w:rPr>
        <w:t>听到孙志忠的煤气报警器报警，二人转身往外走，孙志忠转身迈了一步后倒下，赵磊去扶扶不动，于9时21分</w:t>
      </w:r>
      <w:r>
        <w:rPr>
          <w:rFonts w:hint="eastAsia" w:ascii="仿宋_GB2312" w:hAnsi="仿宋" w:eastAsia="仿宋_GB2312" w:cs="Times New Roman"/>
          <w:sz w:val="32"/>
          <w:szCs w:val="32"/>
        </w:rPr>
        <w:t>赵磊</w:t>
      </w:r>
      <w:r>
        <w:rPr>
          <w:rFonts w:hint="eastAsia" w:ascii="仿宋_GB2312" w:hAnsi="仿宋" w:eastAsia="仿宋_GB2312" w:cs="Times New Roman"/>
          <w:sz w:val="32"/>
          <w:szCs w:val="32"/>
          <w:lang w:val="en-US" w:eastAsia="zh-CN"/>
        </w:rPr>
        <w:t>连续三次拨打</w:t>
      </w:r>
      <w:r>
        <w:rPr>
          <w:rFonts w:hint="eastAsia" w:ascii="仿宋_GB2312" w:hAnsi="仿宋" w:eastAsia="仿宋_GB2312" w:cs="Times New Roman"/>
          <w:sz w:val="32"/>
          <w:szCs w:val="32"/>
        </w:rPr>
        <w:t>电话告知中冶宝钢炼钢二</w:t>
      </w:r>
      <w:r>
        <w:rPr>
          <w:rFonts w:hint="eastAsia" w:ascii="仿宋_GB2312" w:hAnsi="仿宋" w:eastAsia="仿宋_GB2312" w:cs="Times New Roman"/>
          <w:sz w:val="32"/>
          <w:szCs w:val="32"/>
          <w:lang w:val="en-US" w:eastAsia="zh-CN"/>
        </w:rPr>
        <w:t>队</w:t>
      </w:r>
      <w:r>
        <w:rPr>
          <w:rFonts w:hint="eastAsia" w:ascii="仿宋_GB2312" w:hAnsi="仿宋" w:eastAsia="仿宋_GB2312" w:cs="Times New Roman"/>
          <w:sz w:val="32"/>
          <w:szCs w:val="32"/>
        </w:rPr>
        <w:t>南区转炉作业区作业长王建柱</w:t>
      </w:r>
      <w:r>
        <w:rPr>
          <w:rFonts w:hint="eastAsia" w:ascii="仿宋_GB2312" w:hAnsi="仿宋" w:eastAsia="仿宋_GB2312" w:cs="Times New Roman"/>
          <w:sz w:val="32"/>
          <w:szCs w:val="32"/>
          <w:lang w:eastAsia="zh-CN"/>
        </w:rPr>
        <w:t>，</w:t>
      </w:r>
      <w:r>
        <w:rPr>
          <w:rFonts w:hint="eastAsia" w:ascii="仿宋_GB2312" w:hAnsi="仿宋" w:eastAsia="仿宋_GB2312" w:cs="Times New Roman"/>
          <w:kern w:val="2"/>
          <w:sz w:val="32"/>
          <w:szCs w:val="32"/>
          <w:lang w:val="en-US" w:eastAsia="zh-CN" w:bidi="ar-SA"/>
        </w:rPr>
        <w:t>由于声音虚弱均未能听清，王建柱于9时24分回拨赵磊电话，只听到说煤气中毒的微弱声音，王建柱判断煤气中毒的场所是风机房，9时26分许，王建柱拨打点检员郭晋虎的电话告知情况，同时打电话给在附近转炉平台拆旋转接头钳工陈亚军，一同前往风机房寻找和救援。</w:t>
      </w:r>
    </w:p>
    <w:p>
      <w:pPr>
        <w:snapToGrid w:val="0"/>
        <w:spacing w:line="56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kern w:val="2"/>
          <w:sz w:val="32"/>
          <w:szCs w:val="32"/>
          <w:lang w:val="en-US" w:eastAsia="zh-CN" w:bidi="ar-SA"/>
        </w:rPr>
        <w:t>9时31分许，二人在二层平台寻找未果，从一层北侧楼梯口窗户进入一层，听到报警器响，原路退出后郭晋虎带陈亚军前往四楼控制室佩戴空气呼吸设备，后从一层南门进入继续寻找，看到孙志忠躺在4号脱水器北侧，便先将其从南门拉出后，又返回将在距离孙志忠东侧约2米的赵磊从南门拖出。</w:t>
      </w:r>
      <w:r>
        <w:rPr>
          <w:rFonts w:hint="eastAsia" w:ascii="仿宋_GB2312" w:hAnsi="仿宋" w:eastAsia="仿宋_GB2312" w:cs="Times New Roman"/>
          <w:sz w:val="32"/>
          <w:szCs w:val="32"/>
          <w:lang w:val="en-US" w:eastAsia="zh-CN"/>
        </w:rPr>
        <w:t>9时41分许，王建柱拨打120急救电话，同时</w:t>
      </w:r>
      <w:r>
        <w:rPr>
          <w:rFonts w:hint="eastAsia" w:ascii="仿宋_GB2312" w:hAnsi="仿宋" w:eastAsia="仿宋_GB2312" w:cs="Times New Roman"/>
          <w:kern w:val="2"/>
          <w:sz w:val="32"/>
          <w:szCs w:val="32"/>
          <w:lang w:val="en-US" w:eastAsia="zh-CN" w:bidi="ar-SA"/>
        </w:rPr>
        <w:t>炼钢二厂点检员郭晋虎、作业区安全员罗琎、作业区副主管孔玉柱等人</w:t>
      </w:r>
      <w:r>
        <w:rPr>
          <w:rFonts w:hint="eastAsia" w:ascii="仿宋_GB2312" w:hAnsi="仿宋" w:eastAsia="仿宋_GB2312" w:cs="Times New Roman"/>
          <w:sz w:val="32"/>
          <w:szCs w:val="32"/>
        </w:rPr>
        <w:t>立即</w:t>
      </w:r>
      <w:r>
        <w:rPr>
          <w:rFonts w:hint="eastAsia" w:ascii="仿宋_GB2312" w:hAnsi="仿宋" w:eastAsia="仿宋_GB2312" w:cs="Times New Roman"/>
          <w:sz w:val="32"/>
          <w:szCs w:val="32"/>
          <w:lang w:val="en-US" w:eastAsia="zh-CN"/>
        </w:rPr>
        <w:t>组织</w:t>
      </w:r>
      <w:r>
        <w:rPr>
          <w:rFonts w:hint="eastAsia" w:ascii="仿宋_GB2312" w:hAnsi="仿宋" w:eastAsia="仿宋_GB2312" w:cs="Times New Roman"/>
          <w:sz w:val="32"/>
          <w:szCs w:val="32"/>
        </w:rPr>
        <w:t>现场</w:t>
      </w:r>
      <w:r>
        <w:rPr>
          <w:rFonts w:hint="eastAsia" w:ascii="仿宋_GB2312" w:hAnsi="仿宋" w:eastAsia="仿宋_GB2312" w:cs="Times New Roman"/>
          <w:sz w:val="32"/>
          <w:szCs w:val="32"/>
          <w:lang w:val="en-US" w:eastAsia="zh-CN"/>
        </w:rPr>
        <w:t>人员对伤者</w:t>
      </w:r>
      <w:r>
        <w:rPr>
          <w:rFonts w:hint="eastAsia" w:ascii="仿宋_GB2312" w:hAnsi="仿宋" w:eastAsia="仿宋_GB2312" w:cs="Times New Roman"/>
          <w:sz w:val="32"/>
          <w:szCs w:val="32"/>
        </w:rPr>
        <w:t>进行吸氧及心肺复苏应急抢救</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lang w:val="en-US" w:eastAsia="zh-CN"/>
        </w:rPr>
        <w:t>大约10分钟左右，</w:t>
      </w:r>
      <w:r>
        <w:rPr>
          <w:rFonts w:ascii="仿宋_GB2312" w:hAnsi="仿宋" w:eastAsia="仿宋_GB2312" w:cs="Times New Roman"/>
          <w:sz w:val="32"/>
          <w:szCs w:val="32"/>
        </w:rPr>
        <w:t>120</w:t>
      </w:r>
      <w:r>
        <w:rPr>
          <w:rFonts w:hint="eastAsia" w:ascii="仿宋_GB2312" w:hAnsi="仿宋" w:eastAsia="仿宋_GB2312" w:cs="Times New Roman"/>
          <w:sz w:val="32"/>
          <w:szCs w:val="32"/>
        </w:rPr>
        <w:t>救护车到达现场，将两人</w:t>
      </w:r>
      <w:r>
        <w:rPr>
          <w:rFonts w:hint="eastAsia" w:ascii="仿宋_GB2312" w:hAnsi="仿宋" w:eastAsia="仿宋_GB2312" w:cs="Times New Roman"/>
          <w:sz w:val="32"/>
          <w:szCs w:val="32"/>
          <w:lang w:val="en-US" w:eastAsia="zh-CN"/>
        </w:rPr>
        <w:t>分别</w:t>
      </w:r>
      <w:r>
        <w:rPr>
          <w:rFonts w:hint="eastAsia" w:ascii="仿宋_GB2312" w:hAnsi="仿宋" w:eastAsia="仿宋_GB2312" w:cs="Times New Roman"/>
          <w:sz w:val="32"/>
          <w:szCs w:val="32"/>
        </w:rPr>
        <w:t>送往</w:t>
      </w:r>
      <w:r>
        <w:rPr>
          <w:rFonts w:hint="eastAsia" w:ascii="仿宋_GB2312" w:hAnsi="仿宋" w:eastAsia="仿宋_GB2312" w:cs="Times New Roman"/>
          <w:sz w:val="32"/>
          <w:szCs w:val="32"/>
          <w:lang w:val="en-US" w:eastAsia="zh-CN"/>
        </w:rPr>
        <w:t>迎新街</w:t>
      </w:r>
      <w:r>
        <w:rPr>
          <w:rFonts w:hint="eastAsia" w:ascii="仿宋_GB2312" w:hAnsi="仿宋" w:eastAsia="仿宋_GB2312" w:cs="Times New Roman"/>
          <w:sz w:val="32"/>
          <w:szCs w:val="32"/>
        </w:rPr>
        <w:t>太钢</w:t>
      </w:r>
      <w:r>
        <w:rPr>
          <w:rFonts w:hint="eastAsia" w:ascii="仿宋_GB2312" w:hAnsi="仿宋" w:eastAsia="仿宋_GB2312" w:cs="Times New Roman"/>
          <w:sz w:val="32"/>
          <w:szCs w:val="32"/>
          <w:lang w:val="en-US" w:eastAsia="zh-CN"/>
        </w:rPr>
        <w:t>总</w:t>
      </w:r>
      <w:r>
        <w:rPr>
          <w:rFonts w:hint="eastAsia" w:ascii="仿宋_GB2312" w:hAnsi="仿宋" w:eastAsia="仿宋_GB2312" w:cs="Times New Roman"/>
          <w:sz w:val="32"/>
          <w:szCs w:val="32"/>
        </w:rPr>
        <w:t>医院</w:t>
      </w:r>
      <w:r>
        <w:rPr>
          <w:rFonts w:hint="eastAsia" w:ascii="仿宋_GB2312" w:hAnsi="仿宋" w:eastAsia="仿宋_GB2312" w:cs="Times New Roman"/>
          <w:sz w:val="32"/>
          <w:szCs w:val="32"/>
          <w:lang w:val="en-US" w:eastAsia="zh-CN"/>
        </w:rPr>
        <w:t>和尖草坪太钢总医院</w:t>
      </w:r>
      <w:r>
        <w:rPr>
          <w:rFonts w:hint="eastAsia" w:ascii="仿宋_GB2312" w:hAnsi="仿宋" w:eastAsia="仿宋_GB2312" w:cs="Times New Roman"/>
          <w:sz w:val="32"/>
          <w:szCs w:val="32"/>
        </w:rPr>
        <w:t>抢救。</w:t>
      </w:r>
      <w:r>
        <w:rPr>
          <w:rFonts w:ascii="仿宋_GB2312" w:hAnsi="仿宋" w:eastAsia="仿宋_GB2312" w:cs="Times New Roman"/>
          <w:sz w:val="32"/>
          <w:szCs w:val="32"/>
        </w:rPr>
        <w:t>12</w:t>
      </w:r>
      <w:r>
        <w:rPr>
          <w:rFonts w:hint="eastAsia" w:ascii="仿宋_GB2312" w:hAnsi="仿宋" w:eastAsia="仿宋_GB2312" w:cs="Times New Roman"/>
          <w:sz w:val="32"/>
          <w:szCs w:val="32"/>
          <w:lang w:val="en-US" w:eastAsia="zh-CN"/>
        </w:rPr>
        <w:t>时10分</w:t>
      </w:r>
      <w:r>
        <w:rPr>
          <w:rFonts w:hint="eastAsia" w:ascii="仿宋_GB2312" w:hAnsi="仿宋" w:eastAsia="仿宋_GB2312" w:cs="Times New Roman"/>
          <w:sz w:val="32"/>
          <w:szCs w:val="32"/>
        </w:rPr>
        <w:t>许，孙志忠经抢救无效死亡</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lang w:val="en-US" w:eastAsia="zh-CN"/>
        </w:rPr>
        <w:t>赵磊留院观察</w:t>
      </w:r>
      <w:r>
        <w:rPr>
          <w:rFonts w:hint="eastAsia" w:ascii="仿宋_GB2312" w:hAnsi="仿宋" w:eastAsia="仿宋_GB2312" w:cs="Times New Roman"/>
          <w:sz w:val="32"/>
          <w:szCs w:val="32"/>
        </w:rPr>
        <w:t>。</w:t>
      </w:r>
    </w:p>
    <w:p>
      <w:pPr>
        <w:snapToGrid w:val="0"/>
        <w:spacing w:line="560" w:lineRule="exact"/>
        <w:ind w:firstLine="643" w:firstLineChars="200"/>
        <w:rPr>
          <w:rFonts w:hint="eastAsia" w:ascii="仿宋_GB2312" w:hAnsi="仿宋" w:eastAsia="仿宋_GB2312" w:cs="Times New Roman"/>
          <w:b/>
          <w:bCs/>
          <w:sz w:val="32"/>
          <w:szCs w:val="32"/>
          <w:lang w:val="en-US" w:eastAsia="zh-CN"/>
        </w:rPr>
      </w:pPr>
      <w:r>
        <w:rPr>
          <w:rFonts w:hint="eastAsia" w:ascii="仿宋_GB2312" w:hAnsi="仿宋" w:eastAsia="仿宋_GB2312" w:cs="Times New Roman"/>
          <w:b/>
          <w:bCs/>
          <w:sz w:val="32"/>
          <w:szCs w:val="32"/>
          <w:lang w:val="zh-CN" w:eastAsia="zh-CN"/>
        </w:rPr>
        <w:t>（</w:t>
      </w:r>
      <w:r>
        <w:rPr>
          <w:rFonts w:hint="eastAsia" w:ascii="仿宋_GB2312" w:hAnsi="仿宋" w:eastAsia="仿宋_GB2312" w:cs="Times New Roman"/>
          <w:b/>
          <w:bCs/>
          <w:sz w:val="32"/>
          <w:szCs w:val="32"/>
          <w:lang w:val="en-US" w:eastAsia="zh-CN"/>
        </w:rPr>
        <w:t>二</w:t>
      </w:r>
      <w:r>
        <w:rPr>
          <w:rFonts w:hint="eastAsia" w:ascii="仿宋_GB2312" w:hAnsi="仿宋" w:eastAsia="仿宋_GB2312" w:cs="Times New Roman"/>
          <w:b/>
          <w:bCs/>
          <w:sz w:val="32"/>
          <w:szCs w:val="32"/>
          <w:lang w:val="zh-CN" w:eastAsia="zh-CN"/>
        </w:rPr>
        <w:t>）</w:t>
      </w:r>
      <w:r>
        <w:rPr>
          <w:rFonts w:hint="eastAsia" w:ascii="仿宋_GB2312" w:hAnsi="仿宋" w:eastAsia="仿宋_GB2312" w:cs="Times New Roman"/>
          <w:b/>
          <w:bCs/>
          <w:sz w:val="32"/>
          <w:szCs w:val="32"/>
          <w:lang w:val="en-US" w:eastAsia="zh-CN"/>
        </w:rPr>
        <w:t>事故报告</w:t>
      </w:r>
      <w:r>
        <w:rPr>
          <w:rFonts w:hint="eastAsia" w:ascii="仿宋_GB2312" w:hAnsi="仿宋" w:eastAsia="仿宋_GB2312" w:cs="Times New Roman"/>
          <w:b/>
          <w:bCs/>
          <w:sz w:val="32"/>
          <w:szCs w:val="32"/>
          <w:lang w:val="zh-CN" w:eastAsia="zh-CN"/>
        </w:rPr>
        <w:t>情况</w:t>
      </w:r>
    </w:p>
    <w:p>
      <w:pPr>
        <w:snapToGrid w:val="0"/>
        <w:spacing w:line="560" w:lineRule="exact"/>
        <w:ind w:firstLine="640" w:firstLineChars="20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9时32分许，王建柱拨打中冶宝钢炼钢二队队长张健电话告知事故情况，张健于9时36分电话通知炼钢二队安全主管毛振杰迅速赶往现场救援，9时42分电话报告中冶宝钢山西分公司安全环保室主任齐洪涛，齐洪涛立即电话报告了山西分公司负责人李里。</w:t>
      </w:r>
    </w:p>
    <w:p>
      <w:pPr>
        <w:snapToGrid w:val="0"/>
        <w:spacing w:line="560" w:lineRule="exact"/>
        <w:ind w:firstLine="640" w:firstLineChars="200"/>
        <w:rPr>
          <w:rFonts w:hint="default"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9时40分许，张健通过电话告知炼钢二厂安全管理室主任宋向军，宋向军随即向炼钢二厂党委书记、厂长李保才以及太钢安全管理部报告了事故情况。</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（三）事故报告情况</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6月21日10时23分，尖草坪区应急管理局接到太钢安全生产管理部电话报告后立即向区委、区政府和市应急管理局进行电话和传真报告。同时，区应急管理局相关人员赶赴现场进行现场核查。</w:t>
      </w:r>
    </w:p>
    <w:p>
      <w:pPr>
        <w:keepNext w:val="0"/>
        <w:keepLines w:val="0"/>
        <w:pageBreakBefore w:val="0"/>
        <w:widowControl w:val="0"/>
        <w:numPr>
          <w:ilvl w:val="0"/>
          <w:numId w:val="1"/>
        </w:numPr>
        <w:kinsoku/>
        <w:wordWrap/>
        <w:overflowPunct/>
        <w:topLinePunct w:val="0"/>
        <w:autoSpaceDN w:val="0"/>
        <w:bidi w:val="0"/>
        <w:snapToGrid/>
        <w:spacing w:line="560" w:lineRule="exact"/>
        <w:ind w:left="0" w:leftChars="0" w:right="0" w:rightChars="0" w:firstLine="643" w:firstLineChars="200"/>
        <w:textAlignment w:val="auto"/>
        <w:rPr>
          <w:rFonts w:hint="eastAsia" w:ascii="楷体" w:hAnsi="楷体" w:eastAsia="楷体" w:cs="楷体"/>
          <w:b/>
          <w:sz w:val="32"/>
        </w:rPr>
      </w:pPr>
      <w:r>
        <w:rPr>
          <w:rFonts w:hint="eastAsia" w:ascii="楷体" w:hAnsi="楷体" w:eastAsia="楷体" w:cs="楷体"/>
          <w:b/>
          <w:sz w:val="32"/>
        </w:rPr>
        <w:t>人员伤亡和经济损失情况</w:t>
      </w:r>
    </w:p>
    <w:tbl>
      <w:tblPr>
        <w:tblStyle w:val="7"/>
        <w:tblW w:w="9211" w:type="dxa"/>
        <w:jc w:val="center"/>
        <w:tblLayout w:type="fixed"/>
        <w:tblCellMar>
          <w:top w:w="120" w:type="dxa"/>
          <w:left w:w="120" w:type="dxa"/>
          <w:bottom w:w="120" w:type="dxa"/>
          <w:right w:w="120" w:type="dxa"/>
        </w:tblCellMar>
      </w:tblPr>
      <w:tblGrid>
        <w:gridCol w:w="1057"/>
        <w:gridCol w:w="851"/>
        <w:gridCol w:w="851"/>
        <w:gridCol w:w="2846"/>
        <w:gridCol w:w="2552"/>
        <w:gridCol w:w="1054"/>
      </w:tblGrid>
      <w:tr>
        <w:tblPrEx>
          <w:tblCellMar>
            <w:top w:w="120" w:type="dxa"/>
            <w:left w:w="120" w:type="dxa"/>
            <w:bottom w:w="120" w:type="dxa"/>
            <w:right w:w="120" w:type="dxa"/>
          </w:tblCellMar>
        </w:tblPrEx>
        <w:trPr>
          <w:trHeight w:val="568" w:hRule="atLeast"/>
          <w:jc w:val="center"/>
        </w:trPr>
        <w:tc>
          <w:tcPr>
            <w:tcW w:w="1057" w:type="dxa"/>
            <w:tcBorders>
              <w:top w:val="single" w:color="000000" w:sz="4" w:space="0"/>
              <w:left w:val="single" w:color="000000" w:sz="4" w:space="0"/>
              <w:bottom w:val="single" w:color="000000" w:sz="4" w:space="0"/>
              <w:right w:val="single" w:color="000000" w:sz="4" w:space="0"/>
            </w:tcBorders>
            <w:tcMar>
              <w:top w:w="120" w:type="dxa"/>
              <w:left w:w="108" w:type="dxa"/>
              <w:bottom w:w="120" w:type="dxa"/>
              <w:right w:w="108" w:type="dxa"/>
            </w:tcMar>
            <w:vAlign w:val="center"/>
          </w:tcPr>
          <w:p>
            <w:pPr>
              <w:keepNext w:val="0"/>
              <w:keepLines w:val="0"/>
              <w:pageBreakBefore w:val="0"/>
              <w:widowControl w:val="0"/>
              <w:kinsoku/>
              <w:wordWrap/>
              <w:overflowPunct/>
              <w:topLinePunct w:val="0"/>
              <w:autoSpaceDE/>
              <w:autoSpaceDN w:val="0"/>
              <w:bidi w:val="0"/>
              <w:adjustRightInd/>
              <w:snapToGrid/>
              <w:spacing w:line="300" w:lineRule="exact"/>
              <w:ind w:left="93" w:leftChars="0" w:right="0" w:rightChars="0" w:hanging="93" w:hangingChars="33"/>
              <w:jc w:val="center"/>
              <w:textAlignment w:val="auto"/>
              <w:rPr>
                <w:rFonts w:ascii="仿宋_GB2312" w:hAnsi="仿宋" w:eastAsia="仿宋_GB2312"/>
                <w:b/>
                <w:sz w:val="28"/>
                <w:szCs w:val="28"/>
              </w:rPr>
            </w:pPr>
            <w:r>
              <w:rPr>
                <w:rFonts w:hint="eastAsia" w:ascii="仿宋_GB2312" w:hAnsi="仿宋" w:eastAsia="仿宋_GB2312"/>
                <w:b/>
                <w:sz w:val="28"/>
                <w:szCs w:val="28"/>
              </w:rPr>
              <w:t>姓名</w:t>
            </w:r>
          </w:p>
        </w:tc>
        <w:tc>
          <w:tcPr>
            <w:tcW w:w="851" w:type="dxa"/>
            <w:tcBorders>
              <w:top w:val="single" w:color="000000" w:sz="4" w:space="0"/>
              <w:left w:val="single" w:color="000000" w:sz="4" w:space="0"/>
              <w:bottom w:val="single" w:color="000000" w:sz="4" w:space="0"/>
              <w:right w:val="single" w:color="000000" w:sz="4" w:space="0"/>
            </w:tcBorders>
            <w:tcMar>
              <w:top w:w="120" w:type="dxa"/>
              <w:left w:w="108" w:type="dxa"/>
              <w:bottom w:w="120" w:type="dxa"/>
              <w:right w:w="108" w:type="dxa"/>
            </w:tcMar>
            <w:vAlign w:val="center"/>
          </w:tcPr>
          <w:p>
            <w:pPr>
              <w:keepNext w:val="0"/>
              <w:keepLines w:val="0"/>
              <w:pageBreakBefore w:val="0"/>
              <w:widowControl w:val="0"/>
              <w:kinsoku/>
              <w:wordWrap/>
              <w:overflowPunct/>
              <w:topLinePunct w:val="0"/>
              <w:autoSpaceDE/>
              <w:autoSpaceDN w:val="0"/>
              <w:bidi w:val="0"/>
              <w:adjustRightInd/>
              <w:snapToGrid/>
              <w:spacing w:line="300" w:lineRule="exact"/>
              <w:ind w:left="0" w:leftChars="0" w:right="0" w:rightChars="0" w:firstLine="17" w:firstLineChars="6"/>
              <w:jc w:val="center"/>
              <w:textAlignment w:val="auto"/>
              <w:rPr>
                <w:rFonts w:ascii="仿宋_GB2312" w:hAnsi="仿宋" w:eastAsia="仿宋_GB2312"/>
                <w:b/>
                <w:sz w:val="28"/>
                <w:szCs w:val="28"/>
              </w:rPr>
            </w:pPr>
            <w:r>
              <w:rPr>
                <w:rFonts w:hint="eastAsia" w:ascii="仿宋_GB2312" w:hAnsi="仿宋" w:eastAsia="仿宋_GB2312"/>
                <w:b/>
                <w:sz w:val="28"/>
                <w:szCs w:val="28"/>
              </w:rPr>
              <w:t>性别</w:t>
            </w:r>
          </w:p>
        </w:tc>
        <w:tc>
          <w:tcPr>
            <w:tcW w:w="851" w:type="dxa"/>
            <w:tcBorders>
              <w:top w:val="single" w:color="000000" w:sz="4" w:space="0"/>
              <w:left w:val="single" w:color="000000" w:sz="4" w:space="0"/>
              <w:bottom w:val="single" w:color="000000" w:sz="4" w:space="0"/>
              <w:right w:val="single" w:color="000000" w:sz="4" w:space="0"/>
            </w:tcBorders>
            <w:tcMar>
              <w:top w:w="120" w:type="dxa"/>
              <w:left w:w="108" w:type="dxa"/>
              <w:bottom w:w="120" w:type="dxa"/>
              <w:right w:w="108" w:type="dxa"/>
            </w:tcMar>
            <w:vAlign w:val="center"/>
          </w:tcPr>
          <w:p>
            <w:pPr>
              <w:keepNext w:val="0"/>
              <w:keepLines w:val="0"/>
              <w:pageBreakBefore w:val="0"/>
              <w:widowControl w:val="0"/>
              <w:kinsoku/>
              <w:wordWrap/>
              <w:overflowPunct/>
              <w:topLinePunct w:val="0"/>
              <w:autoSpaceDE/>
              <w:autoSpaceDN w:val="0"/>
              <w:bidi w:val="0"/>
              <w:adjustRightInd/>
              <w:snapToGrid/>
              <w:spacing w:line="300" w:lineRule="exact"/>
              <w:ind w:left="0" w:leftChars="0" w:right="0" w:rightChars="0" w:firstLine="28" w:firstLineChars="10"/>
              <w:jc w:val="center"/>
              <w:textAlignment w:val="auto"/>
              <w:rPr>
                <w:rFonts w:ascii="仿宋_GB2312" w:hAnsi="仿宋" w:eastAsia="仿宋_GB2312"/>
                <w:b/>
                <w:sz w:val="28"/>
                <w:szCs w:val="28"/>
              </w:rPr>
            </w:pPr>
            <w:r>
              <w:rPr>
                <w:rFonts w:hint="eastAsia" w:ascii="仿宋_GB2312" w:hAnsi="仿宋" w:eastAsia="仿宋_GB2312"/>
                <w:b/>
                <w:sz w:val="28"/>
                <w:szCs w:val="28"/>
              </w:rPr>
              <w:t>年龄</w:t>
            </w:r>
          </w:p>
        </w:tc>
        <w:tc>
          <w:tcPr>
            <w:tcW w:w="2846" w:type="dxa"/>
            <w:tcBorders>
              <w:top w:val="single" w:color="000000" w:sz="4" w:space="0"/>
              <w:left w:val="single" w:color="000000" w:sz="4" w:space="0"/>
              <w:bottom w:val="single" w:color="000000" w:sz="4" w:space="0"/>
              <w:right w:val="single" w:color="000000" w:sz="4" w:space="0"/>
            </w:tcBorders>
            <w:tcMar>
              <w:top w:w="120" w:type="dxa"/>
              <w:left w:w="108" w:type="dxa"/>
              <w:bottom w:w="120" w:type="dxa"/>
              <w:right w:w="108" w:type="dxa"/>
            </w:tcMar>
            <w:vAlign w:val="center"/>
          </w:tcPr>
          <w:p>
            <w:pPr>
              <w:keepNext w:val="0"/>
              <w:keepLines w:val="0"/>
              <w:pageBreakBefore w:val="0"/>
              <w:widowControl w:val="0"/>
              <w:kinsoku/>
              <w:wordWrap/>
              <w:overflowPunct/>
              <w:topLinePunct w:val="0"/>
              <w:autoSpaceDE/>
              <w:autoSpaceDN w:val="0"/>
              <w:bidi w:val="0"/>
              <w:adjustRightInd/>
              <w:snapToGrid/>
              <w:spacing w:line="300" w:lineRule="exact"/>
              <w:ind w:left="0" w:leftChars="0" w:right="0" w:rightChars="0" w:firstLine="59" w:firstLineChars="21"/>
              <w:jc w:val="center"/>
              <w:textAlignment w:val="auto"/>
              <w:rPr>
                <w:rFonts w:ascii="仿宋_GB2312" w:hAnsi="仿宋" w:eastAsia="仿宋_GB2312"/>
                <w:b/>
                <w:sz w:val="28"/>
                <w:szCs w:val="28"/>
              </w:rPr>
            </w:pPr>
            <w:r>
              <w:rPr>
                <w:rFonts w:hint="eastAsia" w:ascii="仿宋_GB2312" w:hAnsi="仿宋" w:eastAsia="仿宋_GB2312"/>
                <w:b/>
                <w:sz w:val="28"/>
                <w:szCs w:val="28"/>
              </w:rPr>
              <w:t>身份证号</w:t>
            </w:r>
          </w:p>
        </w:tc>
        <w:tc>
          <w:tcPr>
            <w:tcW w:w="2552" w:type="dxa"/>
            <w:tcBorders>
              <w:top w:val="single" w:color="000000" w:sz="4" w:space="0"/>
              <w:left w:val="single" w:color="000000" w:sz="4" w:space="0"/>
              <w:bottom w:val="single" w:color="000000" w:sz="4" w:space="0"/>
              <w:right w:val="single" w:color="000000" w:sz="4" w:space="0"/>
            </w:tcBorders>
            <w:tcMar>
              <w:top w:w="120" w:type="dxa"/>
              <w:left w:w="108" w:type="dxa"/>
              <w:bottom w:w="120" w:type="dxa"/>
              <w:right w:w="108" w:type="dxa"/>
            </w:tcMar>
            <w:vAlign w:val="center"/>
          </w:tcPr>
          <w:p>
            <w:pPr>
              <w:keepNext w:val="0"/>
              <w:keepLines w:val="0"/>
              <w:pageBreakBefore w:val="0"/>
              <w:widowControl w:val="0"/>
              <w:kinsoku/>
              <w:wordWrap/>
              <w:overflowPunct/>
              <w:topLinePunct w:val="0"/>
              <w:autoSpaceDE/>
              <w:autoSpaceDN w:val="0"/>
              <w:bidi w:val="0"/>
              <w:adjustRightInd/>
              <w:snapToGrid/>
              <w:spacing w:line="300" w:lineRule="exact"/>
              <w:ind w:left="0" w:leftChars="0" w:right="0" w:rightChars="0" w:firstLine="200"/>
              <w:jc w:val="center"/>
              <w:textAlignment w:val="auto"/>
              <w:rPr>
                <w:rFonts w:ascii="仿宋_GB2312" w:hAnsi="仿宋" w:eastAsia="仿宋_GB2312"/>
                <w:b/>
                <w:sz w:val="28"/>
                <w:szCs w:val="28"/>
              </w:rPr>
            </w:pPr>
            <w:r>
              <w:rPr>
                <w:rFonts w:hint="eastAsia" w:ascii="仿宋_GB2312" w:hAnsi="仿宋" w:eastAsia="仿宋_GB2312"/>
                <w:b/>
                <w:sz w:val="28"/>
                <w:szCs w:val="28"/>
              </w:rPr>
              <w:t>户籍所在地</w:t>
            </w:r>
          </w:p>
        </w:tc>
        <w:tc>
          <w:tcPr>
            <w:tcW w:w="1054" w:type="dxa"/>
            <w:tcBorders>
              <w:top w:val="single" w:color="000000" w:sz="4" w:space="0"/>
              <w:left w:val="single" w:color="000000" w:sz="4" w:space="0"/>
              <w:bottom w:val="single" w:color="000000" w:sz="4" w:space="0"/>
              <w:right w:val="single" w:color="000000" w:sz="4" w:space="0"/>
            </w:tcBorders>
            <w:tcMar>
              <w:top w:w="120" w:type="dxa"/>
              <w:left w:w="108" w:type="dxa"/>
              <w:bottom w:w="120" w:type="dxa"/>
              <w:right w:w="108" w:type="dxa"/>
            </w:tcMar>
            <w:vAlign w:val="center"/>
          </w:tcPr>
          <w:p>
            <w:pPr>
              <w:keepNext w:val="0"/>
              <w:keepLines w:val="0"/>
              <w:pageBreakBefore w:val="0"/>
              <w:widowControl w:val="0"/>
              <w:kinsoku/>
              <w:wordWrap/>
              <w:overflowPunct/>
              <w:topLinePunct w:val="0"/>
              <w:autoSpaceDE/>
              <w:autoSpaceDN w:val="0"/>
              <w:bidi w:val="0"/>
              <w:adjustRightInd/>
              <w:snapToGrid/>
              <w:spacing w:line="300" w:lineRule="exact"/>
              <w:ind w:left="0" w:leftChars="0" w:right="0" w:rightChars="0"/>
              <w:jc w:val="center"/>
              <w:textAlignment w:val="auto"/>
              <w:rPr>
                <w:rFonts w:ascii="仿宋_GB2312" w:hAnsi="仿宋" w:eastAsia="仿宋_GB2312"/>
                <w:b/>
                <w:sz w:val="28"/>
                <w:szCs w:val="28"/>
              </w:rPr>
            </w:pPr>
            <w:r>
              <w:rPr>
                <w:rFonts w:hint="eastAsia" w:ascii="仿宋_GB2312" w:hAnsi="仿宋" w:eastAsia="仿宋_GB2312"/>
                <w:b/>
                <w:sz w:val="28"/>
                <w:szCs w:val="28"/>
              </w:rPr>
              <w:t>伤亡</w:t>
            </w:r>
          </w:p>
          <w:p>
            <w:pPr>
              <w:keepNext w:val="0"/>
              <w:keepLines w:val="0"/>
              <w:pageBreakBefore w:val="0"/>
              <w:widowControl w:val="0"/>
              <w:kinsoku/>
              <w:wordWrap/>
              <w:overflowPunct/>
              <w:topLinePunct w:val="0"/>
              <w:autoSpaceDE/>
              <w:autoSpaceDN w:val="0"/>
              <w:bidi w:val="0"/>
              <w:adjustRightInd/>
              <w:snapToGrid/>
              <w:spacing w:line="300" w:lineRule="exact"/>
              <w:ind w:left="0" w:leftChars="0" w:right="0" w:rightChars="0" w:firstLine="11" w:firstLineChars="4"/>
              <w:jc w:val="center"/>
              <w:textAlignment w:val="auto"/>
              <w:rPr>
                <w:rFonts w:ascii="仿宋_GB2312" w:hAnsi="仿宋" w:eastAsia="仿宋_GB2312"/>
                <w:b/>
                <w:sz w:val="28"/>
                <w:szCs w:val="28"/>
              </w:rPr>
            </w:pPr>
            <w:r>
              <w:rPr>
                <w:rFonts w:hint="eastAsia" w:ascii="仿宋_GB2312" w:hAnsi="仿宋" w:eastAsia="仿宋_GB2312"/>
                <w:b/>
                <w:sz w:val="28"/>
                <w:szCs w:val="28"/>
              </w:rPr>
              <w:t>情况</w:t>
            </w:r>
          </w:p>
        </w:tc>
      </w:tr>
      <w:tr>
        <w:tblPrEx>
          <w:tblCellMar>
            <w:top w:w="120" w:type="dxa"/>
            <w:left w:w="120" w:type="dxa"/>
            <w:bottom w:w="120" w:type="dxa"/>
            <w:right w:w="120" w:type="dxa"/>
          </w:tblCellMar>
        </w:tblPrEx>
        <w:trPr>
          <w:trHeight w:val="90" w:hRule="atLeast"/>
          <w:jc w:val="center"/>
        </w:trPr>
        <w:tc>
          <w:tcPr>
            <w:tcW w:w="1057" w:type="dxa"/>
            <w:tcBorders>
              <w:top w:val="single" w:color="000000" w:sz="4" w:space="0"/>
              <w:left w:val="single" w:color="000000" w:sz="4" w:space="0"/>
              <w:bottom w:val="single" w:color="000000" w:sz="4" w:space="0"/>
              <w:right w:val="single" w:color="000000" w:sz="4" w:space="0"/>
            </w:tcBorders>
            <w:tcMar>
              <w:top w:w="120" w:type="dxa"/>
              <w:left w:w="108" w:type="dxa"/>
              <w:bottom w:w="120" w:type="dxa"/>
              <w:right w:w="108" w:type="dxa"/>
            </w:tcMar>
            <w:vAlign w:val="center"/>
          </w:tcPr>
          <w:p>
            <w:pPr>
              <w:keepNext w:val="0"/>
              <w:keepLines w:val="0"/>
              <w:pageBreakBefore w:val="0"/>
              <w:widowControl w:val="0"/>
              <w:kinsoku/>
              <w:wordWrap/>
              <w:overflowPunct/>
              <w:topLinePunct w:val="0"/>
              <w:autoSpaceDE/>
              <w:autoSpaceDN w:val="0"/>
              <w:bidi w:val="0"/>
              <w:adjustRightInd/>
              <w:snapToGrid/>
              <w:spacing w:line="300" w:lineRule="exact"/>
              <w:ind w:left="0" w:leftChars="0" w:right="0" w:rightChars="0"/>
              <w:textAlignment w:val="auto"/>
              <w:rPr>
                <w:rFonts w:hint="eastAsia" w:ascii="仿宋_GB2312" w:hAnsi="仿宋" w:eastAsia="仿宋_GB2312"/>
                <w:sz w:val="28"/>
                <w:szCs w:val="28"/>
                <w:lang w:eastAsia="zh-CN"/>
              </w:rPr>
            </w:pPr>
            <w:r>
              <w:rPr>
                <w:rFonts w:hint="eastAsia" w:ascii="仿宋_GB2312" w:hAnsi="仿宋" w:eastAsia="仿宋_GB2312"/>
                <w:sz w:val="28"/>
                <w:szCs w:val="28"/>
                <w:lang w:val="en-US" w:eastAsia="zh-CN"/>
              </w:rPr>
              <w:t>孙志忠</w:t>
            </w:r>
          </w:p>
        </w:tc>
        <w:tc>
          <w:tcPr>
            <w:tcW w:w="851" w:type="dxa"/>
            <w:tcBorders>
              <w:top w:val="single" w:color="000000" w:sz="4" w:space="0"/>
              <w:left w:val="single" w:color="000000" w:sz="4" w:space="0"/>
              <w:bottom w:val="single" w:color="000000" w:sz="4" w:space="0"/>
              <w:right w:val="single" w:color="000000" w:sz="4" w:space="0"/>
            </w:tcBorders>
            <w:tcMar>
              <w:top w:w="120" w:type="dxa"/>
              <w:left w:w="108" w:type="dxa"/>
              <w:bottom w:w="120" w:type="dxa"/>
              <w:right w:w="108" w:type="dxa"/>
            </w:tcMar>
            <w:vAlign w:val="center"/>
          </w:tcPr>
          <w:p>
            <w:pPr>
              <w:keepNext w:val="0"/>
              <w:keepLines w:val="0"/>
              <w:pageBreakBefore w:val="0"/>
              <w:widowControl w:val="0"/>
              <w:kinsoku/>
              <w:wordWrap/>
              <w:overflowPunct/>
              <w:topLinePunct w:val="0"/>
              <w:autoSpaceDE/>
              <w:autoSpaceDN w:val="0"/>
              <w:bidi w:val="0"/>
              <w:adjustRightInd/>
              <w:snapToGrid/>
              <w:spacing w:line="300" w:lineRule="exact"/>
              <w:ind w:left="0" w:leftChars="0" w:right="0" w:rightChars="0"/>
              <w:jc w:val="center"/>
              <w:textAlignment w:val="auto"/>
              <w:rPr>
                <w:rFonts w:hint="eastAsia" w:ascii="仿宋_GB2312" w:hAnsi="仿宋" w:eastAsia="仿宋_GB2312"/>
                <w:sz w:val="28"/>
                <w:szCs w:val="28"/>
              </w:rPr>
            </w:pPr>
            <w:r>
              <w:rPr>
                <w:rFonts w:hint="eastAsia" w:ascii="仿宋_GB2312" w:hAnsi="仿宋" w:eastAsia="仿宋_GB2312"/>
                <w:sz w:val="28"/>
                <w:szCs w:val="28"/>
              </w:rPr>
              <w:t>男</w:t>
            </w:r>
          </w:p>
        </w:tc>
        <w:tc>
          <w:tcPr>
            <w:tcW w:w="851" w:type="dxa"/>
            <w:tcBorders>
              <w:top w:val="single" w:color="000000" w:sz="4" w:space="0"/>
              <w:left w:val="single" w:color="000000" w:sz="4" w:space="0"/>
              <w:bottom w:val="single" w:color="000000" w:sz="4" w:space="0"/>
              <w:right w:val="single" w:color="000000" w:sz="4" w:space="0"/>
            </w:tcBorders>
            <w:tcMar>
              <w:top w:w="120" w:type="dxa"/>
              <w:left w:w="108" w:type="dxa"/>
              <w:bottom w:w="120" w:type="dxa"/>
              <w:right w:w="108" w:type="dxa"/>
            </w:tcMar>
            <w:vAlign w:val="center"/>
          </w:tcPr>
          <w:p>
            <w:pPr>
              <w:keepNext w:val="0"/>
              <w:keepLines w:val="0"/>
              <w:pageBreakBefore w:val="0"/>
              <w:widowControl w:val="0"/>
              <w:kinsoku/>
              <w:wordWrap/>
              <w:overflowPunct/>
              <w:topLinePunct w:val="0"/>
              <w:autoSpaceDE/>
              <w:autoSpaceDN w:val="0"/>
              <w:bidi w:val="0"/>
              <w:adjustRightInd/>
              <w:snapToGrid/>
              <w:spacing w:line="300" w:lineRule="exact"/>
              <w:ind w:left="0" w:leftChars="0" w:right="0" w:rightChars="0"/>
              <w:jc w:val="center"/>
              <w:textAlignment w:val="auto"/>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36</w:t>
            </w:r>
          </w:p>
        </w:tc>
        <w:tc>
          <w:tcPr>
            <w:tcW w:w="2846" w:type="dxa"/>
            <w:tcBorders>
              <w:top w:val="single" w:color="000000" w:sz="4" w:space="0"/>
              <w:left w:val="single" w:color="000000" w:sz="4" w:space="0"/>
              <w:bottom w:val="single" w:color="000000" w:sz="4" w:space="0"/>
              <w:right w:val="single" w:color="000000" w:sz="4" w:space="0"/>
            </w:tcBorders>
            <w:tcMar>
              <w:top w:w="120" w:type="dxa"/>
              <w:left w:w="108" w:type="dxa"/>
              <w:bottom w:w="120" w:type="dxa"/>
              <w:right w:w="108" w:type="dxa"/>
            </w:tcMar>
            <w:vAlign w:val="center"/>
          </w:tcPr>
          <w:p>
            <w:pPr>
              <w:keepNext w:val="0"/>
              <w:keepLines w:val="0"/>
              <w:pageBreakBefore w:val="0"/>
              <w:widowControl w:val="0"/>
              <w:kinsoku/>
              <w:wordWrap/>
              <w:overflowPunct/>
              <w:topLinePunct w:val="0"/>
              <w:autoSpaceDE/>
              <w:autoSpaceDN w:val="0"/>
              <w:bidi w:val="0"/>
              <w:adjustRightInd/>
              <w:snapToGrid/>
              <w:spacing w:line="300" w:lineRule="exact"/>
              <w:ind w:left="0" w:leftChars="0" w:right="0" w:rightChars="0"/>
              <w:jc w:val="center"/>
              <w:textAlignment w:val="auto"/>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1401081986****1610</w:t>
            </w:r>
          </w:p>
        </w:tc>
        <w:tc>
          <w:tcPr>
            <w:tcW w:w="2552" w:type="dxa"/>
            <w:tcBorders>
              <w:top w:val="single" w:color="000000" w:sz="4" w:space="0"/>
              <w:left w:val="single" w:color="000000" w:sz="4" w:space="0"/>
              <w:bottom w:val="single" w:color="000000" w:sz="4" w:space="0"/>
              <w:right w:val="single" w:color="000000" w:sz="4" w:space="0"/>
            </w:tcBorders>
            <w:tcMar>
              <w:top w:w="120" w:type="dxa"/>
              <w:left w:w="108" w:type="dxa"/>
              <w:bottom w:w="120" w:type="dxa"/>
              <w:right w:w="108" w:type="dxa"/>
            </w:tcMar>
            <w:vAlign w:val="center"/>
          </w:tcPr>
          <w:p>
            <w:pPr>
              <w:keepNext w:val="0"/>
              <w:keepLines w:val="0"/>
              <w:pageBreakBefore w:val="0"/>
              <w:widowControl w:val="0"/>
              <w:kinsoku/>
              <w:wordWrap/>
              <w:overflowPunct/>
              <w:topLinePunct w:val="0"/>
              <w:autoSpaceDE/>
              <w:autoSpaceDN w:val="0"/>
              <w:bidi w:val="0"/>
              <w:adjustRightInd/>
              <w:snapToGrid/>
              <w:spacing w:line="300" w:lineRule="exact"/>
              <w:ind w:left="0" w:leftChars="0" w:right="0" w:rightChars="0"/>
              <w:jc w:val="center"/>
              <w:textAlignment w:val="auto"/>
              <w:rPr>
                <w:rFonts w:hint="eastAsia" w:ascii="仿宋_GB2312" w:hAnsi="仿宋" w:eastAsia="仿宋_GB2312"/>
                <w:sz w:val="28"/>
                <w:szCs w:val="28"/>
                <w:lang w:eastAsia="zh-CN"/>
              </w:rPr>
            </w:pPr>
            <w:r>
              <w:rPr>
                <w:rFonts w:hint="eastAsia" w:ascii="仿宋_GB2312" w:hAnsi="仿宋" w:eastAsia="仿宋_GB2312"/>
                <w:sz w:val="28"/>
                <w:szCs w:val="28"/>
              </w:rPr>
              <w:t>太原市尖草坪区</w:t>
            </w:r>
            <w:r>
              <w:rPr>
                <w:rFonts w:hint="eastAsia" w:ascii="仿宋_GB2312" w:hAnsi="仿宋" w:eastAsia="仿宋_GB2312"/>
                <w:sz w:val="28"/>
                <w:szCs w:val="28"/>
                <w:lang w:val="en-US" w:eastAsia="zh-CN"/>
              </w:rPr>
              <w:t>迎新街街办北固碾村</w:t>
            </w:r>
          </w:p>
        </w:tc>
        <w:tc>
          <w:tcPr>
            <w:tcW w:w="1054" w:type="dxa"/>
            <w:tcBorders>
              <w:top w:val="single" w:color="000000" w:sz="4" w:space="0"/>
              <w:left w:val="single" w:color="000000" w:sz="4" w:space="0"/>
              <w:bottom w:val="single" w:color="000000" w:sz="4" w:space="0"/>
              <w:right w:val="single" w:color="000000" w:sz="4" w:space="0"/>
            </w:tcBorders>
            <w:tcMar>
              <w:top w:w="120" w:type="dxa"/>
              <w:left w:w="108" w:type="dxa"/>
              <w:bottom w:w="120" w:type="dxa"/>
              <w:right w:w="108" w:type="dxa"/>
            </w:tcMar>
            <w:vAlign w:val="center"/>
          </w:tcPr>
          <w:p>
            <w:pPr>
              <w:keepNext w:val="0"/>
              <w:keepLines w:val="0"/>
              <w:pageBreakBefore w:val="0"/>
              <w:widowControl w:val="0"/>
              <w:kinsoku/>
              <w:wordWrap/>
              <w:overflowPunct/>
              <w:topLinePunct w:val="0"/>
              <w:autoSpaceDE/>
              <w:autoSpaceDN w:val="0"/>
              <w:bidi w:val="0"/>
              <w:adjustRightInd/>
              <w:snapToGrid/>
              <w:spacing w:line="300" w:lineRule="exact"/>
              <w:ind w:left="0" w:leftChars="0" w:right="0" w:rightChars="0"/>
              <w:jc w:val="center"/>
              <w:textAlignment w:val="auto"/>
              <w:rPr>
                <w:rFonts w:hint="eastAsia" w:ascii="仿宋_GB2312" w:hAnsi="仿宋" w:eastAsia="仿宋_GB2312"/>
                <w:sz w:val="28"/>
                <w:szCs w:val="28"/>
              </w:rPr>
            </w:pPr>
            <w:r>
              <w:rPr>
                <w:rFonts w:hint="eastAsia" w:ascii="仿宋_GB2312" w:hAnsi="仿宋" w:eastAsia="仿宋_GB2312"/>
                <w:sz w:val="28"/>
                <w:szCs w:val="28"/>
              </w:rPr>
              <w:t>死亡</w:t>
            </w:r>
          </w:p>
        </w:tc>
      </w:tr>
      <w:tr>
        <w:tblPrEx>
          <w:tblCellMar>
            <w:top w:w="120" w:type="dxa"/>
            <w:left w:w="120" w:type="dxa"/>
            <w:bottom w:w="120" w:type="dxa"/>
            <w:right w:w="120" w:type="dxa"/>
          </w:tblCellMar>
        </w:tblPrEx>
        <w:trPr>
          <w:trHeight w:val="840" w:hRule="atLeast"/>
          <w:jc w:val="center"/>
        </w:trPr>
        <w:tc>
          <w:tcPr>
            <w:tcW w:w="1057" w:type="dxa"/>
            <w:tcBorders>
              <w:top w:val="single" w:color="000000" w:sz="4" w:space="0"/>
              <w:left w:val="single" w:color="000000" w:sz="4" w:space="0"/>
              <w:bottom w:val="single" w:color="000000" w:sz="4" w:space="0"/>
              <w:right w:val="single" w:color="000000" w:sz="4" w:space="0"/>
            </w:tcBorders>
            <w:tcMar>
              <w:top w:w="120" w:type="dxa"/>
              <w:left w:w="108" w:type="dxa"/>
              <w:bottom w:w="120" w:type="dxa"/>
              <w:right w:w="108" w:type="dxa"/>
            </w:tcMar>
            <w:vAlign w:val="center"/>
          </w:tcPr>
          <w:p>
            <w:pPr>
              <w:keepNext w:val="0"/>
              <w:keepLines w:val="0"/>
              <w:pageBreakBefore w:val="0"/>
              <w:widowControl w:val="0"/>
              <w:kinsoku/>
              <w:wordWrap/>
              <w:overflowPunct/>
              <w:topLinePunct w:val="0"/>
              <w:autoSpaceDE/>
              <w:autoSpaceDN w:val="0"/>
              <w:bidi w:val="0"/>
              <w:adjustRightInd/>
              <w:snapToGrid/>
              <w:spacing w:line="300" w:lineRule="exact"/>
              <w:ind w:left="0" w:leftChars="0" w:right="0" w:rightChars="0"/>
              <w:textAlignment w:val="auto"/>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赵  磊</w:t>
            </w:r>
          </w:p>
        </w:tc>
        <w:tc>
          <w:tcPr>
            <w:tcW w:w="851" w:type="dxa"/>
            <w:tcBorders>
              <w:top w:val="single" w:color="000000" w:sz="4" w:space="0"/>
              <w:left w:val="single" w:color="000000" w:sz="4" w:space="0"/>
              <w:bottom w:val="single" w:color="000000" w:sz="4" w:space="0"/>
              <w:right w:val="single" w:color="000000" w:sz="4" w:space="0"/>
            </w:tcBorders>
            <w:tcMar>
              <w:top w:w="120" w:type="dxa"/>
              <w:left w:w="108" w:type="dxa"/>
              <w:bottom w:w="120" w:type="dxa"/>
              <w:right w:w="108" w:type="dxa"/>
            </w:tcMar>
            <w:vAlign w:val="center"/>
          </w:tcPr>
          <w:p>
            <w:pPr>
              <w:keepNext w:val="0"/>
              <w:keepLines w:val="0"/>
              <w:pageBreakBefore w:val="0"/>
              <w:widowControl w:val="0"/>
              <w:kinsoku/>
              <w:wordWrap/>
              <w:overflowPunct/>
              <w:topLinePunct w:val="0"/>
              <w:autoSpaceDE/>
              <w:autoSpaceDN w:val="0"/>
              <w:bidi w:val="0"/>
              <w:adjustRightInd/>
              <w:snapToGrid/>
              <w:spacing w:line="300" w:lineRule="exact"/>
              <w:ind w:left="0" w:leftChars="0" w:right="0" w:rightChars="0"/>
              <w:jc w:val="center"/>
              <w:textAlignment w:val="auto"/>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男</w:t>
            </w:r>
          </w:p>
        </w:tc>
        <w:tc>
          <w:tcPr>
            <w:tcW w:w="851" w:type="dxa"/>
            <w:tcBorders>
              <w:top w:val="single" w:color="000000" w:sz="4" w:space="0"/>
              <w:left w:val="single" w:color="000000" w:sz="4" w:space="0"/>
              <w:bottom w:val="single" w:color="000000" w:sz="4" w:space="0"/>
              <w:right w:val="single" w:color="000000" w:sz="4" w:space="0"/>
            </w:tcBorders>
            <w:tcMar>
              <w:top w:w="120" w:type="dxa"/>
              <w:left w:w="108" w:type="dxa"/>
              <w:bottom w:w="120" w:type="dxa"/>
              <w:right w:w="108" w:type="dxa"/>
            </w:tcMar>
            <w:vAlign w:val="center"/>
          </w:tcPr>
          <w:p>
            <w:pPr>
              <w:keepNext w:val="0"/>
              <w:keepLines w:val="0"/>
              <w:pageBreakBefore w:val="0"/>
              <w:widowControl w:val="0"/>
              <w:kinsoku/>
              <w:wordWrap/>
              <w:overflowPunct/>
              <w:topLinePunct w:val="0"/>
              <w:autoSpaceDE/>
              <w:autoSpaceDN w:val="0"/>
              <w:bidi w:val="0"/>
              <w:adjustRightInd/>
              <w:snapToGrid/>
              <w:spacing w:line="300" w:lineRule="exact"/>
              <w:ind w:left="0" w:leftChars="0" w:right="0" w:rightChars="0"/>
              <w:jc w:val="center"/>
              <w:textAlignment w:val="auto"/>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26</w:t>
            </w:r>
          </w:p>
        </w:tc>
        <w:tc>
          <w:tcPr>
            <w:tcW w:w="2846" w:type="dxa"/>
            <w:tcBorders>
              <w:top w:val="single" w:color="000000" w:sz="4" w:space="0"/>
              <w:left w:val="single" w:color="000000" w:sz="4" w:space="0"/>
              <w:bottom w:val="single" w:color="000000" w:sz="4" w:space="0"/>
              <w:right w:val="single" w:color="000000" w:sz="4" w:space="0"/>
            </w:tcBorders>
            <w:tcMar>
              <w:top w:w="120" w:type="dxa"/>
              <w:left w:w="108" w:type="dxa"/>
              <w:bottom w:w="120" w:type="dxa"/>
              <w:right w:w="108" w:type="dxa"/>
            </w:tcMar>
            <w:vAlign w:val="center"/>
          </w:tcPr>
          <w:p>
            <w:pPr>
              <w:keepNext w:val="0"/>
              <w:keepLines w:val="0"/>
              <w:pageBreakBefore w:val="0"/>
              <w:widowControl w:val="0"/>
              <w:kinsoku/>
              <w:wordWrap/>
              <w:overflowPunct/>
              <w:topLinePunct w:val="0"/>
              <w:autoSpaceDE/>
              <w:autoSpaceDN w:val="0"/>
              <w:bidi w:val="0"/>
              <w:adjustRightInd/>
              <w:snapToGrid/>
              <w:spacing w:line="300" w:lineRule="exact"/>
              <w:ind w:left="0" w:leftChars="0" w:right="0" w:rightChars="0"/>
              <w:jc w:val="center"/>
              <w:textAlignment w:val="auto"/>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1405241995****</w:t>
            </w:r>
            <w:bookmarkStart w:id="0" w:name="_GoBack"/>
            <w:bookmarkEnd w:id="0"/>
            <w:r>
              <w:rPr>
                <w:rFonts w:hint="eastAsia" w:ascii="仿宋_GB2312" w:hAnsi="仿宋" w:eastAsia="仿宋_GB2312"/>
                <w:sz w:val="28"/>
                <w:szCs w:val="28"/>
                <w:lang w:val="en-US" w:eastAsia="zh-CN"/>
              </w:rPr>
              <w:t>1511</w:t>
            </w:r>
          </w:p>
        </w:tc>
        <w:tc>
          <w:tcPr>
            <w:tcW w:w="2552" w:type="dxa"/>
            <w:tcBorders>
              <w:top w:val="single" w:color="000000" w:sz="4" w:space="0"/>
              <w:left w:val="single" w:color="000000" w:sz="4" w:space="0"/>
              <w:bottom w:val="single" w:color="000000" w:sz="4" w:space="0"/>
              <w:right w:val="single" w:color="000000" w:sz="4" w:space="0"/>
            </w:tcBorders>
            <w:tcMar>
              <w:top w:w="120" w:type="dxa"/>
              <w:left w:w="108" w:type="dxa"/>
              <w:bottom w:w="120" w:type="dxa"/>
              <w:right w:w="108" w:type="dxa"/>
            </w:tcMar>
            <w:vAlign w:val="center"/>
          </w:tcPr>
          <w:p>
            <w:pPr>
              <w:keepNext w:val="0"/>
              <w:keepLines w:val="0"/>
              <w:pageBreakBefore w:val="0"/>
              <w:widowControl w:val="0"/>
              <w:kinsoku/>
              <w:wordWrap/>
              <w:overflowPunct/>
              <w:topLinePunct w:val="0"/>
              <w:autoSpaceDE/>
              <w:autoSpaceDN w:val="0"/>
              <w:bidi w:val="0"/>
              <w:adjustRightInd/>
              <w:snapToGrid/>
              <w:spacing w:line="300" w:lineRule="exact"/>
              <w:ind w:left="0" w:leftChars="0" w:right="0" w:rightChars="0"/>
              <w:jc w:val="center"/>
              <w:textAlignment w:val="auto"/>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山西省陵川县平城镇南街村</w:t>
            </w:r>
          </w:p>
        </w:tc>
        <w:tc>
          <w:tcPr>
            <w:tcW w:w="1054" w:type="dxa"/>
            <w:tcBorders>
              <w:top w:val="single" w:color="000000" w:sz="4" w:space="0"/>
              <w:left w:val="single" w:color="000000" w:sz="4" w:space="0"/>
              <w:bottom w:val="single" w:color="000000" w:sz="4" w:space="0"/>
              <w:right w:val="single" w:color="000000" w:sz="4" w:space="0"/>
            </w:tcBorders>
            <w:tcMar>
              <w:top w:w="120" w:type="dxa"/>
              <w:left w:w="108" w:type="dxa"/>
              <w:bottom w:w="120" w:type="dxa"/>
              <w:right w:w="108" w:type="dxa"/>
            </w:tcMar>
            <w:vAlign w:val="center"/>
          </w:tcPr>
          <w:p>
            <w:pPr>
              <w:keepNext w:val="0"/>
              <w:keepLines w:val="0"/>
              <w:pageBreakBefore w:val="0"/>
              <w:widowControl w:val="0"/>
              <w:kinsoku/>
              <w:wordWrap/>
              <w:overflowPunct/>
              <w:topLinePunct w:val="0"/>
              <w:autoSpaceDE/>
              <w:autoSpaceDN w:val="0"/>
              <w:bidi w:val="0"/>
              <w:adjustRightInd/>
              <w:snapToGrid/>
              <w:spacing w:line="300" w:lineRule="exact"/>
              <w:ind w:left="0" w:leftChars="0" w:right="0" w:rightChars="0"/>
              <w:jc w:val="center"/>
              <w:textAlignment w:val="auto"/>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受伤</w:t>
            </w:r>
          </w:p>
        </w:tc>
      </w:tr>
    </w:tbl>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 w:eastAsia="仿宋_GB2312"/>
          <w:kern w:val="2"/>
          <w:sz w:val="32"/>
          <w:szCs w:val="32"/>
          <w:lang w:val="en-US" w:eastAsia="zh-CN" w:bidi="ar-SA"/>
        </w:rPr>
      </w:pPr>
      <w:r>
        <w:rPr>
          <w:rFonts w:hint="eastAsia" w:ascii="仿宋_GB2312" w:hAnsi="仿宋" w:eastAsia="仿宋_GB2312"/>
          <w:kern w:val="2"/>
          <w:sz w:val="32"/>
          <w:szCs w:val="32"/>
          <w:lang w:val="en-US" w:eastAsia="zh-CN" w:bidi="ar-SA"/>
        </w:rPr>
        <w:t>事故直接经济损失：约245万元。</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四、事故原因和性质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ascii="仿宋" w:hAnsi="仿宋" w:eastAsia="仿宋" w:cs="仿宋_GB2312"/>
          <w:b/>
          <w:bCs/>
          <w:color w:val="000000"/>
          <w:sz w:val="32"/>
          <w:szCs w:val="32"/>
        </w:rPr>
      </w:pPr>
      <w:r>
        <w:rPr>
          <w:rFonts w:hint="eastAsia" w:ascii="仿宋" w:hAnsi="仿宋" w:eastAsia="仿宋" w:cs="仿宋_GB2312"/>
          <w:b/>
          <w:bCs/>
          <w:color w:val="000000"/>
          <w:sz w:val="32"/>
          <w:szCs w:val="32"/>
        </w:rPr>
        <w:t>（一）直接原因</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仿宋" w:hAnsi="仿宋" w:eastAsia="仿宋" w:cs="仿宋_GB2312"/>
          <w:b/>
          <w:bCs/>
          <w:color w:val="000000"/>
          <w:sz w:val="32"/>
          <w:szCs w:val="32"/>
          <w:lang w:val="en-US"/>
        </w:rPr>
      </w:pPr>
      <w:r>
        <w:rPr>
          <w:rFonts w:hint="eastAsia" w:ascii="仿宋_GB2312" w:hAnsi="仿宋" w:eastAsia="仿宋_GB2312" w:cs="Times New Roman"/>
          <w:sz w:val="32"/>
          <w:szCs w:val="32"/>
          <w:lang w:val="en-US" w:eastAsia="zh-CN"/>
        </w:rPr>
        <w:t>孙志忠在拆除5#风机脱水器法兰阀门时，错拆了运行状态下的4#风机脱水器法兰阀门，水封水溢出使煤气大量泄漏，吸入高浓度一氧化碳造成一氧化碳中毒，是此次事故发生的直接原因。</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仿宋" w:hAnsi="仿宋" w:eastAsia="仿宋" w:cs="仿宋_GB2312"/>
          <w:b/>
          <w:bCs/>
          <w:color w:val="000000"/>
          <w:sz w:val="32"/>
          <w:szCs w:val="32"/>
        </w:rPr>
      </w:pPr>
      <w:r>
        <w:rPr>
          <w:rFonts w:hint="eastAsia" w:ascii="仿宋" w:hAnsi="仿宋" w:eastAsia="仿宋" w:cs="仿宋_GB2312"/>
          <w:b/>
          <w:bCs/>
          <w:color w:val="000000"/>
          <w:sz w:val="32"/>
          <w:szCs w:val="32"/>
        </w:rPr>
        <w:t>（二）间接原因</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仿宋_GB2312" w:hAnsi="仿宋" w:eastAsia="仿宋_GB2312"/>
          <w:sz w:val="32"/>
          <w:szCs w:val="32"/>
          <w:lang w:val="en-US" w:eastAsia="zh-CN"/>
        </w:rPr>
      </w:pPr>
      <w:r>
        <w:rPr>
          <w:rFonts w:hint="eastAsia" w:ascii="仿宋_GB2312" w:hAnsi="仿宋" w:eastAsia="仿宋_GB2312"/>
          <w:sz w:val="32"/>
          <w:szCs w:val="32"/>
        </w:rPr>
        <w:t>1</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岗位人员违反作业标准和作业步骤，未办理完工作票审批手续，未进行现场安全确认、安全交底，无现场监护的情况下实施检维修作业，煤气发生泄漏后意图盲目恢复补救，未及时撤离，是造成煤气中毒事故的主要原因。</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仿宋_GB2312" w:hAnsi="仿宋" w:eastAsia="仿宋_GB2312"/>
          <w:sz w:val="32"/>
          <w:szCs w:val="32"/>
          <w:lang w:val="en-US"/>
        </w:rPr>
      </w:pPr>
      <w:r>
        <w:rPr>
          <w:rFonts w:hint="eastAsia" w:ascii="仿宋_GB2312" w:hAnsi="仿宋" w:eastAsia="仿宋_GB2312"/>
          <w:sz w:val="32"/>
          <w:szCs w:val="32"/>
          <w:lang w:val="en-US" w:eastAsia="zh-CN"/>
        </w:rPr>
        <w:t>2.应急演练和安全培训教育不到位，岗位人员、救援人员缺乏安全意识、自我保护意识和安全应急常识，对转炉煤气的危害性认识不深入、泄漏后紧急撤离措施未入脑入心，岗位应急基本技能明显不足，自救互救能力差，是造成煤气中毒事故的重要原因。</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仿宋_GB2312" w:hAnsi="仿宋" w:eastAsia="仿宋_GB2312"/>
          <w:sz w:val="32"/>
          <w:szCs w:val="32"/>
          <w:lang w:val="en-US" w:eastAsia="zh-CN"/>
        </w:rPr>
      </w:pPr>
      <w:r>
        <w:rPr>
          <w:rFonts w:hint="eastAsia" w:ascii="仿宋_GB2312" w:hAnsi="仿宋" w:eastAsia="仿宋_GB2312"/>
          <w:sz w:val="32"/>
          <w:szCs w:val="32"/>
          <w:lang w:val="en-US" w:eastAsia="zh-CN"/>
        </w:rPr>
        <w:t>3.未认真履行安全管理职责，</w:t>
      </w:r>
      <w:r>
        <w:rPr>
          <w:rFonts w:hint="eastAsia" w:ascii="仿宋_GB2312" w:hAnsi="仿宋" w:eastAsia="仿宋_GB2312" w:cs="Times New Roman"/>
          <w:sz w:val="32"/>
          <w:szCs w:val="32"/>
          <w:lang w:val="en-US" w:eastAsia="zh-CN"/>
        </w:rPr>
        <w:t>规章制度落实不到位，未及时发现和制止违章作业，未及时消除事故隐患，</w:t>
      </w:r>
      <w:r>
        <w:rPr>
          <w:rFonts w:hint="eastAsia" w:ascii="仿宋_GB2312" w:hAnsi="仿宋" w:eastAsia="仿宋_GB2312"/>
          <w:sz w:val="32"/>
          <w:szCs w:val="32"/>
          <w:lang w:val="en-US" w:eastAsia="zh-CN"/>
        </w:rPr>
        <w:t>是造成煤气中毒事故的间接原因。</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仿宋" w:hAnsi="仿宋" w:eastAsia="仿宋" w:cs="仿宋_GB2312"/>
          <w:b/>
          <w:bCs/>
          <w:color w:val="000000"/>
          <w:sz w:val="32"/>
          <w:szCs w:val="32"/>
        </w:rPr>
      </w:pPr>
      <w:r>
        <w:rPr>
          <w:rFonts w:hint="eastAsia" w:ascii="仿宋" w:hAnsi="仿宋" w:eastAsia="仿宋" w:cs="仿宋_GB2312"/>
          <w:b/>
          <w:bCs/>
          <w:color w:val="000000"/>
          <w:sz w:val="32"/>
          <w:szCs w:val="32"/>
        </w:rPr>
        <w:t>（三）事故性质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_GB2312"/>
          <w:color w:val="000000"/>
          <w:sz w:val="32"/>
          <w:szCs w:val="32"/>
        </w:rPr>
      </w:pPr>
      <w:r>
        <w:rPr>
          <w:rFonts w:hint="eastAsia" w:ascii="仿宋_GB2312" w:hAnsi="仿宋" w:eastAsia="仿宋_GB2312"/>
          <w:sz w:val="32"/>
          <w:szCs w:val="32"/>
          <w:lang w:val="en-US" w:eastAsia="zh-CN"/>
        </w:rPr>
        <w:t>鉴于上述原因分析，根据国家有关法律法规规定，事故</w:t>
      </w:r>
      <w:r>
        <w:rPr>
          <w:rFonts w:hint="eastAsia" w:ascii="仿宋_GB2312" w:hAnsi="仿宋" w:eastAsia="仿宋_GB2312"/>
          <w:sz w:val="32"/>
          <w:szCs w:val="32"/>
        </w:rPr>
        <w:t>调查</w:t>
      </w:r>
      <w:r>
        <w:rPr>
          <w:rFonts w:hint="eastAsia" w:ascii="仿宋_GB2312" w:hAnsi="仿宋" w:eastAsia="仿宋_GB2312"/>
          <w:sz w:val="32"/>
          <w:szCs w:val="32"/>
          <w:lang w:val="en-US" w:eastAsia="zh-CN"/>
        </w:rPr>
        <w:t>组</w:t>
      </w:r>
      <w:r>
        <w:rPr>
          <w:rFonts w:hint="eastAsia" w:ascii="仿宋_GB2312" w:hAnsi="仿宋" w:eastAsia="仿宋_GB2312"/>
          <w:sz w:val="32"/>
          <w:szCs w:val="32"/>
        </w:rPr>
        <w:t>认定，山西太钢不锈钢股份有限公司炼钢二厂“</w:t>
      </w:r>
      <w:r>
        <w:rPr>
          <w:rFonts w:hint="eastAsia" w:ascii="仿宋_GB2312" w:hAnsi="仿宋" w:eastAsia="仿宋_GB2312"/>
          <w:sz w:val="32"/>
          <w:szCs w:val="32"/>
          <w:lang w:val="en-US" w:eastAsia="zh-CN"/>
        </w:rPr>
        <w:t>6.21</w:t>
      </w:r>
      <w:r>
        <w:rPr>
          <w:rFonts w:hint="eastAsia" w:ascii="仿宋_GB2312" w:hAnsi="仿宋" w:eastAsia="仿宋_GB2312"/>
          <w:sz w:val="32"/>
          <w:szCs w:val="32"/>
        </w:rPr>
        <w:t>”</w:t>
      </w:r>
      <w:r>
        <w:rPr>
          <w:rFonts w:hint="eastAsia" w:ascii="仿宋_GB2312" w:hAnsi="仿宋" w:eastAsia="仿宋_GB2312"/>
          <w:sz w:val="32"/>
          <w:szCs w:val="32"/>
          <w:lang w:val="en-US" w:eastAsia="zh-CN"/>
        </w:rPr>
        <w:t>煤气中毒</w:t>
      </w:r>
      <w:r>
        <w:rPr>
          <w:rFonts w:hint="eastAsia" w:ascii="仿宋_GB2312" w:hAnsi="仿宋" w:eastAsia="仿宋_GB2312"/>
          <w:sz w:val="32"/>
          <w:szCs w:val="32"/>
        </w:rPr>
        <w:t>事故</w:t>
      </w:r>
      <w:r>
        <w:rPr>
          <w:rFonts w:hint="eastAsia" w:ascii="仿宋_GB2312" w:hAnsi="仿宋" w:eastAsia="仿宋_GB2312"/>
          <w:sz w:val="32"/>
          <w:szCs w:val="32"/>
          <w:lang w:val="en-US" w:eastAsia="zh-CN"/>
        </w:rPr>
        <w:t>是</w:t>
      </w:r>
      <w:r>
        <w:rPr>
          <w:rFonts w:hint="eastAsia" w:ascii="仿宋_GB2312" w:hAnsi="仿宋" w:eastAsia="仿宋_GB2312"/>
          <w:sz w:val="32"/>
          <w:szCs w:val="32"/>
        </w:rPr>
        <w:t>一起</w:t>
      </w:r>
      <w:r>
        <w:rPr>
          <w:rFonts w:hint="eastAsia" w:ascii="仿宋_GB2312" w:hAnsi="仿宋" w:eastAsia="仿宋_GB2312"/>
          <w:sz w:val="32"/>
          <w:szCs w:val="32"/>
          <w:lang w:val="en-US" w:eastAsia="zh-CN"/>
        </w:rPr>
        <w:t>违反安全管理制度的一般</w:t>
      </w:r>
      <w:r>
        <w:rPr>
          <w:rFonts w:hint="eastAsia" w:ascii="仿宋_GB2312" w:hAnsi="仿宋" w:eastAsia="仿宋_GB2312"/>
          <w:sz w:val="32"/>
          <w:szCs w:val="32"/>
        </w:rPr>
        <w:t>生产安全责任事故。</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ascii="黑体" w:hAnsi="黑体" w:eastAsia="黑体" w:cs="仿宋_GB2312"/>
          <w:color w:val="000000"/>
          <w:sz w:val="32"/>
          <w:szCs w:val="32"/>
        </w:rPr>
      </w:pPr>
      <w:r>
        <w:rPr>
          <w:rFonts w:hint="eastAsia" w:ascii="黑体" w:hAnsi="黑体" w:eastAsia="黑体" w:cs="仿宋_GB2312"/>
          <w:color w:val="000000"/>
          <w:sz w:val="32"/>
          <w:szCs w:val="32"/>
        </w:rPr>
        <w:t>五、责任认定及处理建议</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sz w:val="32"/>
          <w:szCs w:val="32"/>
          <w:lang w:val="en-US" w:eastAsia="zh-CN"/>
        </w:rPr>
      </w:pPr>
      <w:r>
        <w:rPr>
          <w:rFonts w:hint="eastAsia" w:ascii="仿宋_GB2312" w:hAnsi="仿宋" w:eastAsia="仿宋_GB2312"/>
          <w:sz w:val="32"/>
          <w:szCs w:val="32"/>
        </w:rPr>
        <w:t>1</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孙志忠，男，36岁，群众，山西荣智建筑劳务有限公司南区转炉作业区动力班钳工，安全意识和自我防范意识不强，违反作业标准和作业步骤，未进行现场安全确认、安全交底，无现场监护的情况下，</w:t>
      </w:r>
      <w:r>
        <w:rPr>
          <w:rFonts w:hint="eastAsia" w:ascii="仿宋_GB2312" w:hAnsi="仿宋" w:eastAsia="仿宋_GB2312" w:cs="Times New Roman"/>
          <w:sz w:val="32"/>
          <w:szCs w:val="32"/>
          <w:lang w:val="en-US" w:eastAsia="zh-CN"/>
        </w:rPr>
        <w:t>错拆运行状态下的4#风机脱水器法兰阀门</w:t>
      </w:r>
      <w:r>
        <w:rPr>
          <w:rFonts w:hint="eastAsia" w:ascii="仿宋_GB2312" w:hAnsi="仿宋" w:eastAsia="仿宋_GB2312"/>
          <w:sz w:val="32"/>
          <w:szCs w:val="32"/>
          <w:lang w:val="en-US" w:eastAsia="zh-CN"/>
        </w:rPr>
        <w:t>导致煤气泄漏，煤气泄漏后意图盲目恢复补救未及时撤离，</w:t>
      </w:r>
      <w:r>
        <w:rPr>
          <w:rFonts w:hint="eastAsia" w:ascii="仿宋_GB2312" w:hAnsi="仿宋" w:eastAsia="仿宋_GB2312"/>
          <w:sz w:val="32"/>
          <w:szCs w:val="32"/>
        </w:rPr>
        <w:t>对事故发生负有</w:t>
      </w:r>
      <w:r>
        <w:rPr>
          <w:rFonts w:hint="eastAsia" w:ascii="仿宋_GB2312" w:hAnsi="仿宋" w:eastAsia="仿宋_GB2312"/>
          <w:sz w:val="32"/>
          <w:szCs w:val="32"/>
          <w:lang w:val="en-US" w:eastAsia="zh-CN"/>
        </w:rPr>
        <w:t>直接责任，</w:t>
      </w:r>
      <w:r>
        <w:rPr>
          <w:rFonts w:hint="eastAsia" w:ascii="仿宋_GB2312" w:eastAsia="仿宋_GB2312"/>
          <w:sz w:val="32"/>
          <w:szCs w:val="36"/>
        </w:rPr>
        <w:t>鉴于其已在事故中死亡，建议不再追究有关责任。</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ascii="仿宋_GB2312" w:hAnsi="仿宋" w:eastAsia="仿宋_GB2312"/>
          <w:sz w:val="32"/>
          <w:szCs w:val="32"/>
        </w:rPr>
      </w:pPr>
      <w:r>
        <w:rPr>
          <w:rFonts w:hint="eastAsia" w:ascii="仿宋_GB2312" w:hAnsi="仿宋" w:eastAsia="仿宋_GB2312"/>
          <w:sz w:val="32"/>
          <w:szCs w:val="32"/>
          <w:lang w:val="en-US" w:eastAsia="zh-CN"/>
        </w:rPr>
        <w:t>2.赵磊</w:t>
      </w:r>
      <w:r>
        <w:rPr>
          <w:rFonts w:hint="eastAsia" w:ascii="仿宋_GB2312" w:hAnsi="仿宋" w:eastAsia="仿宋_GB2312"/>
          <w:sz w:val="32"/>
          <w:szCs w:val="32"/>
        </w:rPr>
        <w:t>，男，</w:t>
      </w:r>
      <w:r>
        <w:rPr>
          <w:rFonts w:hint="eastAsia" w:ascii="仿宋_GB2312" w:hAnsi="仿宋" w:eastAsia="仿宋_GB2312"/>
          <w:sz w:val="32"/>
          <w:szCs w:val="32"/>
          <w:lang w:val="en-US" w:eastAsia="zh-CN"/>
        </w:rPr>
        <w:t>26岁，群众，山西荣智建筑劳务有限公司南区转炉作业区动力班焊工，安全意识、自我保护意识和安全应急常识缺乏，对转炉煤气的危害性认识不深入、泄漏后紧急撤离措施未入脑入心，岗位应急基本技能明显不足，自救互救能力差，建议重新进行三级安全培训教育</w:t>
      </w:r>
      <w:r>
        <w:rPr>
          <w:rFonts w:hint="eastAsia" w:ascii="仿宋_GB2312" w:hAnsi="仿宋"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3.耿培林</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男，44岁，群众，山西荣智建筑劳务有限公司南区转炉作业区动力班班组长，未认真履行安全管理职责，</w:t>
      </w:r>
      <w:r>
        <w:rPr>
          <w:rFonts w:hint="eastAsia" w:ascii="仿宋_GB2312" w:hAnsi="仿宋" w:eastAsia="仿宋_GB2312" w:cs="Times New Roman"/>
          <w:sz w:val="32"/>
          <w:szCs w:val="32"/>
          <w:lang w:val="en-US" w:eastAsia="zh-CN"/>
        </w:rPr>
        <w:t>规章制度落实不到位，未及时发现和制止违章作业，</w:t>
      </w:r>
      <w:r>
        <w:rPr>
          <w:rFonts w:hint="eastAsia" w:ascii="仿宋_GB2312" w:hAnsi="仿宋" w:eastAsia="仿宋_GB2312"/>
          <w:sz w:val="32"/>
          <w:szCs w:val="32"/>
          <w:lang w:val="en-US" w:eastAsia="zh-CN"/>
        </w:rPr>
        <w:t>未采取措施消除事故隐患，</w:t>
      </w:r>
      <w:r>
        <w:rPr>
          <w:rFonts w:hint="eastAsia" w:ascii="仿宋_GB2312" w:hAnsi="仿宋" w:eastAsia="仿宋_GB2312"/>
          <w:sz w:val="32"/>
          <w:szCs w:val="32"/>
        </w:rPr>
        <w:t>对此次事故发生负有</w:t>
      </w:r>
      <w:r>
        <w:rPr>
          <w:rFonts w:hint="eastAsia" w:ascii="仿宋_GB2312" w:hAnsi="仿宋" w:eastAsia="仿宋_GB2312"/>
          <w:sz w:val="32"/>
          <w:szCs w:val="32"/>
          <w:lang w:val="en-US" w:eastAsia="zh-CN"/>
        </w:rPr>
        <w:t>主要管理</w:t>
      </w:r>
      <w:r>
        <w:rPr>
          <w:rFonts w:hint="eastAsia" w:ascii="仿宋_GB2312" w:hAnsi="仿宋" w:eastAsia="仿宋_GB2312"/>
          <w:sz w:val="32"/>
          <w:szCs w:val="32"/>
        </w:rPr>
        <w:t>责任</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依据《安全生产违法行为行政处罚办法》第四十五条第（三）项“发现从业人员违章作业不加制止的”，建议对其处以10000元人民币的罚款。</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sz w:val="32"/>
          <w:szCs w:val="32"/>
          <w:lang w:val="en-US" w:eastAsia="zh-CN"/>
        </w:rPr>
      </w:pPr>
      <w:r>
        <w:rPr>
          <w:rFonts w:hint="eastAsia" w:ascii="仿宋_GB2312" w:hAnsi="仿宋" w:eastAsia="仿宋_GB2312" w:cs="Times New Roman"/>
          <w:sz w:val="32"/>
          <w:szCs w:val="32"/>
          <w:lang w:val="en-US" w:eastAsia="zh-CN"/>
        </w:rPr>
        <w:t>4.</w:t>
      </w:r>
      <w:r>
        <w:rPr>
          <w:rFonts w:hint="eastAsia" w:ascii="仿宋_GB2312" w:hAnsi="仿宋" w:eastAsia="仿宋_GB2312"/>
          <w:sz w:val="32"/>
          <w:szCs w:val="32"/>
          <w:lang w:val="en-US" w:eastAsia="zh-CN"/>
        </w:rPr>
        <w:t>王建柱，男，46岁，群众，</w:t>
      </w:r>
      <w:r>
        <w:rPr>
          <w:rFonts w:hint="eastAsia" w:ascii="仿宋_GB2312" w:hAnsi="仿宋" w:eastAsia="仿宋_GB2312"/>
          <w:sz w:val="32"/>
          <w:szCs w:val="32"/>
          <w:lang w:eastAsia="zh-CN"/>
        </w:rPr>
        <w:t>中冶宝钢技术服务有限公司</w:t>
      </w:r>
      <w:r>
        <w:rPr>
          <w:rFonts w:hint="eastAsia" w:ascii="仿宋_GB2312" w:hAnsi="仿宋" w:eastAsia="仿宋_GB2312"/>
          <w:sz w:val="32"/>
          <w:szCs w:val="32"/>
          <w:lang w:val="en-US" w:eastAsia="zh-CN"/>
        </w:rPr>
        <w:t>山西分公司炼钢二队南区转炉作业区作业长，应急演练和安全培训教育不到位，未认真履行安全管理职责，</w:t>
      </w:r>
      <w:r>
        <w:rPr>
          <w:rFonts w:hint="eastAsia" w:ascii="仿宋_GB2312" w:hAnsi="仿宋" w:eastAsia="仿宋_GB2312" w:cs="Times New Roman"/>
          <w:sz w:val="32"/>
          <w:szCs w:val="32"/>
          <w:lang w:val="en-US" w:eastAsia="zh-CN"/>
        </w:rPr>
        <w:t>规章制度落实不到位，未及时发现和制止违章作业，未及时消除事故隐患，</w:t>
      </w:r>
      <w:r>
        <w:rPr>
          <w:rFonts w:hint="eastAsia" w:ascii="仿宋_GB2312" w:hAnsi="仿宋" w:eastAsia="仿宋_GB2312"/>
          <w:sz w:val="32"/>
          <w:szCs w:val="32"/>
        </w:rPr>
        <w:t>对此次事故发生负有</w:t>
      </w:r>
      <w:r>
        <w:rPr>
          <w:rFonts w:hint="eastAsia" w:ascii="仿宋_GB2312" w:hAnsi="仿宋" w:eastAsia="仿宋_GB2312"/>
          <w:sz w:val="32"/>
          <w:szCs w:val="32"/>
          <w:lang w:val="en-US" w:eastAsia="zh-CN"/>
        </w:rPr>
        <w:t>重要管理</w:t>
      </w:r>
      <w:r>
        <w:rPr>
          <w:rFonts w:hint="eastAsia" w:ascii="仿宋_GB2312" w:hAnsi="仿宋" w:eastAsia="仿宋_GB2312"/>
          <w:sz w:val="32"/>
          <w:szCs w:val="32"/>
        </w:rPr>
        <w:t>责任</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依据《安全生产违法行为行政处罚办法》第四十五条第（三）项“发现从业人员违章作业不加制止的”，建议对其处以10000元人民币的罚款。</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w:t>
      </w:r>
      <w:r>
        <w:rPr>
          <w:rFonts w:hint="eastAsia" w:ascii="仿宋_GB2312" w:hAnsi="仿宋" w:eastAsia="仿宋_GB2312"/>
          <w:sz w:val="32"/>
          <w:szCs w:val="32"/>
          <w:lang w:val="en-US" w:eastAsia="zh-CN"/>
        </w:rPr>
        <w:t>毛振杰，男，39岁，群众，山西荣智建筑劳务有限公司二钢项目安全主管，应急演练和安全培训教育不到位，未认真履行安全管理职责，</w:t>
      </w:r>
      <w:r>
        <w:rPr>
          <w:rFonts w:hint="eastAsia" w:ascii="仿宋_GB2312" w:hAnsi="仿宋" w:eastAsia="仿宋_GB2312" w:cs="Times New Roman"/>
          <w:sz w:val="32"/>
          <w:szCs w:val="32"/>
          <w:lang w:val="en-US" w:eastAsia="zh-CN"/>
        </w:rPr>
        <w:t>规章制度落实不到位，未及时发现和制止违章作业，未及时消除事故隐患，</w:t>
      </w:r>
      <w:r>
        <w:rPr>
          <w:rFonts w:hint="eastAsia" w:ascii="仿宋_GB2312" w:hAnsi="仿宋" w:eastAsia="仿宋_GB2312"/>
          <w:sz w:val="32"/>
          <w:szCs w:val="32"/>
          <w:lang w:val="en-US" w:eastAsia="zh-CN"/>
        </w:rPr>
        <w:t>对此次事故负有主要管理责任，</w:t>
      </w:r>
      <w:r>
        <w:rPr>
          <w:rFonts w:hint="eastAsia" w:ascii="仿宋_GB2312" w:hAnsi="仿宋_GB2312" w:eastAsia="仿宋_GB2312" w:cs="仿宋_GB2312"/>
          <w:sz w:val="32"/>
          <w:szCs w:val="32"/>
          <w:lang w:val="en-US" w:eastAsia="zh-CN"/>
        </w:rPr>
        <w:t>依据《中华人民共和国安全生产法》第九十六条，建议荣智建筑暂停其与安全生产有关的资格，并处上一年年收入百分之二十以上百分之五十以下的罚款，对其处13301元人民币的罚款。</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lang w:val="en-US" w:eastAsia="zh-CN"/>
        </w:rPr>
      </w:pPr>
      <w:r>
        <w:rPr>
          <w:rFonts w:hint="eastAsia" w:ascii="仿宋_GB2312" w:hAnsi="仿宋" w:eastAsia="仿宋_GB2312"/>
          <w:sz w:val="32"/>
          <w:szCs w:val="32"/>
          <w:lang w:val="en-US" w:eastAsia="zh-CN"/>
        </w:rPr>
        <w:t>6.</w:t>
      </w:r>
      <w:r>
        <w:rPr>
          <w:rFonts w:hint="eastAsia" w:ascii="仿宋_GB2312" w:hAnsi="仿宋_GB2312" w:eastAsia="仿宋_GB2312" w:cs="仿宋_GB2312"/>
          <w:sz w:val="32"/>
          <w:szCs w:val="32"/>
          <w:lang w:val="en-US" w:eastAsia="zh-CN"/>
        </w:rPr>
        <w:t>张健，男，49岁，中共党员，</w:t>
      </w:r>
      <w:r>
        <w:rPr>
          <w:rFonts w:hint="eastAsia" w:ascii="仿宋_GB2312" w:hAnsi="仿宋" w:eastAsia="仿宋_GB2312"/>
          <w:sz w:val="32"/>
          <w:szCs w:val="32"/>
          <w:lang w:eastAsia="zh-CN"/>
        </w:rPr>
        <w:t>中冶宝钢技术服务有限公司</w:t>
      </w:r>
      <w:r>
        <w:rPr>
          <w:rFonts w:hint="eastAsia" w:ascii="仿宋_GB2312" w:hAnsi="仿宋" w:eastAsia="仿宋_GB2312"/>
          <w:sz w:val="32"/>
          <w:szCs w:val="32"/>
          <w:lang w:val="en-US" w:eastAsia="zh-CN"/>
        </w:rPr>
        <w:t>山西分公司炼钢二队队长，应急演练和安全培训教育不到位，未认真履行安全管理职责，</w:t>
      </w:r>
      <w:r>
        <w:rPr>
          <w:rFonts w:hint="eastAsia" w:ascii="仿宋_GB2312" w:hAnsi="仿宋" w:eastAsia="仿宋_GB2312" w:cs="Times New Roman"/>
          <w:sz w:val="32"/>
          <w:szCs w:val="32"/>
          <w:lang w:val="en-US" w:eastAsia="zh-CN"/>
        </w:rPr>
        <w:t>规章制度落实不到位，未及时发现和制止违章作业，未及时消除事故隐患，</w:t>
      </w:r>
      <w:r>
        <w:rPr>
          <w:rFonts w:hint="eastAsia" w:ascii="仿宋_GB2312" w:hAnsi="仿宋" w:eastAsia="仿宋_GB2312"/>
          <w:sz w:val="32"/>
          <w:szCs w:val="32"/>
          <w:lang w:val="en-US" w:eastAsia="zh-CN"/>
        </w:rPr>
        <w:t>对此次事故负有主要领导责任，依据《安全生产违法行为行政处罚办法》第四十五条第（三）项“发现从业人员违章作业不加制止的”，建议对其处以10000元人民币的罚款。</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仿宋_GB2312" w:hAnsi="仿宋" w:eastAsia="仿宋_GB2312"/>
          <w:sz w:val="32"/>
          <w:szCs w:val="32"/>
          <w:lang w:val="en-US" w:eastAsia="zh-CN"/>
        </w:rPr>
      </w:pPr>
      <w:r>
        <w:rPr>
          <w:rFonts w:hint="eastAsia" w:ascii="仿宋_GB2312" w:hAnsi="仿宋" w:eastAsia="仿宋_GB2312"/>
          <w:sz w:val="32"/>
          <w:szCs w:val="32"/>
          <w:lang w:val="en-US" w:eastAsia="zh-CN"/>
        </w:rPr>
        <w:t>7.李里，男，44岁，中共党员，中冶宝钢技术服务有限公司山西分公司负责人，未认真履行安全管理职责，规章制度落实不到位，未及时发现和制止违章作业，未及时消除事故隐患，对此次事故负有领导责任，依据《安全生产领域违法违纪行为政纪处分暂行规定》第十二条和第十七条第二款的规定，建议责成中冶宝钢给予其行政警告处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olor w:val="000000"/>
          <w:sz w:val="32"/>
          <w:szCs w:val="32"/>
          <w:lang w:eastAsia="zh-CN"/>
        </w:rPr>
      </w:pPr>
      <w:r>
        <w:rPr>
          <w:rFonts w:hint="eastAsia" w:ascii="仿宋_GB2312" w:hAnsi="仿宋" w:eastAsia="仿宋_GB2312"/>
          <w:sz w:val="32"/>
          <w:szCs w:val="32"/>
          <w:lang w:val="en-US" w:eastAsia="zh-CN"/>
        </w:rPr>
        <w:t>8.李楠，男，40岁，群众，山西荣智建筑劳务有限公司法人，应急演练和安全培训教育不到位，未认真履行安全管理职责，</w:t>
      </w:r>
      <w:r>
        <w:rPr>
          <w:rFonts w:hint="eastAsia" w:ascii="仿宋_GB2312" w:hAnsi="仿宋" w:eastAsia="仿宋_GB2312" w:cs="Times New Roman"/>
          <w:sz w:val="32"/>
          <w:szCs w:val="32"/>
          <w:lang w:val="en-US" w:eastAsia="zh-CN"/>
        </w:rPr>
        <w:t>规章制度落实不到位，未及时发现和制止违章作业，未及时消除事故隐患，</w:t>
      </w:r>
      <w:r>
        <w:rPr>
          <w:rFonts w:hint="eastAsia" w:ascii="仿宋_GB2312" w:hAnsi="仿宋" w:eastAsia="仿宋_GB2312"/>
          <w:sz w:val="32"/>
          <w:szCs w:val="32"/>
          <w:lang w:val="en-US" w:eastAsia="zh-CN"/>
        </w:rPr>
        <w:t>对此次事故负有重要领导责任，</w:t>
      </w:r>
      <w:r>
        <w:rPr>
          <w:rFonts w:hint="eastAsia" w:ascii="仿宋_GB2312" w:eastAsia="仿宋_GB2312"/>
          <w:color w:val="000000"/>
          <w:sz w:val="32"/>
          <w:szCs w:val="32"/>
        </w:rPr>
        <w:t>依据《中华人民共和国安全生产法》第</w:t>
      </w:r>
      <w:r>
        <w:rPr>
          <w:rFonts w:hint="eastAsia" w:ascii="仿宋_GB2312" w:eastAsia="仿宋_GB2312"/>
          <w:color w:val="000000"/>
          <w:sz w:val="32"/>
          <w:szCs w:val="32"/>
          <w:lang w:val="en-US" w:eastAsia="zh-CN"/>
        </w:rPr>
        <w:t>九十五</w:t>
      </w:r>
      <w:r>
        <w:rPr>
          <w:rFonts w:hint="eastAsia" w:ascii="仿宋_GB2312" w:eastAsia="仿宋_GB2312"/>
          <w:color w:val="000000"/>
          <w:sz w:val="32"/>
          <w:szCs w:val="32"/>
        </w:rPr>
        <w:t>条第（一）项“发生一般事故的，处上一年年收</w:t>
      </w:r>
      <w:r>
        <w:rPr>
          <w:rFonts w:hint="eastAsia" w:ascii="仿宋_GB2312" w:eastAsia="仿宋_GB2312"/>
          <w:color w:val="000000"/>
          <w:sz w:val="32"/>
          <w:szCs w:val="32"/>
          <w:lang w:val="en-US" w:eastAsia="zh-CN"/>
        </w:rPr>
        <w:t>入</w:t>
      </w:r>
      <w:r>
        <w:rPr>
          <w:rFonts w:hint="eastAsia" w:ascii="仿宋_GB2312" w:eastAsia="仿宋_GB2312"/>
          <w:color w:val="000000"/>
          <w:sz w:val="32"/>
          <w:szCs w:val="32"/>
        </w:rPr>
        <w:t>百分之</w:t>
      </w:r>
      <w:r>
        <w:rPr>
          <w:rFonts w:hint="eastAsia" w:ascii="仿宋_GB2312" w:eastAsia="仿宋_GB2312"/>
          <w:color w:val="000000"/>
          <w:sz w:val="32"/>
          <w:szCs w:val="32"/>
          <w:lang w:val="en-US" w:eastAsia="zh-CN"/>
        </w:rPr>
        <w:t>四</w:t>
      </w:r>
      <w:r>
        <w:rPr>
          <w:rFonts w:hint="eastAsia" w:ascii="仿宋_GB2312" w:eastAsia="仿宋_GB2312"/>
          <w:color w:val="000000"/>
          <w:sz w:val="32"/>
          <w:szCs w:val="32"/>
        </w:rPr>
        <w:t>十的罚款”，建议对其</w:t>
      </w:r>
      <w:r>
        <w:rPr>
          <w:rFonts w:hint="eastAsia" w:ascii="仿宋_GB2312" w:eastAsia="仿宋_GB2312"/>
          <w:color w:val="000000"/>
          <w:sz w:val="32"/>
          <w:szCs w:val="32"/>
          <w:u w:val="none"/>
        </w:rPr>
        <w:t>处以</w:t>
      </w:r>
      <w:r>
        <w:rPr>
          <w:rFonts w:hint="eastAsia" w:ascii="仿宋_GB2312" w:eastAsia="仿宋_GB2312"/>
          <w:color w:val="000000"/>
          <w:sz w:val="32"/>
          <w:szCs w:val="32"/>
          <w:u w:val="none"/>
          <w:lang w:val="en-US" w:eastAsia="zh-CN"/>
        </w:rPr>
        <w:t>15256.4</w:t>
      </w:r>
      <w:r>
        <w:rPr>
          <w:rFonts w:hint="eastAsia" w:ascii="仿宋_GB2312" w:eastAsia="仿宋_GB2312"/>
          <w:color w:val="000000"/>
          <w:sz w:val="32"/>
          <w:szCs w:val="32"/>
          <w:u w:val="none"/>
        </w:rPr>
        <w:t>元的</w:t>
      </w:r>
      <w:r>
        <w:rPr>
          <w:rFonts w:hint="eastAsia" w:ascii="仿宋_GB2312" w:eastAsia="仿宋_GB2312"/>
          <w:color w:val="000000"/>
          <w:sz w:val="32"/>
          <w:szCs w:val="32"/>
        </w:rPr>
        <w:t>罚款。</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 w:eastAsia="仿宋_GB2312"/>
          <w:sz w:val="32"/>
          <w:szCs w:val="32"/>
          <w:lang w:val="en-US" w:eastAsia="zh-CN"/>
        </w:rPr>
      </w:pPr>
      <w:r>
        <w:rPr>
          <w:rFonts w:hint="eastAsia" w:ascii="仿宋_GB2312" w:hAnsi="仿宋" w:eastAsia="仿宋_GB2312"/>
          <w:sz w:val="32"/>
          <w:szCs w:val="32"/>
          <w:lang w:val="en-US" w:eastAsia="zh-CN"/>
        </w:rPr>
        <w:t>9.中冶宝钢技术服务有限公司，对涉及煤气作业的危险作业，未安排专门人员进行现场管理，依据《中华人民共和国安全生产法》第一百零一条第（三）项“进行爆破、吊装、动火、临时用电以及国务院应急管理部门会同国务院有关部门规定的其他危险作业，未安排专门人员进行现场安全管理的”，建议处以10万元的行政处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10.山西荣智建筑劳务有限公司，安全管理不到位，对事故发生负有责任，依据《中华人民共和国安全生产法》第一百一十四条第（一）项“发生一般事故的，处三十万以上一百万以下的罚款”，建议处以30万元的行政处罚。</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仿宋_GB2312"/>
          <w:color w:val="000000"/>
          <w:sz w:val="32"/>
          <w:szCs w:val="32"/>
        </w:rPr>
      </w:pPr>
      <w:r>
        <w:rPr>
          <w:rFonts w:hint="eastAsia" w:ascii="黑体" w:hAnsi="黑体" w:eastAsia="黑体" w:cs="仿宋_GB2312"/>
          <w:color w:val="000000"/>
          <w:sz w:val="32"/>
          <w:szCs w:val="32"/>
        </w:rPr>
        <w:t>六、防范措施和整改措施</w:t>
      </w:r>
    </w:p>
    <w:p>
      <w:pPr>
        <w:keepNext w:val="0"/>
        <w:keepLines w:val="0"/>
        <w:pageBreakBefore w:val="0"/>
        <w:kinsoku/>
        <w:wordWrap/>
        <w:overflowPunct/>
        <w:topLinePunct w:val="0"/>
        <w:autoSpaceDE/>
        <w:autoSpaceDN/>
        <w:bidi w:val="0"/>
        <w:snapToGrid w:val="0"/>
        <w:spacing w:line="560" w:lineRule="exact"/>
        <w:ind w:left="0" w:leftChars="0" w:firstLine="640" w:firstLineChars="200"/>
        <w:jc w:val="both"/>
        <w:textAlignment w:val="auto"/>
        <w:rPr>
          <w:rFonts w:ascii="仿宋_GB2312" w:hAnsi="仿宋" w:eastAsia="仿宋_GB2312"/>
          <w:sz w:val="32"/>
          <w:szCs w:val="32"/>
        </w:rPr>
      </w:pPr>
      <w:r>
        <w:rPr>
          <w:rFonts w:hint="eastAsia" w:ascii="仿宋_GB2312" w:hAnsi="仿宋" w:eastAsia="仿宋_GB2312"/>
          <w:sz w:val="32"/>
          <w:szCs w:val="32"/>
          <w:lang w:val="en-US" w:eastAsia="zh-CN"/>
        </w:rPr>
        <w:t>1.事故单位要严格</w:t>
      </w:r>
      <w:r>
        <w:rPr>
          <w:rFonts w:hint="eastAsia" w:ascii="仿宋_GB2312" w:hAnsi="仿宋" w:eastAsia="仿宋_GB2312"/>
          <w:sz w:val="32"/>
          <w:szCs w:val="32"/>
        </w:rPr>
        <w:t>落实安全生产的主体责任，各级领导干部、管理人员、技术人员要以</w:t>
      </w:r>
      <w:r>
        <w:rPr>
          <w:rFonts w:hint="eastAsia" w:ascii="仿宋_GB2312" w:hAnsi="仿宋" w:eastAsia="仿宋_GB2312"/>
          <w:sz w:val="32"/>
          <w:szCs w:val="32"/>
          <w:lang w:val="en-US" w:eastAsia="zh-CN"/>
        </w:rPr>
        <w:t>作业</w:t>
      </w:r>
      <w:r>
        <w:rPr>
          <w:rFonts w:hint="eastAsia" w:ascii="仿宋_GB2312" w:hAnsi="仿宋" w:eastAsia="仿宋_GB2312"/>
          <w:sz w:val="32"/>
          <w:szCs w:val="32"/>
        </w:rPr>
        <w:t>现场为中心</w:t>
      </w:r>
      <w:r>
        <w:rPr>
          <w:rFonts w:hint="eastAsia" w:ascii="仿宋_GB2312" w:hAnsi="仿宋" w:eastAsia="仿宋_GB2312"/>
          <w:sz w:val="32"/>
          <w:szCs w:val="32"/>
          <w:lang w:eastAsia="zh-CN"/>
        </w:rPr>
        <w:t>，</w:t>
      </w:r>
      <w:r>
        <w:rPr>
          <w:rFonts w:hint="eastAsia" w:ascii="仿宋_GB2312" w:hAnsi="仿宋" w:eastAsia="仿宋_GB2312"/>
          <w:sz w:val="32"/>
          <w:szCs w:val="32"/>
        </w:rPr>
        <w:t>落实安全管理职责，确保安全责任到位、基础管理到位、安全培训到位、安全投入到位、应急救援到位</w:t>
      </w:r>
      <w:r>
        <w:rPr>
          <w:rFonts w:hint="eastAsia" w:ascii="仿宋_GB2312" w:hAnsi="仿宋" w:eastAsia="仿宋_GB2312"/>
          <w:sz w:val="32"/>
          <w:szCs w:val="32"/>
          <w:lang w:eastAsia="zh-CN"/>
        </w:rPr>
        <w:t>，</w:t>
      </w:r>
      <w:r>
        <w:rPr>
          <w:rFonts w:hint="eastAsia" w:ascii="仿宋_GB2312" w:hAnsi="仿宋" w:eastAsia="仿宋_GB2312" w:cs="Times New Roman"/>
          <w:sz w:val="32"/>
          <w:szCs w:val="32"/>
          <w:lang w:val="en-US" w:eastAsia="zh-CN"/>
        </w:rPr>
        <w:t>强化应急演练和应急处置能力。</w:t>
      </w:r>
    </w:p>
    <w:p>
      <w:pPr>
        <w:keepNext w:val="0"/>
        <w:keepLines w:val="0"/>
        <w:pageBreakBefore w:val="0"/>
        <w:kinsoku/>
        <w:wordWrap/>
        <w:overflowPunct/>
        <w:topLinePunct w:val="0"/>
        <w:autoSpaceDE/>
        <w:autoSpaceDN/>
        <w:bidi w:val="0"/>
        <w:snapToGrid w:val="0"/>
        <w:spacing w:line="560" w:lineRule="exact"/>
        <w:ind w:left="0" w:leftChars="0" w:firstLine="640" w:firstLineChars="200"/>
        <w:jc w:val="both"/>
        <w:textAlignment w:val="auto"/>
        <w:rPr>
          <w:rFonts w:hint="eastAsia" w:ascii="仿宋_GB2312" w:hAnsi="仿宋" w:eastAsia="仿宋_GB2312" w:cs="Times New Roman"/>
          <w:sz w:val="32"/>
          <w:szCs w:val="32"/>
          <w:lang w:val="en-US" w:eastAsia="zh-CN"/>
        </w:rPr>
      </w:pPr>
      <w:r>
        <w:rPr>
          <w:rFonts w:hint="eastAsia" w:ascii="仿宋_GB2312" w:hAnsi="仿宋" w:eastAsia="仿宋_GB2312"/>
          <w:sz w:val="32"/>
          <w:szCs w:val="32"/>
          <w:lang w:val="en-US" w:eastAsia="zh-CN"/>
        </w:rPr>
        <w:t>2.事故单位要</w:t>
      </w:r>
      <w:r>
        <w:rPr>
          <w:rFonts w:hint="eastAsia" w:ascii="仿宋_GB2312" w:hAnsi="仿宋" w:eastAsia="仿宋_GB2312" w:cs="Times New Roman"/>
          <w:sz w:val="32"/>
          <w:szCs w:val="32"/>
          <w:lang w:val="en-US" w:eastAsia="zh-CN"/>
        </w:rPr>
        <w:t>加强各级各类安全生产教育培训，</w:t>
      </w:r>
      <w:r>
        <w:rPr>
          <w:rFonts w:hint="eastAsia" w:ascii="仿宋_GB2312" w:eastAsia="仿宋_GB2312" w:cs="Times New Roman"/>
          <w:color w:val="auto"/>
          <w:kern w:val="2"/>
          <w:sz w:val="32"/>
          <w:szCs w:val="36"/>
          <w:lang w:val="en-US" w:eastAsia="zh-CN" w:bidi="ar-SA"/>
        </w:rPr>
        <w:t>注重标准化操作和应急救援现场处置培训</w:t>
      </w:r>
      <w:r>
        <w:rPr>
          <w:rFonts w:hint="eastAsia" w:ascii="仿宋_GB2312" w:hAnsi="Times New Roman" w:eastAsia="仿宋_GB2312" w:cs="Times New Roman"/>
          <w:color w:val="auto"/>
          <w:kern w:val="2"/>
          <w:sz w:val="32"/>
          <w:szCs w:val="36"/>
          <w:lang w:val="en-US" w:eastAsia="zh-CN" w:bidi="ar-SA"/>
        </w:rPr>
        <w:t>，开展经常性、有实质性作用的安全教育培训，时刻提醒</w:t>
      </w:r>
      <w:r>
        <w:rPr>
          <w:rFonts w:hint="eastAsia" w:ascii="仿宋_GB2312" w:eastAsia="仿宋_GB2312" w:cs="Times New Roman"/>
          <w:color w:val="auto"/>
          <w:kern w:val="2"/>
          <w:sz w:val="32"/>
          <w:szCs w:val="36"/>
          <w:lang w:val="en-US" w:eastAsia="zh-CN" w:bidi="ar-SA"/>
        </w:rPr>
        <w:t>工人</w:t>
      </w:r>
      <w:r>
        <w:rPr>
          <w:rFonts w:hint="eastAsia" w:ascii="仿宋_GB2312" w:hAnsi="Times New Roman" w:eastAsia="仿宋_GB2312" w:cs="Times New Roman"/>
          <w:color w:val="auto"/>
          <w:kern w:val="2"/>
          <w:sz w:val="32"/>
          <w:szCs w:val="36"/>
          <w:lang w:val="en-US" w:eastAsia="zh-CN" w:bidi="ar-SA"/>
        </w:rPr>
        <w:t>遵守操作规程，</w:t>
      </w:r>
      <w:r>
        <w:rPr>
          <w:rFonts w:hint="eastAsia" w:ascii="仿宋_GB2312" w:eastAsia="仿宋_GB2312" w:cs="Times New Roman"/>
          <w:color w:val="auto"/>
          <w:kern w:val="2"/>
          <w:sz w:val="32"/>
          <w:szCs w:val="36"/>
          <w:lang w:val="en-US" w:eastAsia="zh-CN" w:bidi="ar-SA"/>
        </w:rPr>
        <w:t>强化各类应急救援技能，</w:t>
      </w:r>
      <w:r>
        <w:rPr>
          <w:rFonts w:hint="eastAsia" w:ascii="仿宋_GB2312" w:hAnsi="Times New Roman" w:eastAsia="仿宋_GB2312" w:cs="Times New Roman"/>
          <w:color w:val="auto"/>
          <w:kern w:val="2"/>
          <w:sz w:val="32"/>
          <w:szCs w:val="36"/>
          <w:lang w:val="en-US" w:eastAsia="zh-CN" w:bidi="ar-SA"/>
        </w:rPr>
        <w:t>增强安全风险意识，坚决制止和纠正违章指挥、违章作业、冒险作业</w:t>
      </w:r>
      <w:r>
        <w:rPr>
          <w:rFonts w:hint="eastAsia" w:ascii="仿宋_GB2312" w:eastAsia="仿宋_GB2312" w:cs="Times New Roman"/>
          <w:color w:val="auto"/>
          <w:kern w:val="2"/>
          <w:sz w:val="32"/>
          <w:szCs w:val="36"/>
          <w:lang w:val="en-US" w:eastAsia="zh-CN" w:bidi="ar-SA"/>
        </w:rPr>
        <w:t>、冒险救援</w:t>
      </w:r>
      <w:r>
        <w:rPr>
          <w:rFonts w:hint="eastAsia" w:ascii="仿宋_GB2312" w:hAnsi="Times New Roman" w:eastAsia="仿宋_GB2312" w:cs="Times New Roman"/>
          <w:color w:val="auto"/>
          <w:kern w:val="2"/>
          <w:sz w:val="32"/>
          <w:szCs w:val="36"/>
          <w:lang w:val="en-US" w:eastAsia="zh-CN" w:bidi="ar-SA"/>
        </w:rPr>
        <w:t>的行为，</w:t>
      </w:r>
      <w:r>
        <w:rPr>
          <w:rFonts w:hint="eastAsia" w:ascii="仿宋_GB2312" w:hAnsi="仿宋" w:eastAsia="仿宋_GB2312" w:cs="Times New Roman"/>
          <w:sz w:val="32"/>
          <w:szCs w:val="32"/>
          <w:lang w:val="en-US" w:eastAsia="zh-CN"/>
        </w:rPr>
        <w:t>提高全员安全生产意识。</w:t>
      </w:r>
    </w:p>
    <w:p>
      <w:pPr>
        <w:keepNext w:val="0"/>
        <w:keepLines w:val="0"/>
        <w:pageBreakBefore w:val="0"/>
        <w:kinsoku/>
        <w:wordWrap/>
        <w:overflowPunct/>
        <w:topLinePunct w:val="0"/>
        <w:autoSpaceDE/>
        <w:autoSpaceDN/>
        <w:bidi w:val="0"/>
        <w:snapToGrid w:val="0"/>
        <w:spacing w:line="560" w:lineRule="exact"/>
        <w:ind w:left="0" w:leftChars="0" w:firstLine="640" w:firstLineChars="200"/>
        <w:jc w:val="both"/>
        <w:textAlignment w:val="auto"/>
        <w:rPr>
          <w:rFonts w:hint="default"/>
          <w:lang w:val="en-US" w:eastAsia="zh-CN"/>
        </w:rPr>
      </w:pPr>
      <w:r>
        <w:rPr>
          <w:rFonts w:hint="eastAsia" w:ascii="仿宋_GB2312" w:hAnsi="仿宋" w:eastAsia="仿宋_GB2312" w:cs="Times New Roman"/>
          <w:sz w:val="32"/>
          <w:szCs w:val="32"/>
          <w:lang w:val="en-US" w:eastAsia="zh-CN"/>
        </w:rPr>
        <w:t>3.</w:t>
      </w:r>
      <w:r>
        <w:rPr>
          <w:rFonts w:hint="eastAsia" w:ascii="仿宋" w:hAnsi="仿宋" w:eastAsia="仿宋" w:cs="仿宋_GB2312"/>
          <w:sz w:val="32"/>
          <w:szCs w:val="32"/>
          <w:lang w:val="en-US" w:eastAsia="zh-CN"/>
        </w:rPr>
        <w:t>山西太钢不锈钢股份有限公司应当加强和落实一体化协作队伍及作业安全、救援能力的综合监管，严格规范作业人员行为，加强标准化作业，增设应急救援物资和报警装置，</w:t>
      </w:r>
      <w:r>
        <w:rPr>
          <w:rFonts w:hint="eastAsia" w:ascii="仿宋_GB2312" w:hAnsi="仿宋_GB2312" w:eastAsia="仿宋_GB2312" w:cs="仿宋_GB2312"/>
          <w:kern w:val="2"/>
          <w:sz w:val="32"/>
          <w:szCs w:val="32"/>
          <w:lang w:val="en-US" w:eastAsia="zh-CN"/>
        </w:rPr>
        <w:t>坚决杜绝同类事故再次发生。</w:t>
      </w:r>
    </w:p>
    <w:p>
      <w:pPr>
        <w:keepNext w:val="0"/>
        <w:keepLines w:val="0"/>
        <w:pageBreakBefore w:val="0"/>
        <w:widowControl w:val="0"/>
        <w:kinsoku/>
        <w:wordWrap/>
        <w:overflowPunct/>
        <w:topLinePunct w:val="0"/>
        <w:autoSpaceDE/>
        <w:bidi w:val="0"/>
        <w:adjustRightInd/>
        <w:snapToGrid/>
        <w:spacing w:line="560" w:lineRule="exact"/>
        <w:ind w:left="0" w:leftChars="0" w:right="0" w:rightChars="0" w:firstLine="640" w:firstLineChars="200"/>
        <w:rPr>
          <w:rFonts w:hint="eastAsia" w:ascii="黑体" w:hAnsi="黑体" w:eastAsia="黑体"/>
          <w:sz w:val="32"/>
          <w:szCs w:val="32"/>
        </w:rPr>
      </w:pPr>
      <w:r>
        <w:rPr>
          <w:rFonts w:hint="eastAsia" w:ascii="黑体" w:hAnsi="黑体" w:eastAsia="黑体"/>
          <w:sz w:val="32"/>
          <w:szCs w:val="32"/>
          <w:lang w:val="en-US" w:eastAsia="zh-CN"/>
        </w:rPr>
        <w:t>七</w:t>
      </w:r>
      <w:r>
        <w:rPr>
          <w:rFonts w:hint="eastAsia" w:ascii="黑体" w:hAnsi="黑体" w:eastAsia="黑体"/>
          <w:sz w:val="32"/>
          <w:szCs w:val="32"/>
        </w:rPr>
        <w:t>、附件</w:t>
      </w:r>
    </w:p>
    <w:p>
      <w:pPr>
        <w:keepNext w:val="0"/>
        <w:keepLines w:val="0"/>
        <w:pageBreakBefore w:val="0"/>
        <w:widowControl w:val="0"/>
        <w:kinsoku/>
        <w:wordWrap/>
        <w:overflowPunct/>
        <w:topLinePunct w:val="0"/>
        <w:autoSpaceDE/>
        <w:bidi w:val="0"/>
        <w:adjustRightInd/>
        <w:snapToGrid/>
        <w:spacing w:line="560" w:lineRule="exact"/>
        <w:ind w:left="0" w:leftChars="0" w:right="0" w:rightChars="0" w:firstLine="640" w:firstLineChars="200"/>
        <w:rPr>
          <w:rFonts w:hint="eastAsia" w:ascii="仿宋_GB2312" w:hAnsi="仿宋" w:eastAsia="仿宋_GB2312"/>
          <w:sz w:val="32"/>
          <w:szCs w:val="32"/>
        </w:rPr>
      </w:pPr>
      <w:r>
        <w:rPr>
          <w:rFonts w:hint="eastAsia" w:ascii="仿宋_GB2312" w:hAnsi="仿宋" w:eastAsia="仿宋_GB2312"/>
          <w:sz w:val="32"/>
          <w:szCs w:val="32"/>
          <w:lang w:val="en-US" w:eastAsia="zh-CN"/>
        </w:rPr>
        <w:t>1</w:t>
      </w:r>
      <w:r>
        <w:rPr>
          <w:rFonts w:hint="eastAsia" w:ascii="仿宋_GB2312" w:hAnsi="仿宋" w:eastAsia="仿宋_GB2312"/>
          <w:sz w:val="32"/>
          <w:szCs w:val="32"/>
        </w:rPr>
        <w:t>.“</w:t>
      </w:r>
      <w:r>
        <w:rPr>
          <w:rFonts w:hint="eastAsia" w:ascii="仿宋_GB2312" w:hAnsi="仿宋" w:eastAsia="仿宋_GB2312"/>
          <w:sz w:val="32"/>
          <w:szCs w:val="32"/>
          <w:lang w:val="en-US" w:eastAsia="zh-CN"/>
        </w:rPr>
        <w:t>6</w:t>
      </w:r>
      <w:r>
        <w:rPr>
          <w:rFonts w:hint="eastAsia" w:ascii="仿宋_GB2312" w:hAnsi="仿宋" w:eastAsia="仿宋_GB2312"/>
          <w:sz w:val="32"/>
          <w:szCs w:val="32"/>
        </w:rPr>
        <w:t>·</w:t>
      </w:r>
      <w:r>
        <w:rPr>
          <w:rFonts w:hint="eastAsia" w:ascii="仿宋_GB2312" w:hAnsi="仿宋" w:eastAsia="仿宋_GB2312"/>
          <w:sz w:val="32"/>
          <w:szCs w:val="32"/>
          <w:lang w:val="en-US" w:eastAsia="zh-CN"/>
        </w:rPr>
        <w:t>21</w:t>
      </w:r>
      <w:r>
        <w:rPr>
          <w:rFonts w:hint="eastAsia" w:ascii="仿宋_GB2312" w:hAnsi="仿宋" w:eastAsia="仿宋_GB2312"/>
          <w:sz w:val="32"/>
          <w:szCs w:val="32"/>
        </w:rPr>
        <w:t>”事故技术分析报告</w:t>
      </w:r>
    </w:p>
    <w:p>
      <w:pPr>
        <w:keepNext w:val="0"/>
        <w:keepLines w:val="0"/>
        <w:pageBreakBefore w:val="0"/>
        <w:kinsoku/>
        <w:wordWrap/>
        <w:overflowPunct/>
        <w:topLinePunct w:val="0"/>
        <w:autoSpaceDE/>
        <w:autoSpaceDN/>
        <w:bidi w:val="0"/>
        <w:adjustRightInd/>
        <w:snapToGrid/>
        <w:spacing w:line="560" w:lineRule="exact"/>
        <w:ind w:left="0" w:leftChars="0" w:firstLine="420" w:firstLineChars="200"/>
        <w:textAlignment w:val="auto"/>
        <w:rPr>
          <w:rFonts w:hint="eastAsia"/>
        </w:rPr>
      </w:pPr>
    </w:p>
    <w:p>
      <w:pPr>
        <w:pStyle w:val="2"/>
        <w:rPr>
          <w:rFonts w:hint="eastAsia"/>
        </w:rPr>
      </w:pP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 xml:space="preserve">             尖草坪区“6·21”煤气中毒事故调查组</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 xml:space="preserve">                     2022年10月20日</w:t>
      </w:r>
    </w:p>
    <w:sectPr>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仿宋_GB2312" w:hAnsi="仿宋_GB2312" w:eastAsia="仿宋_GB2312" w:cs="仿宋_GB2312"/>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rPr>
                        <w:rFonts w:hint="eastAsia" w:ascii="仿宋_GB2312" w:hAnsi="仿宋_GB2312" w:eastAsia="仿宋_GB2312" w:cs="仿宋_GB2312"/>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仿宋_GB2312" w:hAnsi="仿宋_GB2312" w:eastAsia="仿宋_GB2312" w:cs="仿宋_GB2312"/>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rPr>
                        <w:rFonts w:hint="eastAsia" w:ascii="仿宋_GB2312" w:hAnsi="仿宋_GB2312" w:eastAsia="仿宋_GB2312" w:cs="仿宋_GB2312"/>
                        <w:sz w:val="28"/>
                        <w:szCs w:val="28"/>
                      </w:rPr>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92CD4B"/>
    <w:multiLevelType w:val="singleLevel"/>
    <w:tmpl w:val="8B92CD4B"/>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VjYTUwMmE1NzA2NDgzYWVhYzY4MGVkNGJkOTQxNmUifQ=="/>
    <w:docVar w:name="KSO_WPS_MARK_KEY" w:val="99de5bf3-a17e-43c7-baf9-40af330c11af"/>
  </w:docVars>
  <w:rsids>
    <w:rsidRoot w:val="29B963D3"/>
    <w:rsid w:val="00F16C20"/>
    <w:rsid w:val="020F2EDE"/>
    <w:rsid w:val="035716CC"/>
    <w:rsid w:val="03962305"/>
    <w:rsid w:val="04CB721F"/>
    <w:rsid w:val="06932B28"/>
    <w:rsid w:val="078812C9"/>
    <w:rsid w:val="0AD825FC"/>
    <w:rsid w:val="0C573EA2"/>
    <w:rsid w:val="0CAF75AB"/>
    <w:rsid w:val="0EAB0424"/>
    <w:rsid w:val="12527BF8"/>
    <w:rsid w:val="12A66178"/>
    <w:rsid w:val="12A7719E"/>
    <w:rsid w:val="14373691"/>
    <w:rsid w:val="14C667C2"/>
    <w:rsid w:val="153919A9"/>
    <w:rsid w:val="15567B46"/>
    <w:rsid w:val="17B521EA"/>
    <w:rsid w:val="1B8062F8"/>
    <w:rsid w:val="1F3771C0"/>
    <w:rsid w:val="23611B8F"/>
    <w:rsid w:val="23A72E15"/>
    <w:rsid w:val="245E4BC7"/>
    <w:rsid w:val="288E0400"/>
    <w:rsid w:val="29B963D3"/>
    <w:rsid w:val="29F25B5F"/>
    <w:rsid w:val="2D773BC3"/>
    <w:rsid w:val="2F1F6DA3"/>
    <w:rsid w:val="31F14D29"/>
    <w:rsid w:val="32FD0BAA"/>
    <w:rsid w:val="35D9FBE3"/>
    <w:rsid w:val="37BA1743"/>
    <w:rsid w:val="39D81338"/>
    <w:rsid w:val="3A7E5516"/>
    <w:rsid w:val="3E94489F"/>
    <w:rsid w:val="3F774BBF"/>
    <w:rsid w:val="41D0348F"/>
    <w:rsid w:val="41D77962"/>
    <w:rsid w:val="43EC504E"/>
    <w:rsid w:val="45824FBB"/>
    <w:rsid w:val="45C9503B"/>
    <w:rsid w:val="47215957"/>
    <w:rsid w:val="474B2AB7"/>
    <w:rsid w:val="47882BA7"/>
    <w:rsid w:val="48730417"/>
    <w:rsid w:val="4E3074B5"/>
    <w:rsid w:val="4EB3312A"/>
    <w:rsid w:val="4F416B96"/>
    <w:rsid w:val="5622109C"/>
    <w:rsid w:val="579E3D0F"/>
    <w:rsid w:val="580771AE"/>
    <w:rsid w:val="58F731D3"/>
    <w:rsid w:val="5C431CA3"/>
    <w:rsid w:val="5EE36519"/>
    <w:rsid w:val="608701D2"/>
    <w:rsid w:val="63E0115C"/>
    <w:rsid w:val="67F72480"/>
    <w:rsid w:val="681132BC"/>
    <w:rsid w:val="6AAC2DEA"/>
    <w:rsid w:val="6CC174CE"/>
    <w:rsid w:val="719A0F60"/>
    <w:rsid w:val="72A85210"/>
    <w:rsid w:val="73545094"/>
    <w:rsid w:val="78C00B06"/>
    <w:rsid w:val="7997B207"/>
    <w:rsid w:val="7AC76E1B"/>
    <w:rsid w:val="7CA27CB0"/>
    <w:rsid w:val="7ED63DE5"/>
    <w:rsid w:val="D49956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style>
  <w:style w:type="paragraph" w:styleId="3">
    <w:name w:val="Date"/>
    <w:basedOn w:val="1"/>
    <w:next w:val="1"/>
    <w:qFormat/>
    <w:uiPriority w:val="0"/>
    <w:pPr>
      <w:ind w:left="100" w:leftChars="25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9">
    <w:name w:val="Hyperlink"/>
    <w:basedOn w:val="8"/>
    <w:autoRedefine/>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5158</Words>
  <Characters>5396</Characters>
  <Lines>0</Lines>
  <Paragraphs>0</Paragraphs>
  <TotalTime>177</TotalTime>
  <ScaleCrop>false</ScaleCrop>
  <LinksUpToDate>false</LinksUpToDate>
  <CharactersWithSpaces>5432</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2022-02-25T02:10:00Z</dcterms:created>
  <dc:creator>纸牌屋</dc:creator>
  <cp:lastModifiedBy>静</cp:lastModifiedBy>
  <cp:lastPrinted>2023-02-15T01:29:00Z</cp:lastPrinted>
  <dcterms:modified xsi:type="dcterms:W3CDTF">2024-01-10T01:34:50Z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F3C15419B8CF43649542E6EB8FD3C259</vt:lpwstr>
  </property>
</Properties>
</file>