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375FB">
      <w:pPr>
        <w:spacing w:line="247" w:lineRule="auto"/>
        <w:jc w:val="left"/>
        <w:rPr>
          <w:rFonts w:ascii="方正小标宋简体" w:eastAsia="方正小标宋简体"/>
          <w:sz w:val="18"/>
          <w:szCs w:val="18"/>
        </w:rPr>
      </w:pPr>
    </w:p>
    <w:p w14:paraId="66DC4301">
      <w:pPr>
        <w:spacing w:line="247" w:lineRule="auto"/>
        <w:jc w:val="left"/>
        <w:rPr>
          <w:rFonts w:ascii="方正小标宋简体" w:eastAsia="方正小标宋简体"/>
          <w:sz w:val="18"/>
          <w:szCs w:val="18"/>
        </w:rPr>
      </w:pPr>
    </w:p>
    <w:p w14:paraId="38134F8E">
      <w:pPr>
        <w:spacing w:line="247" w:lineRule="auto"/>
        <w:jc w:val="left"/>
        <w:rPr>
          <w:rFonts w:ascii="方正小标宋简体" w:eastAsia="方正小标宋简体"/>
          <w:sz w:val="18"/>
          <w:szCs w:val="18"/>
        </w:rPr>
      </w:pPr>
    </w:p>
    <w:p w14:paraId="4C5B3B84">
      <w:pPr>
        <w:spacing w:line="247" w:lineRule="auto"/>
        <w:jc w:val="left"/>
        <w:rPr>
          <w:rFonts w:ascii="方正小标宋简体" w:eastAsia="方正小标宋简体"/>
          <w:sz w:val="18"/>
          <w:szCs w:val="18"/>
        </w:rPr>
      </w:pPr>
    </w:p>
    <w:p w14:paraId="7894C5B5">
      <w:pPr>
        <w:spacing w:line="247" w:lineRule="auto"/>
        <w:jc w:val="left"/>
        <w:rPr>
          <w:rFonts w:ascii="方正小标宋简体" w:eastAsia="方正小标宋简体"/>
          <w:sz w:val="18"/>
          <w:szCs w:val="18"/>
        </w:rPr>
      </w:pPr>
    </w:p>
    <w:p w14:paraId="3D5319B6">
      <w:pPr>
        <w:spacing w:line="247" w:lineRule="auto"/>
        <w:jc w:val="left"/>
        <w:rPr>
          <w:rFonts w:ascii="方正小标宋简体" w:eastAsia="方正小标宋简体"/>
          <w:sz w:val="18"/>
          <w:szCs w:val="18"/>
        </w:rPr>
      </w:pPr>
    </w:p>
    <w:p w14:paraId="1DEA06D3">
      <w:pPr>
        <w:spacing w:line="247" w:lineRule="auto"/>
        <w:jc w:val="left"/>
        <w:rPr>
          <w:rFonts w:ascii="方正小标宋简体" w:eastAsia="方正小标宋简体"/>
          <w:sz w:val="18"/>
          <w:szCs w:val="18"/>
        </w:rPr>
      </w:pPr>
    </w:p>
    <w:p w14:paraId="7855A814">
      <w:pPr>
        <w:spacing w:line="247" w:lineRule="auto"/>
        <w:jc w:val="left"/>
        <w:rPr>
          <w:rFonts w:ascii="方正小标宋简体" w:eastAsia="方正小标宋简体"/>
          <w:sz w:val="18"/>
          <w:szCs w:val="18"/>
        </w:rPr>
      </w:pPr>
    </w:p>
    <w:p w14:paraId="6098C9F5">
      <w:pPr>
        <w:spacing w:line="247" w:lineRule="auto"/>
        <w:jc w:val="left"/>
        <w:rPr>
          <w:rFonts w:ascii="方正小标宋简体" w:eastAsia="方正小标宋简体"/>
          <w:sz w:val="18"/>
          <w:szCs w:val="18"/>
        </w:rPr>
      </w:pPr>
    </w:p>
    <w:p w14:paraId="3C30DA59">
      <w:pPr>
        <w:spacing w:line="247" w:lineRule="auto"/>
        <w:jc w:val="left"/>
        <w:rPr>
          <w:rFonts w:ascii="方正小标宋简体" w:eastAsia="方正小标宋简体"/>
          <w:sz w:val="18"/>
          <w:szCs w:val="18"/>
        </w:rPr>
      </w:pPr>
    </w:p>
    <w:p w14:paraId="7D503CDE">
      <w:pPr>
        <w:spacing w:line="247" w:lineRule="auto"/>
        <w:jc w:val="left"/>
        <w:rPr>
          <w:rFonts w:ascii="方正小标宋简体" w:eastAsia="方正小标宋简体"/>
          <w:sz w:val="18"/>
          <w:szCs w:val="18"/>
        </w:rPr>
      </w:pPr>
    </w:p>
    <w:p w14:paraId="5D0F1ACA">
      <w:pPr>
        <w:spacing w:line="247" w:lineRule="auto"/>
        <w:jc w:val="left"/>
        <w:rPr>
          <w:rFonts w:ascii="方正小标宋简体" w:eastAsia="方正小标宋简体"/>
          <w:sz w:val="18"/>
          <w:szCs w:val="18"/>
        </w:rPr>
      </w:pPr>
    </w:p>
    <w:p w14:paraId="7EEE791C">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乌尔禾柳树街吐鲁番纳斯卡航空</w:t>
      </w:r>
    </w:p>
    <w:p w14:paraId="1D732AEC">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运动有限公司“7</w:t>
      </w:r>
      <w:r>
        <w:rPr>
          <w:rFonts w:hint="eastAsia" w:ascii="方正小标宋简体" w:hAnsi="宋体" w:eastAsia="宋体" w:cs="宋体"/>
          <w:sz w:val="52"/>
          <w:szCs w:val="52"/>
        </w:rPr>
        <w:t>•</w:t>
      </w:r>
      <w:r>
        <w:rPr>
          <w:rFonts w:hint="eastAsia" w:ascii="方正小标宋简体" w:eastAsia="方正小标宋简体"/>
          <w:sz w:val="52"/>
          <w:szCs w:val="52"/>
        </w:rPr>
        <w:t>12”动力</w:t>
      </w:r>
    </w:p>
    <w:p w14:paraId="5665A9BF">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三角翼一般高处坠落</w:t>
      </w:r>
    </w:p>
    <w:p w14:paraId="5CD010FE">
      <w:pPr>
        <w:spacing w:line="560" w:lineRule="exact"/>
        <w:jc w:val="center"/>
        <w:rPr>
          <w:rFonts w:ascii="方正小标宋简体" w:eastAsia="方正小标宋简体"/>
          <w:sz w:val="52"/>
          <w:szCs w:val="52"/>
        </w:rPr>
      </w:pPr>
      <w:r>
        <w:rPr>
          <w:rFonts w:hint="eastAsia" w:ascii="方正小标宋简体" w:eastAsia="方正小标宋简体"/>
          <w:sz w:val="52"/>
          <w:szCs w:val="52"/>
        </w:rPr>
        <w:t>事故调查报告</w:t>
      </w:r>
    </w:p>
    <w:p w14:paraId="07E7D472">
      <w:pPr>
        <w:spacing w:line="247" w:lineRule="auto"/>
        <w:jc w:val="left"/>
        <w:rPr>
          <w:rFonts w:ascii="方正小标宋简体" w:eastAsia="方正小标宋简体"/>
          <w:sz w:val="18"/>
          <w:szCs w:val="18"/>
        </w:rPr>
      </w:pPr>
    </w:p>
    <w:p w14:paraId="16FB4546">
      <w:pPr>
        <w:spacing w:line="247" w:lineRule="auto"/>
        <w:jc w:val="left"/>
        <w:rPr>
          <w:rFonts w:ascii="方正小标宋简体" w:eastAsia="方正小标宋简体"/>
          <w:sz w:val="18"/>
          <w:szCs w:val="18"/>
        </w:rPr>
      </w:pPr>
    </w:p>
    <w:p w14:paraId="2F9BF3D7">
      <w:pPr>
        <w:spacing w:line="247" w:lineRule="auto"/>
        <w:jc w:val="left"/>
        <w:rPr>
          <w:rFonts w:ascii="方正小标宋简体" w:eastAsia="方正小标宋简体"/>
          <w:sz w:val="18"/>
          <w:szCs w:val="18"/>
        </w:rPr>
      </w:pPr>
    </w:p>
    <w:p w14:paraId="087FAFF5">
      <w:pPr>
        <w:spacing w:line="247" w:lineRule="auto"/>
        <w:jc w:val="left"/>
        <w:rPr>
          <w:rFonts w:ascii="方正小标宋简体" w:eastAsia="方正小标宋简体"/>
          <w:sz w:val="18"/>
          <w:szCs w:val="18"/>
        </w:rPr>
      </w:pPr>
    </w:p>
    <w:p w14:paraId="73AC7824">
      <w:pPr>
        <w:spacing w:line="247" w:lineRule="auto"/>
        <w:jc w:val="left"/>
        <w:rPr>
          <w:rFonts w:ascii="方正小标宋简体" w:eastAsia="方正小标宋简体"/>
          <w:sz w:val="18"/>
          <w:szCs w:val="18"/>
        </w:rPr>
      </w:pPr>
    </w:p>
    <w:p w14:paraId="74129373">
      <w:pPr>
        <w:spacing w:line="247" w:lineRule="auto"/>
        <w:jc w:val="left"/>
        <w:rPr>
          <w:rFonts w:ascii="方正小标宋简体" w:eastAsia="方正小标宋简体"/>
          <w:sz w:val="18"/>
          <w:szCs w:val="18"/>
        </w:rPr>
      </w:pPr>
    </w:p>
    <w:p w14:paraId="0DF12205">
      <w:pPr>
        <w:spacing w:line="247" w:lineRule="auto"/>
        <w:jc w:val="left"/>
        <w:rPr>
          <w:rFonts w:ascii="方正小标宋简体" w:eastAsia="方正小标宋简体"/>
          <w:sz w:val="18"/>
          <w:szCs w:val="18"/>
        </w:rPr>
      </w:pPr>
    </w:p>
    <w:p w14:paraId="5CA572DA">
      <w:pPr>
        <w:spacing w:line="247" w:lineRule="auto"/>
        <w:jc w:val="left"/>
        <w:rPr>
          <w:rFonts w:ascii="方正小标宋简体" w:eastAsia="方正小标宋简体"/>
          <w:sz w:val="18"/>
          <w:szCs w:val="18"/>
        </w:rPr>
      </w:pPr>
    </w:p>
    <w:p w14:paraId="6A4C0FEF">
      <w:pPr>
        <w:spacing w:line="247" w:lineRule="auto"/>
        <w:jc w:val="left"/>
        <w:rPr>
          <w:rFonts w:ascii="方正小标宋简体" w:eastAsia="方正小标宋简体"/>
          <w:sz w:val="18"/>
          <w:szCs w:val="18"/>
        </w:rPr>
      </w:pPr>
    </w:p>
    <w:p w14:paraId="0F44529A">
      <w:pPr>
        <w:spacing w:line="247" w:lineRule="auto"/>
        <w:jc w:val="left"/>
        <w:rPr>
          <w:rFonts w:ascii="方正小标宋简体" w:eastAsia="方正小标宋简体"/>
          <w:sz w:val="18"/>
          <w:szCs w:val="18"/>
        </w:rPr>
      </w:pPr>
    </w:p>
    <w:p w14:paraId="553B7213">
      <w:pPr>
        <w:spacing w:line="247" w:lineRule="auto"/>
        <w:jc w:val="left"/>
        <w:rPr>
          <w:rFonts w:ascii="方正小标宋简体" w:eastAsia="方正小标宋简体"/>
          <w:sz w:val="18"/>
          <w:szCs w:val="18"/>
        </w:rPr>
      </w:pPr>
    </w:p>
    <w:p w14:paraId="4C00E29D">
      <w:pPr>
        <w:spacing w:line="247" w:lineRule="auto"/>
        <w:jc w:val="left"/>
        <w:rPr>
          <w:rFonts w:ascii="方正小标宋简体" w:eastAsia="方正小标宋简体"/>
          <w:sz w:val="18"/>
          <w:szCs w:val="18"/>
        </w:rPr>
      </w:pPr>
    </w:p>
    <w:p w14:paraId="4259DE3A">
      <w:pPr>
        <w:spacing w:line="247" w:lineRule="auto"/>
        <w:jc w:val="left"/>
        <w:rPr>
          <w:rFonts w:ascii="方正小标宋简体" w:eastAsia="方正小标宋简体"/>
          <w:sz w:val="18"/>
          <w:szCs w:val="18"/>
        </w:rPr>
      </w:pPr>
    </w:p>
    <w:p w14:paraId="5B1E2E97">
      <w:pPr>
        <w:spacing w:line="247" w:lineRule="auto"/>
        <w:jc w:val="left"/>
        <w:rPr>
          <w:rFonts w:ascii="方正小标宋简体" w:eastAsia="方正小标宋简体"/>
          <w:sz w:val="18"/>
          <w:szCs w:val="18"/>
        </w:rPr>
      </w:pPr>
    </w:p>
    <w:p w14:paraId="5E1DCE71">
      <w:pPr>
        <w:spacing w:line="247" w:lineRule="auto"/>
        <w:jc w:val="left"/>
        <w:rPr>
          <w:rFonts w:ascii="方正小标宋简体" w:eastAsia="方正小标宋简体"/>
          <w:sz w:val="18"/>
          <w:szCs w:val="18"/>
        </w:rPr>
      </w:pPr>
    </w:p>
    <w:p w14:paraId="08F90325">
      <w:pPr>
        <w:spacing w:line="247" w:lineRule="auto"/>
        <w:jc w:val="left"/>
        <w:rPr>
          <w:rFonts w:ascii="方正小标宋简体" w:eastAsia="方正小标宋简体"/>
          <w:sz w:val="18"/>
          <w:szCs w:val="18"/>
        </w:rPr>
      </w:pPr>
    </w:p>
    <w:p w14:paraId="2AD9404C">
      <w:pPr>
        <w:spacing w:line="247" w:lineRule="auto"/>
        <w:jc w:val="left"/>
        <w:rPr>
          <w:rFonts w:ascii="方正小标宋简体" w:eastAsia="方正小标宋简体"/>
          <w:sz w:val="18"/>
          <w:szCs w:val="18"/>
        </w:rPr>
      </w:pPr>
    </w:p>
    <w:p w14:paraId="53729EE2">
      <w:pPr>
        <w:spacing w:line="247" w:lineRule="auto"/>
        <w:jc w:val="left"/>
        <w:rPr>
          <w:rFonts w:ascii="方正小标宋简体" w:eastAsia="方正小标宋简体"/>
          <w:sz w:val="18"/>
          <w:szCs w:val="18"/>
        </w:rPr>
      </w:pPr>
    </w:p>
    <w:p w14:paraId="25E99F60">
      <w:pPr>
        <w:spacing w:line="247" w:lineRule="auto"/>
        <w:jc w:val="left"/>
        <w:rPr>
          <w:rFonts w:ascii="方正小标宋简体" w:eastAsia="方正小标宋简体"/>
          <w:sz w:val="18"/>
          <w:szCs w:val="18"/>
        </w:rPr>
      </w:pPr>
    </w:p>
    <w:p w14:paraId="0C1953B0">
      <w:pPr>
        <w:spacing w:line="247" w:lineRule="auto"/>
        <w:jc w:val="left"/>
        <w:rPr>
          <w:rFonts w:ascii="方正小标宋简体" w:eastAsia="方正小标宋简体"/>
          <w:sz w:val="18"/>
          <w:szCs w:val="18"/>
        </w:rPr>
      </w:pPr>
    </w:p>
    <w:p w14:paraId="62708D7D">
      <w:pPr>
        <w:spacing w:line="560" w:lineRule="exact"/>
        <w:jc w:val="center"/>
        <w:rPr>
          <w:rFonts w:ascii="FangSong_GB2312" w:eastAsia="FangSong_GB2312"/>
          <w:sz w:val="32"/>
          <w:szCs w:val="32"/>
        </w:rPr>
      </w:pPr>
      <w:r>
        <w:rPr>
          <w:rFonts w:hint="eastAsia" w:ascii="FangSong_GB2312" w:eastAsia="FangSong_GB2312"/>
          <w:sz w:val="32"/>
          <w:szCs w:val="32"/>
        </w:rPr>
        <w:t>乌尔禾区政府事故调查组</w:t>
      </w:r>
    </w:p>
    <w:p w14:paraId="7B2E4749">
      <w:pPr>
        <w:spacing w:line="560" w:lineRule="exact"/>
        <w:jc w:val="center"/>
        <w:rPr>
          <w:rFonts w:ascii="FangSong_GB2312" w:eastAsia="FangSong_GB2312"/>
          <w:sz w:val="32"/>
          <w:szCs w:val="32"/>
        </w:rPr>
        <w:sectPr>
          <w:footerReference r:id="rId4" w:type="default"/>
          <w:pgSz w:w="11906" w:h="16838"/>
          <w:pgMar w:top="1440" w:right="1800" w:bottom="1440" w:left="1800" w:header="851" w:footer="992" w:gutter="0"/>
          <w:pgNumType w:start="1"/>
          <w:cols w:space="425" w:num="1"/>
          <w:docGrid w:type="lines" w:linePitch="312" w:charSpace="0"/>
        </w:sectPr>
      </w:pPr>
      <w:r>
        <w:rPr>
          <w:rFonts w:hint="eastAsia" w:ascii="FangSong_GB2312" w:eastAsia="FangSong_GB2312"/>
          <w:sz w:val="32"/>
          <w:szCs w:val="32"/>
        </w:rPr>
        <w:t>2023年10月31</w:t>
      </w:r>
    </w:p>
    <w:sdt>
      <w:sdtPr>
        <w:rPr>
          <w:rFonts w:asciiTheme="minorHAnsi" w:hAnsiTheme="minorHAnsi" w:eastAsiaTheme="minorEastAsia" w:cstheme="minorBidi"/>
          <w:b w:val="0"/>
          <w:bCs w:val="0"/>
          <w:color w:val="auto"/>
          <w:kern w:val="2"/>
          <w:sz w:val="21"/>
          <w:szCs w:val="22"/>
          <w:lang w:val="zh-CN"/>
        </w:rPr>
        <w:id w:val="378148717"/>
        <w:docPartObj>
          <w:docPartGallery w:val="Table of Contents"/>
          <w:docPartUnique/>
        </w:docPartObj>
      </w:sdtPr>
      <w:sdtEndPr>
        <w:rPr>
          <w:rStyle w:val="16"/>
          <w:rFonts w:asciiTheme="minorHAnsi" w:hAnsiTheme="minorHAnsi" w:eastAsiaTheme="minorEastAsia" w:cstheme="minorBidi"/>
          <w:b w:val="0"/>
          <w:bCs w:val="0"/>
          <w:color w:val="0000FF" w:themeColor="hyperlink"/>
          <w:kern w:val="2"/>
          <w:sz w:val="24"/>
          <w:szCs w:val="24"/>
          <w:u w:val="single"/>
          <w:lang w:val="en-US"/>
        </w:rPr>
      </w:sdtEndPr>
      <w:sdtContent>
        <w:p w14:paraId="638AA250">
          <w:pPr>
            <w:pStyle w:val="24"/>
            <w:jc w:val="center"/>
          </w:pPr>
          <w:r>
            <w:rPr>
              <w:color w:val="auto"/>
              <w:sz w:val="32"/>
              <w:szCs w:val="32"/>
              <w:lang w:val="zh-CN"/>
            </w:rPr>
            <w:t>目</w:t>
          </w:r>
          <w:r>
            <w:rPr>
              <w:rFonts w:hint="eastAsia"/>
              <w:color w:val="auto"/>
              <w:sz w:val="32"/>
              <w:szCs w:val="32"/>
              <w:lang w:val="zh-CN"/>
            </w:rPr>
            <w:t xml:space="preserve"> </w:t>
          </w:r>
          <w:r>
            <w:rPr>
              <w:color w:val="auto"/>
              <w:sz w:val="32"/>
              <w:szCs w:val="32"/>
              <w:lang w:val="zh-CN"/>
            </w:rPr>
            <w:t>录</w:t>
          </w:r>
        </w:p>
        <w:p w14:paraId="38390EEA">
          <w:pPr>
            <w:pStyle w:val="8"/>
            <w:tabs>
              <w:tab w:val="right" w:leader="dot" w:pos="8296"/>
            </w:tabs>
            <w:spacing w:line="460" w:lineRule="exact"/>
          </w:pPr>
          <w:r>
            <w:fldChar w:fldCharType="begin"/>
          </w:r>
          <w:r>
            <w:instrText xml:space="preserve"> TOC \o "1-3" \h \z \u </w:instrText>
          </w:r>
          <w:r>
            <w:fldChar w:fldCharType="separate"/>
          </w:r>
          <w:r>
            <w:fldChar w:fldCharType="begin"/>
          </w:r>
          <w:r>
            <w:instrText xml:space="preserve"> HYPERLINK \l "_Toc145407421" </w:instrText>
          </w:r>
          <w:r>
            <w:fldChar w:fldCharType="separate"/>
          </w:r>
          <w:r>
            <w:rPr>
              <w:rStyle w:val="16"/>
              <w:rFonts w:hint="eastAsia" w:ascii="黑体" w:hAnsi="黑体" w:eastAsia="黑体" w:cs="Times New Roman"/>
              <w:sz w:val="24"/>
              <w:szCs w:val="24"/>
            </w:rPr>
            <w:t>一、事故基本情况</w:t>
          </w:r>
          <w:r>
            <w:tab/>
          </w:r>
          <w:r>
            <w:fldChar w:fldCharType="begin"/>
          </w:r>
          <w:r>
            <w:instrText xml:space="preserve"> PAGEREF _Toc145407421 \h </w:instrText>
          </w:r>
          <w:r>
            <w:fldChar w:fldCharType="separate"/>
          </w:r>
          <w:r>
            <w:t>2</w:t>
          </w:r>
          <w:r>
            <w:fldChar w:fldCharType="end"/>
          </w:r>
          <w:r>
            <w:fldChar w:fldCharType="end"/>
          </w:r>
        </w:p>
        <w:p w14:paraId="65D11571">
          <w:pPr>
            <w:pStyle w:val="10"/>
            <w:spacing w:line="460" w:lineRule="exact"/>
          </w:pPr>
          <w:r>
            <w:fldChar w:fldCharType="begin"/>
          </w:r>
          <w:r>
            <w:instrText xml:space="preserve"> HYPERLINK \l "_Toc145407422" </w:instrText>
          </w:r>
          <w:r>
            <w:fldChar w:fldCharType="separate"/>
          </w:r>
          <w:r>
            <w:rPr>
              <w:rStyle w:val="16"/>
              <w:rFonts w:hint="eastAsia" w:ascii="Times New Roman" w:cs="Times New Roman"/>
              <w:sz w:val="24"/>
              <w:szCs w:val="24"/>
            </w:rPr>
            <w:t>（一）事故发生单位及相关单位概况</w:t>
          </w:r>
          <w:r>
            <w:tab/>
          </w:r>
          <w:r>
            <w:fldChar w:fldCharType="begin"/>
          </w:r>
          <w:r>
            <w:instrText xml:space="preserve"> PAGEREF _Toc145407422 \h </w:instrText>
          </w:r>
          <w:r>
            <w:fldChar w:fldCharType="separate"/>
          </w:r>
          <w:r>
            <w:t>2</w:t>
          </w:r>
          <w:r>
            <w:fldChar w:fldCharType="end"/>
          </w:r>
          <w:r>
            <w:fldChar w:fldCharType="end"/>
          </w:r>
        </w:p>
        <w:p w14:paraId="0A883F88">
          <w:pPr>
            <w:pStyle w:val="10"/>
            <w:spacing w:line="460" w:lineRule="exact"/>
          </w:pPr>
          <w:r>
            <w:fldChar w:fldCharType="begin"/>
          </w:r>
          <w:r>
            <w:instrText xml:space="preserve"> HYPERLINK \l "_Toc145407423" </w:instrText>
          </w:r>
          <w:r>
            <w:fldChar w:fldCharType="separate"/>
          </w:r>
          <w:r>
            <w:rPr>
              <w:rStyle w:val="16"/>
              <w:rFonts w:hint="eastAsia" w:ascii="Times New Roman" w:cs="Times New Roman"/>
              <w:sz w:val="24"/>
              <w:szCs w:val="24"/>
            </w:rPr>
            <w:t>（二）相关合同签订情况</w:t>
          </w:r>
          <w:r>
            <w:tab/>
          </w:r>
          <w:r>
            <w:fldChar w:fldCharType="begin"/>
          </w:r>
          <w:r>
            <w:instrText xml:space="preserve"> PAGEREF _Toc145407423 \h </w:instrText>
          </w:r>
          <w:r>
            <w:fldChar w:fldCharType="separate"/>
          </w:r>
          <w:r>
            <w:t>4</w:t>
          </w:r>
          <w:r>
            <w:fldChar w:fldCharType="end"/>
          </w:r>
          <w:r>
            <w:fldChar w:fldCharType="end"/>
          </w:r>
        </w:p>
        <w:p w14:paraId="5AA9980F">
          <w:pPr>
            <w:pStyle w:val="10"/>
            <w:spacing w:line="460" w:lineRule="exact"/>
          </w:pPr>
          <w:r>
            <w:fldChar w:fldCharType="begin"/>
          </w:r>
          <w:r>
            <w:instrText xml:space="preserve"> HYPERLINK \l "_Toc145407424" </w:instrText>
          </w:r>
          <w:r>
            <w:fldChar w:fldCharType="separate"/>
          </w:r>
          <w:r>
            <w:rPr>
              <w:rStyle w:val="16"/>
              <w:rFonts w:hint="eastAsia" w:ascii="Times New Roman" w:cs="Times New Roman"/>
              <w:sz w:val="24"/>
              <w:szCs w:val="24"/>
            </w:rPr>
            <w:t>（三）事故动力三角翼基本情况</w:t>
          </w:r>
          <w:r>
            <w:tab/>
          </w:r>
          <w:r>
            <w:fldChar w:fldCharType="begin"/>
          </w:r>
          <w:r>
            <w:instrText xml:space="preserve"> PAGEREF _Toc145407424 \h </w:instrText>
          </w:r>
          <w:r>
            <w:fldChar w:fldCharType="separate"/>
          </w:r>
          <w:r>
            <w:t>5</w:t>
          </w:r>
          <w:r>
            <w:fldChar w:fldCharType="end"/>
          </w:r>
          <w:r>
            <w:fldChar w:fldCharType="end"/>
          </w:r>
        </w:p>
        <w:p w14:paraId="5A0AD7DD">
          <w:pPr>
            <w:pStyle w:val="10"/>
            <w:spacing w:line="460" w:lineRule="exact"/>
          </w:pPr>
          <w:r>
            <w:fldChar w:fldCharType="begin"/>
          </w:r>
          <w:r>
            <w:instrText xml:space="preserve"> HYPERLINK \l "_Toc145407425" </w:instrText>
          </w:r>
          <w:r>
            <w:fldChar w:fldCharType="separate"/>
          </w:r>
          <w:r>
            <w:rPr>
              <w:rStyle w:val="16"/>
              <w:rFonts w:hint="eastAsia"/>
              <w:sz w:val="24"/>
              <w:szCs w:val="24"/>
            </w:rPr>
            <w:t>（四）该体育经营项目的审批情况</w:t>
          </w:r>
          <w:r>
            <w:tab/>
          </w:r>
          <w:r>
            <w:fldChar w:fldCharType="begin"/>
          </w:r>
          <w:r>
            <w:instrText xml:space="preserve"> PAGEREF _Toc145407425 \h </w:instrText>
          </w:r>
          <w:r>
            <w:fldChar w:fldCharType="separate"/>
          </w:r>
          <w:r>
            <w:t>5</w:t>
          </w:r>
          <w:r>
            <w:fldChar w:fldCharType="end"/>
          </w:r>
          <w:r>
            <w:fldChar w:fldCharType="end"/>
          </w:r>
        </w:p>
        <w:p w14:paraId="58B02247">
          <w:pPr>
            <w:pStyle w:val="10"/>
            <w:spacing w:line="460" w:lineRule="exact"/>
          </w:pPr>
          <w:r>
            <w:fldChar w:fldCharType="begin"/>
          </w:r>
          <w:r>
            <w:instrText xml:space="preserve"> HYPERLINK \l "_Toc145407426" </w:instrText>
          </w:r>
          <w:r>
            <w:fldChar w:fldCharType="separate"/>
          </w:r>
          <w:r>
            <w:rPr>
              <w:rStyle w:val="16"/>
              <w:rFonts w:hint="eastAsia"/>
              <w:sz w:val="24"/>
              <w:szCs w:val="24"/>
            </w:rPr>
            <w:t>（五）事故相关单位安全管理情况</w:t>
          </w:r>
          <w:r>
            <w:tab/>
          </w:r>
          <w:r>
            <w:fldChar w:fldCharType="begin"/>
          </w:r>
          <w:r>
            <w:instrText xml:space="preserve"> PAGEREF _Toc145407426 \h </w:instrText>
          </w:r>
          <w:r>
            <w:fldChar w:fldCharType="separate"/>
          </w:r>
          <w:r>
            <w:t>6</w:t>
          </w:r>
          <w:r>
            <w:fldChar w:fldCharType="end"/>
          </w:r>
          <w:r>
            <w:fldChar w:fldCharType="end"/>
          </w:r>
        </w:p>
        <w:p w14:paraId="331B2579">
          <w:pPr>
            <w:pStyle w:val="10"/>
            <w:spacing w:line="460" w:lineRule="exact"/>
          </w:pPr>
          <w:r>
            <w:fldChar w:fldCharType="begin"/>
          </w:r>
          <w:r>
            <w:instrText xml:space="preserve"> HYPERLINK \l "_Toc145407427" </w:instrText>
          </w:r>
          <w:r>
            <w:fldChar w:fldCharType="separate"/>
          </w:r>
          <w:r>
            <w:rPr>
              <w:rStyle w:val="16"/>
              <w:rFonts w:hint="eastAsia"/>
              <w:sz w:val="24"/>
              <w:szCs w:val="24"/>
            </w:rPr>
            <w:t>（六）监管部门履职情况</w:t>
          </w:r>
          <w:r>
            <w:tab/>
          </w:r>
          <w:r>
            <w:fldChar w:fldCharType="begin"/>
          </w:r>
          <w:r>
            <w:instrText xml:space="preserve"> PAGEREF _Toc145407427 \h </w:instrText>
          </w:r>
          <w:r>
            <w:fldChar w:fldCharType="separate"/>
          </w:r>
          <w:r>
            <w:t>8</w:t>
          </w:r>
          <w:r>
            <w:fldChar w:fldCharType="end"/>
          </w:r>
          <w:r>
            <w:fldChar w:fldCharType="end"/>
          </w:r>
        </w:p>
        <w:p w14:paraId="24551597">
          <w:pPr>
            <w:pStyle w:val="10"/>
            <w:spacing w:line="460" w:lineRule="exact"/>
          </w:pPr>
          <w:r>
            <w:fldChar w:fldCharType="begin"/>
          </w:r>
          <w:r>
            <w:instrText xml:space="preserve"> HYPERLINK \l "_Toc145407428" </w:instrText>
          </w:r>
          <w:r>
            <w:fldChar w:fldCharType="separate"/>
          </w:r>
          <w:r>
            <w:rPr>
              <w:rStyle w:val="16"/>
              <w:rFonts w:hint="eastAsia" w:cs="Times New Roman" w:asciiTheme="minorEastAsia" w:hAnsiTheme="minorEastAsia"/>
              <w:sz w:val="24"/>
              <w:szCs w:val="24"/>
            </w:rPr>
            <w:t>（七）事故发生经过</w:t>
          </w:r>
          <w:r>
            <w:tab/>
          </w:r>
          <w:r>
            <w:fldChar w:fldCharType="begin"/>
          </w:r>
          <w:r>
            <w:instrText xml:space="preserve"> PAGEREF _Toc145407428 \h </w:instrText>
          </w:r>
          <w:r>
            <w:fldChar w:fldCharType="separate"/>
          </w:r>
          <w:r>
            <w:t>9</w:t>
          </w:r>
          <w:r>
            <w:fldChar w:fldCharType="end"/>
          </w:r>
          <w:r>
            <w:fldChar w:fldCharType="end"/>
          </w:r>
        </w:p>
        <w:p w14:paraId="527D0A00">
          <w:pPr>
            <w:pStyle w:val="10"/>
            <w:spacing w:line="460" w:lineRule="exact"/>
          </w:pPr>
          <w:r>
            <w:fldChar w:fldCharType="begin"/>
          </w:r>
          <w:r>
            <w:instrText xml:space="preserve"> HYPERLINK \l "_Toc145407429" </w:instrText>
          </w:r>
          <w:r>
            <w:fldChar w:fldCharType="separate"/>
          </w:r>
          <w:r>
            <w:rPr>
              <w:rStyle w:val="16"/>
              <w:rFonts w:hint="eastAsia" w:ascii="Times New Roman" w:cs="Times New Roman"/>
              <w:sz w:val="24"/>
              <w:szCs w:val="24"/>
            </w:rPr>
            <w:t>（八）事故现场情况</w:t>
          </w:r>
          <w:r>
            <w:tab/>
          </w:r>
          <w:r>
            <w:fldChar w:fldCharType="begin"/>
          </w:r>
          <w:r>
            <w:instrText xml:space="preserve"> PAGEREF _Toc145407429 \h </w:instrText>
          </w:r>
          <w:r>
            <w:fldChar w:fldCharType="separate"/>
          </w:r>
          <w:r>
            <w:t>10</w:t>
          </w:r>
          <w:r>
            <w:fldChar w:fldCharType="end"/>
          </w:r>
          <w:r>
            <w:fldChar w:fldCharType="end"/>
          </w:r>
        </w:p>
        <w:p w14:paraId="15242D21">
          <w:pPr>
            <w:pStyle w:val="10"/>
            <w:spacing w:line="460" w:lineRule="exact"/>
          </w:pPr>
          <w:r>
            <w:fldChar w:fldCharType="begin"/>
          </w:r>
          <w:r>
            <w:instrText xml:space="preserve"> HYPERLINK \l "_Toc145407430" </w:instrText>
          </w:r>
          <w:r>
            <w:fldChar w:fldCharType="separate"/>
          </w:r>
          <w:r>
            <w:rPr>
              <w:rStyle w:val="16"/>
              <w:rFonts w:hint="eastAsia" w:ascii="Times New Roman" w:cs="Times New Roman"/>
              <w:sz w:val="24"/>
              <w:szCs w:val="24"/>
            </w:rPr>
            <w:t>（九）人员伤亡和直接经济损失情况</w:t>
          </w:r>
          <w:r>
            <w:tab/>
          </w:r>
          <w:r>
            <w:fldChar w:fldCharType="begin"/>
          </w:r>
          <w:r>
            <w:instrText xml:space="preserve"> PAGEREF _Toc145407430 \h </w:instrText>
          </w:r>
          <w:r>
            <w:fldChar w:fldCharType="separate"/>
          </w:r>
          <w:r>
            <w:t>11</w:t>
          </w:r>
          <w:r>
            <w:fldChar w:fldCharType="end"/>
          </w:r>
          <w:r>
            <w:fldChar w:fldCharType="end"/>
          </w:r>
        </w:p>
        <w:p w14:paraId="7A5DB7EA">
          <w:pPr>
            <w:pStyle w:val="10"/>
            <w:spacing w:line="460" w:lineRule="exact"/>
          </w:pPr>
          <w:r>
            <w:fldChar w:fldCharType="begin"/>
          </w:r>
          <w:r>
            <w:instrText xml:space="preserve"> HYPERLINK \l "_Toc145407431" </w:instrText>
          </w:r>
          <w:r>
            <w:fldChar w:fldCharType="separate"/>
          </w:r>
          <w:r>
            <w:rPr>
              <w:rStyle w:val="16"/>
              <w:rFonts w:hint="eastAsia" w:ascii="Times New Roman" w:cs="Times New Roman"/>
              <w:sz w:val="24"/>
              <w:szCs w:val="24"/>
            </w:rPr>
            <w:t>（十）其他情况</w:t>
          </w:r>
          <w:r>
            <w:tab/>
          </w:r>
          <w:r>
            <w:fldChar w:fldCharType="begin"/>
          </w:r>
          <w:r>
            <w:instrText xml:space="preserve"> PAGEREF _Toc145407431 \h </w:instrText>
          </w:r>
          <w:r>
            <w:fldChar w:fldCharType="separate"/>
          </w:r>
          <w:r>
            <w:t>12</w:t>
          </w:r>
          <w:r>
            <w:fldChar w:fldCharType="end"/>
          </w:r>
          <w:r>
            <w:fldChar w:fldCharType="end"/>
          </w:r>
        </w:p>
        <w:p w14:paraId="587FDBBE">
          <w:pPr>
            <w:pStyle w:val="8"/>
            <w:tabs>
              <w:tab w:val="right" w:leader="dot" w:pos="8296"/>
            </w:tabs>
            <w:spacing w:line="460" w:lineRule="exact"/>
          </w:pPr>
          <w:r>
            <w:fldChar w:fldCharType="begin"/>
          </w:r>
          <w:r>
            <w:instrText xml:space="preserve"> HYPERLINK \l "_Toc145407432" </w:instrText>
          </w:r>
          <w:r>
            <w:fldChar w:fldCharType="separate"/>
          </w:r>
          <w:r>
            <w:rPr>
              <w:rStyle w:val="16"/>
              <w:rFonts w:hint="eastAsia" w:ascii="黑体" w:hAnsi="黑体" w:eastAsia="黑体" w:cs="Times New Roman"/>
              <w:sz w:val="24"/>
              <w:szCs w:val="24"/>
            </w:rPr>
            <w:t>二、事故应急处置及评估情况</w:t>
          </w:r>
          <w:r>
            <w:tab/>
          </w:r>
          <w:r>
            <w:fldChar w:fldCharType="begin"/>
          </w:r>
          <w:r>
            <w:instrText xml:space="preserve"> PAGEREF _Toc145407432 \h </w:instrText>
          </w:r>
          <w:r>
            <w:fldChar w:fldCharType="separate"/>
          </w:r>
          <w:r>
            <w:t>13</w:t>
          </w:r>
          <w:r>
            <w:fldChar w:fldCharType="end"/>
          </w:r>
          <w:r>
            <w:fldChar w:fldCharType="end"/>
          </w:r>
        </w:p>
        <w:p w14:paraId="047CFE12">
          <w:pPr>
            <w:pStyle w:val="10"/>
            <w:spacing w:line="460" w:lineRule="exact"/>
          </w:pPr>
          <w:r>
            <w:fldChar w:fldCharType="begin"/>
          </w:r>
          <w:r>
            <w:instrText xml:space="preserve"> HYPERLINK \l "_Toc145407433" </w:instrText>
          </w:r>
          <w:r>
            <w:fldChar w:fldCharType="separate"/>
          </w:r>
          <w:r>
            <w:rPr>
              <w:rStyle w:val="16"/>
              <w:rFonts w:hint="eastAsia"/>
              <w:sz w:val="24"/>
              <w:szCs w:val="24"/>
            </w:rPr>
            <w:t>（一）事故信息接报情况</w:t>
          </w:r>
          <w:r>
            <w:tab/>
          </w:r>
          <w:r>
            <w:fldChar w:fldCharType="begin"/>
          </w:r>
          <w:r>
            <w:instrText xml:space="preserve"> PAGEREF _Toc145407433 \h </w:instrText>
          </w:r>
          <w:r>
            <w:fldChar w:fldCharType="separate"/>
          </w:r>
          <w:r>
            <w:t>13</w:t>
          </w:r>
          <w:r>
            <w:fldChar w:fldCharType="end"/>
          </w:r>
          <w:r>
            <w:fldChar w:fldCharType="end"/>
          </w:r>
        </w:p>
        <w:p w14:paraId="22A902B7">
          <w:pPr>
            <w:pStyle w:val="10"/>
            <w:spacing w:line="460" w:lineRule="exact"/>
          </w:pPr>
          <w:r>
            <w:fldChar w:fldCharType="begin"/>
          </w:r>
          <w:r>
            <w:instrText xml:space="preserve"> HYPERLINK \l "_Toc145407434" </w:instrText>
          </w:r>
          <w:r>
            <w:fldChar w:fldCharType="separate"/>
          </w:r>
          <w:r>
            <w:rPr>
              <w:rStyle w:val="16"/>
              <w:rFonts w:hint="eastAsia" w:ascii="Times New Roman" w:cs="Times New Roman"/>
              <w:sz w:val="24"/>
              <w:szCs w:val="24"/>
            </w:rPr>
            <w:t>（二）事故应急救援情况</w:t>
          </w:r>
          <w:r>
            <w:tab/>
          </w:r>
          <w:r>
            <w:fldChar w:fldCharType="begin"/>
          </w:r>
          <w:r>
            <w:instrText xml:space="preserve"> PAGEREF _Toc145407434 \h </w:instrText>
          </w:r>
          <w:r>
            <w:fldChar w:fldCharType="separate"/>
          </w:r>
          <w:r>
            <w:t>13</w:t>
          </w:r>
          <w:r>
            <w:fldChar w:fldCharType="end"/>
          </w:r>
          <w:r>
            <w:fldChar w:fldCharType="end"/>
          </w:r>
        </w:p>
        <w:p w14:paraId="266E19A2">
          <w:pPr>
            <w:pStyle w:val="10"/>
            <w:spacing w:line="460" w:lineRule="exact"/>
          </w:pPr>
          <w:r>
            <w:fldChar w:fldCharType="begin"/>
          </w:r>
          <w:r>
            <w:instrText xml:space="preserve"> HYPERLINK \l "_Toc145407435" </w:instrText>
          </w:r>
          <w:r>
            <w:fldChar w:fldCharType="separate"/>
          </w:r>
          <w:r>
            <w:rPr>
              <w:rStyle w:val="16"/>
              <w:rFonts w:hint="eastAsia" w:ascii="Times New Roman" w:cs="Times New Roman"/>
              <w:sz w:val="24"/>
              <w:szCs w:val="24"/>
            </w:rPr>
            <w:t>（二）事故应急处置评估</w:t>
          </w:r>
          <w:r>
            <w:tab/>
          </w:r>
          <w:r>
            <w:fldChar w:fldCharType="begin"/>
          </w:r>
          <w:r>
            <w:instrText xml:space="preserve"> PAGEREF _Toc145407435 \h </w:instrText>
          </w:r>
          <w:r>
            <w:fldChar w:fldCharType="separate"/>
          </w:r>
          <w:r>
            <w:t>14</w:t>
          </w:r>
          <w:r>
            <w:fldChar w:fldCharType="end"/>
          </w:r>
          <w:r>
            <w:fldChar w:fldCharType="end"/>
          </w:r>
        </w:p>
        <w:p w14:paraId="762A7E72">
          <w:pPr>
            <w:pStyle w:val="8"/>
            <w:tabs>
              <w:tab w:val="right" w:leader="dot" w:pos="8296"/>
            </w:tabs>
            <w:spacing w:line="460" w:lineRule="exact"/>
          </w:pPr>
          <w:r>
            <w:fldChar w:fldCharType="begin"/>
          </w:r>
          <w:r>
            <w:instrText xml:space="preserve"> HYPERLINK \l "_Toc145407436" </w:instrText>
          </w:r>
          <w:r>
            <w:fldChar w:fldCharType="separate"/>
          </w:r>
          <w:r>
            <w:rPr>
              <w:rStyle w:val="16"/>
              <w:rFonts w:hint="eastAsia" w:ascii="黑体" w:hAnsi="黑体" w:eastAsia="黑体" w:cs="Times New Roman"/>
              <w:sz w:val="24"/>
              <w:szCs w:val="24"/>
            </w:rPr>
            <w:t>三、事故原因分析</w:t>
          </w:r>
          <w:r>
            <w:tab/>
          </w:r>
          <w:r>
            <w:fldChar w:fldCharType="begin"/>
          </w:r>
          <w:r>
            <w:instrText xml:space="preserve"> PAGEREF _Toc145407436 \h </w:instrText>
          </w:r>
          <w:r>
            <w:fldChar w:fldCharType="separate"/>
          </w:r>
          <w:r>
            <w:t>14</w:t>
          </w:r>
          <w:r>
            <w:fldChar w:fldCharType="end"/>
          </w:r>
          <w:r>
            <w:fldChar w:fldCharType="end"/>
          </w:r>
        </w:p>
        <w:p w14:paraId="2A0C22BD">
          <w:pPr>
            <w:pStyle w:val="10"/>
            <w:spacing w:line="460" w:lineRule="exact"/>
          </w:pPr>
          <w:r>
            <w:fldChar w:fldCharType="begin"/>
          </w:r>
          <w:r>
            <w:instrText xml:space="preserve"> HYPERLINK \l "_Toc145407437" </w:instrText>
          </w:r>
          <w:r>
            <w:fldChar w:fldCharType="separate"/>
          </w:r>
          <w:r>
            <w:rPr>
              <w:rStyle w:val="16"/>
              <w:rFonts w:hint="eastAsia" w:ascii="Times New Roman" w:cs="Times New Roman"/>
              <w:sz w:val="24"/>
              <w:szCs w:val="24"/>
            </w:rPr>
            <w:t>（一）事故直接原因</w:t>
          </w:r>
          <w:r>
            <w:tab/>
          </w:r>
          <w:r>
            <w:fldChar w:fldCharType="begin"/>
          </w:r>
          <w:r>
            <w:instrText xml:space="preserve"> PAGEREF _Toc145407437 \h </w:instrText>
          </w:r>
          <w:r>
            <w:fldChar w:fldCharType="separate"/>
          </w:r>
          <w:r>
            <w:t>14</w:t>
          </w:r>
          <w:r>
            <w:fldChar w:fldCharType="end"/>
          </w:r>
          <w:r>
            <w:fldChar w:fldCharType="end"/>
          </w:r>
        </w:p>
        <w:p w14:paraId="50E2E74D">
          <w:pPr>
            <w:pStyle w:val="10"/>
            <w:spacing w:line="460" w:lineRule="exact"/>
          </w:pPr>
          <w:r>
            <w:fldChar w:fldCharType="begin"/>
          </w:r>
          <w:r>
            <w:instrText xml:space="preserve"> HYPERLINK \l "_Toc145407438" </w:instrText>
          </w:r>
          <w:r>
            <w:fldChar w:fldCharType="separate"/>
          </w:r>
          <w:r>
            <w:rPr>
              <w:rStyle w:val="16"/>
              <w:rFonts w:hint="eastAsia" w:ascii="Times New Roman" w:cs="Times New Roman"/>
              <w:sz w:val="24"/>
              <w:szCs w:val="24"/>
            </w:rPr>
            <w:t>（二）事故间接原因</w:t>
          </w:r>
          <w:r>
            <w:tab/>
          </w:r>
          <w:r>
            <w:fldChar w:fldCharType="begin"/>
          </w:r>
          <w:r>
            <w:instrText xml:space="preserve"> PAGEREF _Toc145407438 \h </w:instrText>
          </w:r>
          <w:r>
            <w:fldChar w:fldCharType="separate"/>
          </w:r>
          <w:r>
            <w:t>15</w:t>
          </w:r>
          <w:r>
            <w:fldChar w:fldCharType="end"/>
          </w:r>
          <w:r>
            <w:fldChar w:fldCharType="end"/>
          </w:r>
        </w:p>
        <w:p w14:paraId="75ED5235">
          <w:pPr>
            <w:pStyle w:val="8"/>
            <w:tabs>
              <w:tab w:val="right" w:leader="dot" w:pos="8296"/>
            </w:tabs>
            <w:spacing w:line="460" w:lineRule="exact"/>
          </w:pPr>
          <w:r>
            <w:fldChar w:fldCharType="begin"/>
          </w:r>
          <w:r>
            <w:instrText xml:space="preserve"> HYPERLINK \l "_Toc145407439" </w:instrText>
          </w:r>
          <w:r>
            <w:fldChar w:fldCharType="separate"/>
          </w:r>
          <w:r>
            <w:rPr>
              <w:rStyle w:val="16"/>
              <w:rFonts w:hint="eastAsia" w:ascii="黑体" w:hAnsi="黑体" w:eastAsia="黑体" w:cs="Times New Roman"/>
              <w:sz w:val="24"/>
              <w:szCs w:val="24"/>
            </w:rPr>
            <w:t>四、有关责任单位存在的主要问题</w:t>
          </w:r>
          <w:r>
            <w:tab/>
          </w:r>
          <w:r>
            <w:fldChar w:fldCharType="begin"/>
          </w:r>
          <w:r>
            <w:instrText xml:space="preserve"> PAGEREF _Toc145407439 \h </w:instrText>
          </w:r>
          <w:r>
            <w:fldChar w:fldCharType="separate"/>
          </w:r>
          <w:r>
            <w:t>16</w:t>
          </w:r>
          <w:r>
            <w:fldChar w:fldCharType="end"/>
          </w:r>
          <w:r>
            <w:fldChar w:fldCharType="end"/>
          </w:r>
        </w:p>
        <w:p w14:paraId="26C527E6">
          <w:pPr>
            <w:pStyle w:val="10"/>
            <w:spacing w:line="520" w:lineRule="exact"/>
          </w:pPr>
          <w:r>
            <w:fldChar w:fldCharType="begin"/>
          </w:r>
          <w:r>
            <w:instrText xml:space="preserve"> HYPERLINK \l "_Toc145407440" </w:instrText>
          </w:r>
          <w:r>
            <w:fldChar w:fldCharType="separate"/>
          </w:r>
          <w:r>
            <w:rPr>
              <w:rStyle w:val="16"/>
              <w:rFonts w:hint="eastAsia" w:ascii="Times New Roman" w:cs="Times New Roman"/>
              <w:sz w:val="24"/>
              <w:szCs w:val="24"/>
            </w:rPr>
            <w:t>（一）事故有关企业主要问题</w:t>
          </w:r>
          <w:r>
            <w:tab/>
          </w:r>
          <w:r>
            <w:fldChar w:fldCharType="begin"/>
          </w:r>
          <w:r>
            <w:instrText xml:space="preserve"> PAGEREF _Toc145407440 \h </w:instrText>
          </w:r>
          <w:r>
            <w:fldChar w:fldCharType="separate"/>
          </w:r>
          <w:r>
            <w:t>16</w:t>
          </w:r>
          <w:r>
            <w:fldChar w:fldCharType="end"/>
          </w:r>
          <w:r>
            <w:fldChar w:fldCharType="end"/>
          </w:r>
        </w:p>
        <w:p w14:paraId="52E26DB5">
          <w:pPr>
            <w:pStyle w:val="10"/>
            <w:spacing w:line="460" w:lineRule="exact"/>
          </w:pPr>
          <w:r>
            <w:fldChar w:fldCharType="begin"/>
          </w:r>
          <w:r>
            <w:instrText xml:space="preserve"> HYPERLINK \l "_Toc145407441" </w:instrText>
          </w:r>
          <w:r>
            <w:fldChar w:fldCharType="separate"/>
          </w:r>
          <w:r>
            <w:rPr>
              <w:rStyle w:val="16"/>
              <w:rFonts w:hint="eastAsia" w:ascii="Times New Roman" w:cs="Times New Roman"/>
              <w:sz w:val="24"/>
              <w:szCs w:val="24"/>
            </w:rPr>
            <w:t>（二）有关部门主要问题</w:t>
          </w:r>
          <w:r>
            <w:tab/>
          </w:r>
          <w:r>
            <w:fldChar w:fldCharType="begin"/>
          </w:r>
          <w:r>
            <w:instrText xml:space="preserve"> PAGEREF _Toc145407441 \h </w:instrText>
          </w:r>
          <w:r>
            <w:fldChar w:fldCharType="separate"/>
          </w:r>
          <w:r>
            <w:t>18</w:t>
          </w:r>
          <w:r>
            <w:fldChar w:fldCharType="end"/>
          </w:r>
          <w:r>
            <w:fldChar w:fldCharType="end"/>
          </w:r>
        </w:p>
        <w:p w14:paraId="0F63B74E">
          <w:pPr>
            <w:pStyle w:val="8"/>
            <w:tabs>
              <w:tab w:val="right" w:leader="dot" w:pos="8296"/>
            </w:tabs>
            <w:spacing w:line="460" w:lineRule="exact"/>
          </w:pPr>
          <w:r>
            <w:fldChar w:fldCharType="begin"/>
          </w:r>
          <w:r>
            <w:instrText xml:space="preserve"> HYPERLINK \l "_Toc145407442" </w:instrText>
          </w:r>
          <w:r>
            <w:fldChar w:fldCharType="separate"/>
          </w:r>
          <w:r>
            <w:rPr>
              <w:rStyle w:val="16"/>
              <w:rFonts w:hint="eastAsia" w:ascii="黑体" w:hAnsi="黑体" w:eastAsia="黑体" w:cs="Times New Roman"/>
              <w:sz w:val="24"/>
              <w:szCs w:val="24"/>
            </w:rPr>
            <w:t>五、对有关责任人员和责任单位的处理意见</w:t>
          </w:r>
          <w:r>
            <w:tab/>
          </w:r>
          <w:r>
            <w:fldChar w:fldCharType="begin"/>
          </w:r>
          <w:r>
            <w:instrText xml:space="preserve"> PAGEREF _Toc145407442 \h </w:instrText>
          </w:r>
          <w:r>
            <w:fldChar w:fldCharType="separate"/>
          </w:r>
          <w:r>
            <w:t>20</w:t>
          </w:r>
          <w:r>
            <w:fldChar w:fldCharType="end"/>
          </w:r>
          <w:r>
            <w:fldChar w:fldCharType="end"/>
          </w:r>
        </w:p>
        <w:p w14:paraId="284F8273">
          <w:pPr>
            <w:pStyle w:val="10"/>
            <w:spacing w:line="460" w:lineRule="exact"/>
          </w:pPr>
          <w:r>
            <w:fldChar w:fldCharType="begin"/>
          </w:r>
          <w:r>
            <w:instrText xml:space="preserve"> HYPERLINK \l "_Toc145407443" </w:instrText>
          </w:r>
          <w:r>
            <w:fldChar w:fldCharType="separate"/>
          </w:r>
          <w:r>
            <w:rPr>
              <w:rStyle w:val="16"/>
              <w:rFonts w:hint="eastAsia" w:ascii="Times New Roman" w:cs="Times New Roman"/>
              <w:sz w:val="24"/>
              <w:szCs w:val="24"/>
            </w:rPr>
            <w:t>（一）免于或不予追究责任人员</w:t>
          </w:r>
          <w:r>
            <w:tab/>
          </w:r>
          <w:r>
            <w:fldChar w:fldCharType="begin"/>
          </w:r>
          <w:r>
            <w:instrText xml:space="preserve"> PAGEREF _Toc145407443 \h </w:instrText>
          </w:r>
          <w:r>
            <w:fldChar w:fldCharType="separate"/>
          </w:r>
          <w:r>
            <w:t>20</w:t>
          </w:r>
          <w:r>
            <w:fldChar w:fldCharType="end"/>
          </w:r>
          <w:r>
            <w:fldChar w:fldCharType="end"/>
          </w:r>
        </w:p>
        <w:p w14:paraId="1FBF041E">
          <w:pPr>
            <w:pStyle w:val="10"/>
            <w:spacing w:line="460" w:lineRule="exact"/>
          </w:pPr>
          <w:r>
            <w:fldChar w:fldCharType="begin"/>
          </w:r>
          <w:r>
            <w:instrText xml:space="preserve"> HYPERLINK \l "_Toc145407444" </w:instrText>
          </w:r>
          <w:r>
            <w:fldChar w:fldCharType="separate"/>
          </w:r>
          <w:r>
            <w:rPr>
              <w:rStyle w:val="16"/>
              <w:rFonts w:hint="eastAsia"/>
              <w:sz w:val="24"/>
              <w:szCs w:val="24"/>
            </w:rPr>
            <w:t>（二）建议给予行政处罚人员</w:t>
          </w:r>
          <w:r>
            <w:tab/>
          </w:r>
          <w:r>
            <w:fldChar w:fldCharType="begin"/>
          </w:r>
          <w:r>
            <w:instrText xml:space="preserve"> PAGEREF _Toc145407444 \h </w:instrText>
          </w:r>
          <w:r>
            <w:fldChar w:fldCharType="separate"/>
          </w:r>
          <w:r>
            <w:t>20</w:t>
          </w:r>
          <w:r>
            <w:fldChar w:fldCharType="end"/>
          </w:r>
          <w:r>
            <w:fldChar w:fldCharType="end"/>
          </w:r>
        </w:p>
        <w:p w14:paraId="1CD68A4D">
          <w:pPr>
            <w:pStyle w:val="10"/>
            <w:spacing w:line="460" w:lineRule="exact"/>
          </w:pPr>
          <w:r>
            <w:fldChar w:fldCharType="begin"/>
          </w:r>
          <w:r>
            <w:instrText xml:space="preserve"> HYPERLINK \l "_Toc145407445" </w:instrText>
          </w:r>
          <w:r>
            <w:fldChar w:fldCharType="separate"/>
          </w:r>
          <w:r>
            <w:rPr>
              <w:rStyle w:val="16"/>
              <w:rFonts w:hint="eastAsia" w:ascii="Times New Roman" w:cs="Times New Roman"/>
            </w:rPr>
            <w:t>（</w:t>
          </w:r>
          <w:r>
            <w:rPr>
              <w:rStyle w:val="16"/>
              <w:rFonts w:hint="eastAsia" w:ascii="Times New Roman" w:cs="Times New Roman"/>
              <w:sz w:val="24"/>
              <w:szCs w:val="24"/>
            </w:rPr>
            <w:t>三）对事故责任单位的处理意见</w:t>
          </w:r>
          <w:r>
            <w:tab/>
          </w:r>
          <w:r>
            <w:fldChar w:fldCharType="begin"/>
          </w:r>
          <w:r>
            <w:instrText xml:space="preserve"> PAGEREF _Toc145407445 \h </w:instrText>
          </w:r>
          <w:r>
            <w:fldChar w:fldCharType="separate"/>
          </w:r>
          <w:r>
            <w:t>23</w:t>
          </w:r>
          <w:r>
            <w:fldChar w:fldCharType="end"/>
          </w:r>
          <w:r>
            <w:fldChar w:fldCharType="end"/>
          </w:r>
        </w:p>
        <w:p w14:paraId="07440AFC">
          <w:pPr>
            <w:pStyle w:val="10"/>
            <w:spacing w:line="460" w:lineRule="exact"/>
          </w:pPr>
          <w:r>
            <w:fldChar w:fldCharType="begin"/>
          </w:r>
          <w:r>
            <w:instrText xml:space="preserve"> HYPERLINK \l "_Toc145407446" </w:instrText>
          </w:r>
          <w:r>
            <w:fldChar w:fldCharType="separate"/>
          </w:r>
          <w:r>
            <w:rPr>
              <w:rStyle w:val="16"/>
              <w:rFonts w:hint="eastAsia" w:ascii="Times New Roman" w:cs="Times New Roman"/>
              <w:sz w:val="24"/>
              <w:szCs w:val="24"/>
            </w:rPr>
            <w:t>（四）建议对有关公职人员的处理建议</w:t>
          </w:r>
          <w:r>
            <w:tab/>
          </w:r>
          <w:r>
            <w:fldChar w:fldCharType="begin"/>
          </w:r>
          <w:r>
            <w:instrText xml:space="preserve"> PAGEREF _Toc145407446 \h </w:instrText>
          </w:r>
          <w:r>
            <w:fldChar w:fldCharType="separate"/>
          </w:r>
          <w:r>
            <w:t>25</w:t>
          </w:r>
          <w:r>
            <w:fldChar w:fldCharType="end"/>
          </w:r>
          <w:r>
            <w:fldChar w:fldCharType="end"/>
          </w:r>
        </w:p>
        <w:p w14:paraId="3440EEB5">
          <w:pPr>
            <w:pStyle w:val="10"/>
            <w:spacing w:line="460" w:lineRule="exact"/>
          </w:pPr>
          <w:r>
            <w:fldChar w:fldCharType="begin"/>
          </w:r>
          <w:r>
            <w:instrText xml:space="preserve"> HYPERLINK \l "_Toc145407447" </w:instrText>
          </w:r>
          <w:r>
            <w:fldChar w:fldCharType="separate"/>
          </w:r>
          <w:r>
            <w:rPr>
              <w:rStyle w:val="16"/>
              <w:rFonts w:hint="eastAsia" w:ascii="Times New Roman" w:cs="Times New Roman"/>
              <w:sz w:val="24"/>
              <w:szCs w:val="24"/>
            </w:rPr>
            <w:t>（五）其他处理意见</w:t>
          </w:r>
          <w:r>
            <w:tab/>
          </w:r>
          <w:r>
            <w:fldChar w:fldCharType="begin"/>
          </w:r>
          <w:r>
            <w:instrText xml:space="preserve"> PAGEREF _Toc145407447 \h </w:instrText>
          </w:r>
          <w:r>
            <w:fldChar w:fldCharType="separate"/>
          </w:r>
          <w:r>
            <w:t>25</w:t>
          </w:r>
          <w:r>
            <w:fldChar w:fldCharType="end"/>
          </w:r>
          <w:r>
            <w:fldChar w:fldCharType="end"/>
          </w:r>
        </w:p>
        <w:p w14:paraId="718DCE8B">
          <w:pPr>
            <w:pStyle w:val="8"/>
            <w:tabs>
              <w:tab w:val="right" w:leader="dot" w:pos="8296"/>
            </w:tabs>
            <w:spacing w:line="460" w:lineRule="exact"/>
          </w:pPr>
          <w:r>
            <w:fldChar w:fldCharType="begin"/>
          </w:r>
          <w:r>
            <w:instrText xml:space="preserve"> HYPERLINK \l "_Toc145407448" </w:instrText>
          </w:r>
          <w:r>
            <w:fldChar w:fldCharType="separate"/>
          </w:r>
          <w:r>
            <w:rPr>
              <w:rStyle w:val="16"/>
              <w:rFonts w:hint="eastAsia" w:ascii="黑体" w:hAnsi="黑体" w:eastAsia="黑体"/>
              <w:sz w:val="24"/>
              <w:szCs w:val="24"/>
            </w:rPr>
            <w:t>六、事故的主要教训</w:t>
          </w:r>
          <w:r>
            <w:tab/>
          </w:r>
          <w:r>
            <w:fldChar w:fldCharType="begin"/>
          </w:r>
          <w:r>
            <w:instrText xml:space="preserve"> PAGEREF _Toc145407448 \h </w:instrText>
          </w:r>
          <w:r>
            <w:fldChar w:fldCharType="separate"/>
          </w:r>
          <w:r>
            <w:t>25</w:t>
          </w:r>
          <w:r>
            <w:fldChar w:fldCharType="end"/>
          </w:r>
          <w:r>
            <w:fldChar w:fldCharType="end"/>
          </w:r>
        </w:p>
        <w:p w14:paraId="3810131E">
          <w:pPr>
            <w:pStyle w:val="10"/>
            <w:spacing w:line="460" w:lineRule="exact"/>
          </w:pPr>
          <w:r>
            <w:fldChar w:fldCharType="begin"/>
          </w:r>
          <w:r>
            <w:instrText xml:space="preserve"> HYPERLINK \l "_Toc145407449" </w:instrText>
          </w:r>
          <w:r>
            <w:fldChar w:fldCharType="separate"/>
          </w:r>
          <w:r>
            <w:rPr>
              <w:rStyle w:val="16"/>
              <w:rFonts w:hint="eastAsia"/>
              <w:sz w:val="24"/>
              <w:szCs w:val="24"/>
            </w:rPr>
            <w:t>（一）特殊体育经营项目行政审批把关不严</w:t>
          </w:r>
          <w:r>
            <w:tab/>
          </w:r>
          <w:r>
            <w:fldChar w:fldCharType="begin"/>
          </w:r>
          <w:r>
            <w:instrText xml:space="preserve"> PAGEREF _Toc145407449 \h </w:instrText>
          </w:r>
          <w:r>
            <w:fldChar w:fldCharType="separate"/>
          </w:r>
          <w:r>
            <w:t>25</w:t>
          </w:r>
          <w:r>
            <w:fldChar w:fldCharType="end"/>
          </w:r>
          <w:r>
            <w:fldChar w:fldCharType="end"/>
          </w:r>
        </w:p>
        <w:p w14:paraId="5F44D132">
          <w:pPr>
            <w:pStyle w:val="10"/>
            <w:spacing w:line="460" w:lineRule="exact"/>
          </w:pPr>
          <w:r>
            <w:fldChar w:fldCharType="begin"/>
          </w:r>
          <w:r>
            <w:instrText xml:space="preserve"> HYPERLINK \l "_Toc145407450" </w:instrText>
          </w:r>
          <w:r>
            <w:fldChar w:fldCharType="separate"/>
          </w:r>
          <w:r>
            <w:rPr>
              <w:rStyle w:val="16"/>
              <w:rFonts w:hint="eastAsia"/>
              <w:sz w:val="24"/>
              <w:szCs w:val="24"/>
            </w:rPr>
            <w:t>（二）违规分包和承包商管理不到位</w:t>
          </w:r>
          <w:r>
            <w:tab/>
          </w:r>
          <w:r>
            <w:fldChar w:fldCharType="begin"/>
          </w:r>
          <w:r>
            <w:instrText xml:space="preserve"> PAGEREF _Toc145407450 \h </w:instrText>
          </w:r>
          <w:r>
            <w:fldChar w:fldCharType="separate"/>
          </w:r>
          <w:r>
            <w:t>25</w:t>
          </w:r>
          <w:r>
            <w:fldChar w:fldCharType="end"/>
          </w:r>
          <w:r>
            <w:fldChar w:fldCharType="end"/>
          </w:r>
        </w:p>
        <w:p w14:paraId="1CA8140E">
          <w:pPr>
            <w:pStyle w:val="10"/>
            <w:spacing w:line="460" w:lineRule="exact"/>
          </w:pPr>
          <w:r>
            <w:fldChar w:fldCharType="begin"/>
          </w:r>
          <w:r>
            <w:instrText xml:space="preserve"> HYPERLINK \l "_Toc145407451" </w:instrText>
          </w:r>
          <w:r>
            <w:fldChar w:fldCharType="separate"/>
          </w:r>
          <w:r>
            <w:rPr>
              <w:rStyle w:val="16"/>
              <w:rFonts w:hint="eastAsia"/>
              <w:sz w:val="24"/>
              <w:szCs w:val="24"/>
            </w:rPr>
            <w:t>（三）企业主体责任落实不到位</w:t>
          </w:r>
          <w:r>
            <w:tab/>
          </w:r>
          <w:r>
            <w:fldChar w:fldCharType="begin"/>
          </w:r>
          <w:r>
            <w:instrText xml:space="preserve"> PAGEREF _Toc145407451 \h </w:instrText>
          </w:r>
          <w:r>
            <w:fldChar w:fldCharType="separate"/>
          </w:r>
          <w:r>
            <w:t>26</w:t>
          </w:r>
          <w:r>
            <w:fldChar w:fldCharType="end"/>
          </w:r>
          <w:r>
            <w:fldChar w:fldCharType="end"/>
          </w:r>
        </w:p>
        <w:p w14:paraId="076AE026">
          <w:pPr>
            <w:pStyle w:val="8"/>
            <w:tabs>
              <w:tab w:val="right" w:leader="dot" w:pos="8296"/>
            </w:tabs>
            <w:spacing w:line="460" w:lineRule="exact"/>
          </w:pPr>
          <w:r>
            <w:fldChar w:fldCharType="begin"/>
          </w:r>
          <w:r>
            <w:instrText xml:space="preserve"> HYPERLINK \l "_Toc145407452" </w:instrText>
          </w:r>
          <w:r>
            <w:fldChar w:fldCharType="separate"/>
          </w:r>
          <w:r>
            <w:rPr>
              <w:rStyle w:val="16"/>
              <w:rFonts w:hint="eastAsia" w:ascii="黑体" w:hAnsi="黑体" w:eastAsia="黑体" w:cs="Times New Roman"/>
              <w:sz w:val="24"/>
              <w:szCs w:val="24"/>
            </w:rPr>
            <w:t>七、事故整改和防范措施</w:t>
          </w:r>
          <w:r>
            <w:tab/>
          </w:r>
          <w:r>
            <w:fldChar w:fldCharType="begin"/>
          </w:r>
          <w:r>
            <w:instrText xml:space="preserve"> PAGEREF _Toc145407452 \h </w:instrText>
          </w:r>
          <w:r>
            <w:fldChar w:fldCharType="separate"/>
          </w:r>
          <w:r>
            <w:t>26</w:t>
          </w:r>
          <w:r>
            <w:fldChar w:fldCharType="end"/>
          </w:r>
          <w:r>
            <w:fldChar w:fldCharType="end"/>
          </w:r>
        </w:p>
        <w:p w14:paraId="06136194">
          <w:pPr>
            <w:pStyle w:val="10"/>
            <w:spacing w:line="460" w:lineRule="exact"/>
          </w:pPr>
          <w:r>
            <w:fldChar w:fldCharType="begin"/>
          </w:r>
          <w:r>
            <w:instrText xml:space="preserve"> HYPERLINK \l "_Toc145407453" </w:instrText>
          </w:r>
          <w:r>
            <w:fldChar w:fldCharType="separate"/>
          </w:r>
          <w:r>
            <w:rPr>
              <w:rStyle w:val="16"/>
              <w:rFonts w:hint="eastAsia" w:ascii="Times New Roman" w:cs="Times New Roman"/>
              <w:sz w:val="24"/>
              <w:szCs w:val="24"/>
            </w:rPr>
            <w:t>（一）吐鲁番纳斯卡航空运动有限责任公司</w:t>
          </w:r>
          <w:r>
            <w:tab/>
          </w:r>
          <w:r>
            <w:fldChar w:fldCharType="begin"/>
          </w:r>
          <w:r>
            <w:instrText xml:space="preserve"> PAGEREF _Toc145407453 \h </w:instrText>
          </w:r>
          <w:r>
            <w:fldChar w:fldCharType="separate"/>
          </w:r>
          <w:r>
            <w:t>26</w:t>
          </w:r>
          <w:r>
            <w:fldChar w:fldCharType="end"/>
          </w:r>
          <w:r>
            <w:fldChar w:fldCharType="end"/>
          </w:r>
        </w:p>
        <w:p w14:paraId="60CEBB80">
          <w:pPr>
            <w:pStyle w:val="10"/>
            <w:spacing w:line="460" w:lineRule="exact"/>
          </w:pPr>
          <w:r>
            <w:fldChar w:fldCharType="begin"/>
          </w:r>
          <w:r>
            <w:instrText xml:space="preserve"> HYPERLINK \l "_Toc145407454" </w:instrText>
          </w:r>
          <w:r>
            <w:fldChar w:fldCharType="separate"/>
          </w:r>
          <w:r>
            <w:rPr>
              <w:rStyle w:val="16"/>
              <w:rFonts w:hint="eastAsia" w:ascii="Times New Roman" w:cs="Times New Roman"/>
              <w:sz w:val="24"/>
              <w:szCs w:val="24"/>
            </w:rPr>
            <w:t>（二）克拉玛依飞创启航旅游有限公司</w:t>
          </w:r>
          <w:r>
            <w:tab/>
          </w:r>
          <w:r>
            <w:fldChar w:fldCharType="begin"/>
          </w:r>
          <w:r>
            <w:instrText xml:space="preserve"> PAGEREF _Toc145407454 \h </w:instrText>
          </w:r>
          <w:r>
            <w:fldChar w:fldCharType="separate"/>
          </w:r>
          <w:r>
            <w:t>27</w:t>
          </w:r>
          <w:r>
            <w:fldChar w:fldCharType="end"/>
          </w:r>
          <w:r>
            <w:fldChar w:fldCharType="end"/>
          </w:r>
        </w:p>
        <w:p w14:paraId="1A9938F8">
          <w:pPr>
            <w:pStyle w:val="10"/>
            <w:spacing w:line="460" w:lineRule="exact"/>
          </w:pPr>
          <w:r>
            <w:fldChar w:fldCharType="begin"/>
          </w:r>
          <w:r>
            <w:instrText xml:space="preserve"> HYPERLINK \l "_Toc145407455" </w:instrText>
          </w:r>
          <w:r>
            <w:fldChar w:fldCharType="separate"/>
          </w:r>
          <w:r>
            <w:rPr>
              <w:rStyle w:val="16"/>
              <w:rFonts w:hint="eastAsia" w:ascii="Times New Roman" w:cs="Times New Roman"/>
              <w:sz w:val="24"/>
              <w:szCs w:val="24"/>
            </w:rPr>
            <w:t>（三）克拉玛依魔鬼城旅游开发有限责任公司</w:t>
          </w:r>
          <w:r>
            <w:tab/>
          </w:r>
          <w:r>
            <w:fldChar w:fldCharType="begin"/>
          </w:r>
          <w:r>
            <w:instrText xml:space="preserve"> PAGEREF _Toc145407455 \h </w:instrText>
          </w:r>
          <w:r>
            <w:fldChar w:fldCharType="separate"/>
          </w:r>
          <w:r>
            <w:t>27</w:t>
          </w:r>
          <w:r>
            <w:fldChar w:fldCharType="end"/>
          </w:r>
          <w:r>
            <w:fldChar w:fldCharType="end"/>
          </w:r>
        </w:p>
        <w:p w14:paraId="2071A494">
          <w:pPr>
            <w:pStyle w:val="10"/>
            <w:spacing w:line="460" w:lineRule="exact"/>
          </w:pPr>
          <w:r>
            <w:fldChar w:fldCharType="begin"/>
          </w:r>
          <w:r>
            <w:instrText xml:space="preserve"> HYPERLINK \l "_Toc145407456" </w:instrText>
          </w:r>
          <w:r>
            <w:fldChar w:fldCharType="separate"/>
          </w:r>
          <w:r>
            <w:rPr>
              <w:rStyle w:val="16"/>
              <w:rFonts w:hint="eastAsia" w:ascii="Times New Roman" w:cs="Times New Roman"/>
              <w:sz w:val="24"/>
              <w:szCs w:val="24"/>
            </w:rPr>
            <w:t>（四）乌尔禾区文化体育广播电视和旅游局</w:t>
          </w:r>
          <w:r>
            <w:tab/>
          </w:r>
          <w:r>
            <w:fldChar w:fldCharType="begin"/>
          </w:r>
          <w:r>
            <w:instrText xml:space="preserve"> PAGEREF _Toc145407456 \h </w:instrText>
          </w:r>
          <w:r>
            <w:fldChar w:fldCharType="separate"/>
          </w:r>
          <w:r>
            <w:t>28</w:t>
          </w:r>
          <w:r>
            <w:fldChar w:fldCharType="end"/>
          </w:r>
          <w:r>
            <w:fldChar w:fldCharType="end"/>
          </w:r>
        </w:p>
        <w:p w14:paraId="679B1510">
          <w:pPr>
            <w:pStyle w:val="10"/>
            <w:spacing w:line="460" w:lineRule="exact"/>
            <w:rPr>
              <w:rStyle w:val="16"/>
              <w:rFonts w:ascii="Times New Roman" w:cs="Times New Roman"/>
              <w:sz w:val="24"/>
              <w:szCs w:val="24"/>
            </w:rPr>
          </w:pPr>
          <w:r>
            <w:fldChar w:fldCharType="begin"/>
          </w:r>
          <w:r>
            <w:instrText xml:space="preserve"> HYPERLINK \l "_Toc145407457" </w:instrText>
          </w:r>
          <w:r>
            <w:fldChar w:fldCharType="separate"/>
          </w:r>
          <w:r>
            <w:rPr>
              <w:rStyle w:val="16"/>
              <w:rFonts w:hint="eastAsia" w:ascii="Times New Roman" w:cs="Times New Roman"/>
              <w:sz w:val="24"/>
              <w:szCs w:val="24"/>
            </w:rPr>
            <w:t>（五）区人民政府各部门、各单位</w:t>
          </w:r>
          <w:r>
            <w:rPr>
              <w:rStyle w:val="16"/>
              <w:rFonts w:ascii="Times New Roman" w:cs="Times New Roman"/>
              <w:sz w:val="24"/>
              <w:szCs w:val="24"/>
            </w:rPr>
            <w:tab/>
          </w:r>
          <w:r>
            <w:rPr>
              <w:rStyle w:val="16"/>
              <w:rFonts w:ascii="Times New Roman" w:cs="Times New Roman"/>
              <w:sz w:val="24"/>
              <w:szCs w:val="24"/>
            </w:rPr>
            <w:fldChar w:fldCharType="begin"/>
          </w:r>
          <w:r>
            <w:rPr>
              <w:rStyle w:val="16"/>
              <w:rFonts w:ascii="Times New Roman" w:cs="Times New Roman"/>
              <w:sz w:val="24"/>
              <w:szCs w:val="24"/>
            </w:rPr>
            <w:instrText xml:space="preserve"> PAGEREF _Toc145407457 \h </w:instrText>
          </w:r>
          <w:r>
            <w:rPr>
              <w:rStyle w:val="16"/>
              <w:rFonts w:ascii="Times New Roman" w:cs="Times New Roman"/>
              <w:sz w:val="24"/>
              <w:szCs w:val="24"/>
            </w:rPr>
            <w:fldChar w:fldCharType="separate"/>
          </w:r>
          <w:r>
            <w:rPr>
              <w:rStyle w:val="16"/>
              <w:rFonts w:ascii="Times New Roman" w:cs="Times New Roman"/>
              <w:sz w:val="24"/>
              <w:szCs w:val="24"/>
            </w:rPr>
            <w:t>28</w:t>
          </w:r>
          <w:r>
            <w:rPr>
              <w:rStyle w:val="16"/>
              <w:rFonts w:ascii="Times New Roman" w:cs="Times New Roman"/>
              <w:sz w:val="24"/>
              <w:szCs w:val="24"/>
            </w:rPr>
            <w:fldChar w:fldCharType="end"/>
          </w:r>
          <w:r>
            <w:rPr>
              <w:rStyle w:val="16"/>
              <w:rFonts w:ascii="Times New Roman" w:cs="Times New Roman"/>
              <w:sz w:val="24"/>
              <w:szCs w:val="24"/>
            </w:rPr>
            <w:fldChar w:fldCharType="end"/>
          </w:r>
        </w:p>
        <w:p w14:paraId="1A64ABEC">
          <w:pPr>
            <w:spacing w:line="400" w:lineRule="exact"/>
            <w:rPr>
              <w:rStyle w:val="16"/>
              <w:sz w:val="24"/>
              <w:szCs w:val="24"/>
            </w:rPr>
          </w:pPr>
          <w:r>
            <w:fldChar w:fldCharType="end"/>
          </w:r>
        </w:p>
      </w:sdtContent>
    </w:sdt>
    <w:p w14:paraId="22CE4AE2">
      <w:pPr>
        <w:spacing w:line="560" w:lineRule="exact"/>
        <w:rPr>
          <w:rFonts w:ascii="FangSong_GB2312" w:eastAsia="FangSong_GB2312"/>
          <w:sz w:val="32"/>
          <w:szCs w:val="32"/>
        </w:rPr>
      </w:pPr>
    </w:p>
    <w:p w14:paraId="0A43C103">
      <w:pPr>
        <w:spacing w:line="560" w:lineRule="exact"/>
        <w:rPr>
          <w:rFonts w:ascii="FangSong_GB2312" w:eastAsia="FangSong_GB2312"/>
          <w:sz w:val="32"/>
          <w:szCs w:val="32"/>
        </w:rPr>
      </w:pPr>
    </w:p>
    <w:p w14:paraId="7177D7EF">
      <w:pPr>
        <w:spacing w:line="560" w:lineRule="exact"/>
        <w:rPr>
          <w:rFonts w:ascii="FangSong_GB2312" w:eastAsia="FangSong_GB2312"/>
          <w:sz w:val="32"/>
          <w:szCs w:val="32"/>
        </w:rPr>
      </w:pPr>
    </w:p>
    <w:p w14:paraId="094E9156">
      <w:pPr>
        <w:spacing w:line="560" w:lineRule="exact"/>
        <w:rPr>
          <w:rFonts w:ascii="FangSong_GB2312" w:eastAsia="FangSong_GB2312"/>
          <w:sz w:val="32"/>
          <w:szCs w:val="32"/>
        </w:rPr>
      </w:pPr>
    </w:p>
    <w:p w14:paraId="063B6F13">
      <w:pPr>
        <w:spacing w:line="560" w:lineRule="exact"/>
        <w:rPr>
          <w:rFonts w:ascii="FangSong_GB2312" w:eastAsia="FangSong_GB2312"/>
          <w:sz w:val="32"/>
          <w:szCs w:val="32"/>
        </w:rPr>
      </w:pPr>
    </w:p>
    <w:p w14:paraId="3718C107">
      <w:pPr>
        <w:spacing w:line="560" w:lineRule="exact"/>
        <w:rPr>
          <w:rFonts w:ascii="FangSong_GB2312" w:eastAsia="FangSong_GB2312"/>
          <w:sz w:val="32"/>
          <w:szCs w:val="32"/>
        </w:rPr>
      </w:pPr>
    </w:p>
    <w:p w14:paraId="3ED9C4B0">
      <w:pPr>
        <w:spacing w:line="560" w:lineRule="exact"/>
        <w:rPr>
          <w:rFonts w:ascii="FangSong_GB2312" w:eastAsia="FangSong_GB2312"/>
          <w:sz w:val="32"/>
          <w:szCs w:val="32"/>
        </w:rPr>
      </w:pPr>
    </w:p>
    <w:p w14:paraId="24CE3E0D">
      <w:pPr>
        <w:spacing w:line="560" w:lineRule="exact"/>
        <w:rPr>
          <w:rFonts w:ascii="FangSong_GB2312" w:eastAsia="FangSong_GB2312"/>
          <w:sz w:val="32"/>
          <w:szCs w:val="32"/>
        </w:rPr>
      </w:pPr>
    </w:p>
    <w:p w14:paraId="028EB86A">
      <w:pPr>
        <w:spacing w:line="560" w:lineRule="exact"/>
        <w:rPr>
          <w:rFonts w:ascii="FangSong_GB2312" w:eastAsia="FangSong_GB2312"/>
          <w:sz w:val="32"/>
          <w:szCs w:val="32"/>
        </w:rPr>
      </w:pPr>
    </w:p>
    <w:p w14:paraId="397105D2">
      <w:pPr>
        <w:spacing w:line="560" w:lineRule="exact"/>
        <w:rPr>
          <w:rFonts w:ascii="FangSong_GB2312" w:eastAsia="FangSong_GB2312"/>
          <w:sz w:val="32"/>
          <w:szCs w:val="32"/>
        </w:rPr>
      </w:pPr>
    </w:p>
    <w:p w14:paraId="494999C3">
      <w:pPr>
        <w:spacing w:line="560" w:lineRule="exact"/>
        <w:rPr>
          <w:rFonts w:ascii="FangSong_GB2312" w:eastAsia="FangSong_GB2312"/>
          <w:sz w:val="32"/>
          <w:szCs w:val="32"/>
        </w:rPr>
      </w:pPr>
    </w:p>
    <w:p w14:paraId="550292E0">
      <w:pPr>
        <w:spacing w:line="560" w:lineRule="exact"/>
        <w:rPr>
          <w:rFonts w:ascii="FangSong_GB2312" w:eastAsia="FangSong_GB2312"/>
          <w:sz w:val="32"/>
          <w:szCs w:val="32"/>
        </w:rPr>
      </w:pPr>
    </w:p>
    <w:p w14:paraId="751D2BAE">
      <w:pPr>
        <w:spacing w:line="560" w:lineRule="exact"/>
        <w:rPr>
          <w:rFonts w:ascii="FangSong_GB2312" w:eastAsia="FangSong_GB2312"/>
          <w:sz w:val="32"/>
          <w:szCs w:val="32"/>
        </w:rPr>
      </w:pPr>
    </w:p>
    <w:p w14:paraId="7840654E">
      <w:pPr>
        <w:spacing w:line="560" w:lineRule="exact"/>
        <w:rPr>
          <w:rFonts w:ascii="FangSong_GB2312" w:eastAsia="FangSong_GB2312"/>
          <w:sz w:val="32"/>
          <w:szCs w:val="32"/>
        </w:rPr>
        <w:sectPr>
          <w:pgSz w:w="11906" w:h="16838"/>
          <w:pgMar w:top="1440" w:right="1800" w:bottom="1440" w:left="1800" w:header="851" w:footer="992" w:gutter="0"/>
          <w:pgNumType w:fmt="upperRoman" w:start="1"/>
          <w:cols w:space="425" w:num="1"/>
          <w:docGrid w:type="lines" w:linePitch="312" w:charSpace="0"/>
        </w:sectPr>
      </w:pPr>
    </w:p>
    <w:p w14:paraId="2A15E772">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乌尔禾柳树街吐鲁番纳斯卡航空运动有限公司“7</w:t>
      </w:r>
      <w:r>
        <w:rPr>
          <w:rFonts w:ascii="Times New Roman" w:hAnsi="Times New Roman" w:cs="Times New Roman"/>
          <w:sz w:val="32"/>
          <w:szCs w:val="32"/>
        </w:rPr>
        <w:t>•</w:t>
      </w:r>
      <w:r>
        <w:rPr>
          <w:rFonts w:hint="eastAsia" w:ascii="方正小标宋简体" w:eastAsia="方正小标宋简体"/>
          <w:sz w:val="44"/>
          <w:szCs w:val="44"/>
        </w:rPr>
        <w:t>12”动力三角翼一般高处坠落</w:t>
      </w:r>
    </w:p>
    <w:p w14:paraId="6EB880F5">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事故调查报告</w:t>
      </w:r>
    </w:p>
    <w:p w14:paraId="0A47E6AB">
      <w:pPr>
        <w:spacing w:line="560" w:lineRule="exact"/>
        <w:rPr>
          <w:rFonts w:ascii="FangSong_GB2312" w:eastAsia="FangSong_GB2312"/>
          <w:sz w:val="32"/>
          <w:szCs w:val="32"/>
        </w:rPr>
      </w:pPr>
    </w:p>
    <w:p w14:paraId="3B60AC3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2023年7月12日15时49分30秒，世界魔鬼城景区内吐鲁番纳斯卡航空运动有限公司一架动力三角翼（又称动力悬挂滑翔机、动力悬挂滑翔翼）在飞行过程中坠落，造成2人死亡，直接经济损失约290.8514万元。</w:t>
      </w:r>
    </w:p>
    <w:p w14:paraId="27E7D16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发生后，区委区政府高度重视，根据《中华人民共和国安全生产法》《生产安全事故报告和调查处理条例》（国务院令第493号）等相关规定，成立了以乌尔禾区人民政府副区长为组长，区应急管理局、公安分局、文旅局、司法局、总工会和柳树街街道办事处分管负责同志为成员的乌尔禾柳树街吐鲁番纳斯卡航空运动有限公司“7·12”动力三角翼一般高处坠落事故调查组（以下简称“事故调查组”）。聘请航空运动专家参与事故调查、进行技术分析，并邀请区纪委监委、区检察院派人员参加。</w:t>
      </w:r>
    </w:p>
    <w:p w14:paraId="3A75150B">
      <w:pPr>
        <w:spacing w:line="560" w:lineRule="exact"/>
        <w:ind w:firstLine="640" w:firstLineChars="200"/>
        <w:rPr>
          <w:rFonts w:hint="eastAsia" w:ascii="仿宋_GB2312" w:hAnsi="Times New Roman" w:eastAsia="仿宋_GB2312" w:cs="Times New Roman"/>
          <w:sz w:val="32"/>
          <w:szCs w:val="32"/>
        </w:rPr>
      </w:pPr>
      <w:r>
        <w:rPr>
          <w:rFonts w:ascii="Times New Roman" w:hAnsi="Times New Roman" w:eastAsia="仿宋_GB2312" w:cs="Times New Roman"/>
          <w:sz w:val="32"/>
          <w:szCs w:val="32"/>
        </w:rPr>
        <w:t>事故调查组按照“科学严谨、依法依规、实事求是、注重实效”和“四不放过”的原则，认真开展调查工作。通过现场勘查、调查取证、综合分析和询问有关人员，查明了事故发生的经过、原因、应急处置、人员伤亡情况及直接经济损失，认定事故的性质和事故责任，查清了有关部门、相关单位存在的问题，提出了对有关责任单位和责任人员的处理建议，并针对事故原因及暴露</w:t>
      </w:r>
      <w:r>
        <w:rPr>
          <w:rFonts w:hint="eastAsia" w:ascii="仿宋_GB2312" w:hAnsi="Times New Roman" w:eastAsia="仿宋_GB2312" w:cs="Times New Roman"/>
          <w:sz w:val="32"/>
          <w:szCs w:val="32"/>
        </w:rPr>
        <w:t>出的突出问题，提出了事故防范措施建议。</w:t>
      </w:r>
    </w:p>
    <w:p w14:paraId="357E4E4C">
      <w:pPr>
        <w:spacing w:line="560" w:lineRule="exact"/>
        <w:ind w:firstLine="640" w:firstLineChars="200"/>
        <w:rPr>
          <w:rFonts w:hint="default" w:ascii="Times New Roman" w:hAnsi="Times New Roman" w:eastAsia="仿宋_GB2312" w:cs="Times New Roman"/>
          <w:sz w:val="32"/>
          <w:szCs w:val="32"/>
        </w:rPr>
      </w:pPr>
      <w:r>
        <w:rPr>
          <w:rFonts w:hint="eastAsia" w:ascii="仿宋_GB2312" w:hAnsi="Times New Roman" w:eastAsia="仿宋_GB2312" w:cs="Times New Roman"/>
          <w:sz w:val="32"/>
          <w:szCs w:val="32"/>
        </w:rPr>
        <w:t>经事故调查组认定，乌尔禾柳树街吐鲁番纳斯卡航空运动有限公司</w:t>
      </w:r>
      <w:r>
        <w:rPr>
          <w:rFonts w:hint="default" w:ascii="Times New Roman" w:hAnsi="Times New Roman" w:eastAsia="仿宋_GB2312" w:cs="Times New Roman"/>
          <w:sz w:val="32"/>
          <w:szCs w:val="32"/>
        </w:rPr>
        <w:t>“7·12”一般动力三角翼坠落事故是一起一般生产安全责任事故。</w:t>
      </w:r>
    </w:p>
    <w:p w14:paraId="2DA3DBCC">
      <w:pPr>
        <w:pStyle w:val="2"/>
        <w:ind w:firstLine="640"/>
        <w:rPr>
          <w:rFonts w:ascii="Times New Roman" w:hAnsi="Times New Roman" w:cs="Times New Roman"/>
          <w:szCs w:val="32"/>
        </w:rPr>
      </w:pPr>
      <w:bookmarkStart w:id="0" w:name="_Toc145407421"/>
      <w:r>
        <w:rPr>
          <w:rFonts w:ascii="Times New Roman" w:hAnsi="Times New Roman" w:cs="Times New Roman"/>
          <w:szCs w:val="32"/>
        </w:rPr>
        <w:t>一、事故基本情况</w:t>
      </w:r>
      <w:bookmarkEnd w:id="0"/>
    </w:p>
    <w:p w14:paraId="1E4AFFA5">
      <w:pPr>
        <w:pStyle w:val="3"/>
        <w:ind w:firstLine="640"/>
        <w:rPr>
          <w:rFonts w:ascii="Times New Roman" w:hAnsi="Times New Roman" w:cs="Times New Roman"/>
        </w:rPr>
      </w:pPr>
      <w:bookmarkStart w:id="1" w:name="_Toc145407422"/>
      <w:r>
        <w:rPr>
          <w:rFonts w:ascii="Times New Roman" w:hAnsi="Times New Roman" w:cs="Times New Roman"/>
        </w:rPr>
        <w:t>（一）事故发生单位及相关单位概况</w:t>
      </w:r>
      <w:bookmarkEnd w:id="1"/>
    </w:p>
    <w:p w14:paraId="137E63C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吐鲁番纳斯卡航空运动有限公司（以下简称纳斯卡公司），法定代表人：茹*，统一社会信用代码：91650402MA78******；注册地址：新疆吐鲁番市高昌区亚尔镇亚尔果勒村*队，成立日期：2019年3月27日，公司有员工3人。经营范围：体育航空运动服务，热气球、运动飞机、跳伞（含室内）、动力伞、直升机、滑翔机（含动力）、悬挂滑翔机、动力悬挂滑翔机游览飞行服务，观光游览航空服务，通用航空生产服务等。持有新疆维吾尔自治区体育经营许可证，编号：65020520******，许可项目（范围）：动力三角翼，许可证有效期限2023年7月30日。</w:t>
      </w:r>
    </w:p>
    <w:p w14:paraId="4CC5CE3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克拉玛依飞创启航旅游有限责任公司（以下简称飞创启航公司），法定代表人：陈**，统一社会信用代码：91650205MABN******；注册地址：新疆克拉玛依市乌尔禾区百口泉白百路*号，成立日期：2022年4月7日。经营范围：升放无人驾驶气球、系留气球；旅游业务；通用航空服务；旅行社服务网点旅游招徕、咨询服务；休闲观光活动；旅游项目策划咨询；游览景区管理；游乐园服务；广告发布；广告制作；广告设计、代理；组织文化艺术交流活动；工艺美术品及礼仪用品销售（象牙及其制品除外）。（除依法须经批准的项目外，凭营业执照依法自主开展经营活动）</w:t>
      </w:r>
    </w:p>
    <w:p w14:paraId="0AE3E01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克拉玛依魔鬼城旅游开发有限责任公司（以下简称魔鬼城公司），法定代表人：李**，统一社会信用代码：916502057344******，注册地址：新疆克拉玛依市乌尔禾区龙脊路**号，成立日期：2021年12月23日。经营范围：景点开发经营；景点内旅客、旅游团队接待；旅游纪念品开发、生产、销售；场地租赁；停车场经营；广告设计、制作、发布及代理；会议及展览服务；文化艺术经纪代理；运输代理服务；项目投资；其他居民服务业。（除依法须经批准的项目外，凭营业执照依法自主开展经营活动）</w:t>
      </w:r>
    </w:p>
    <w:p w14:paraId="3874AE5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新疆纳斯卡航空器材有限公司，法定代表人茹*，企业类型：有限责任公司（自然人独资），统一社会信用代码：916501026864******，注册地址：新疆乌鲁木齐市天山区建设路**号，成立日期：2009年4月3日。经营范围：通用航空服务；旅游业务；民用航空材料销售；广告设计、代理；广告制作；广告发布；摄像及视频制作服务；社会经济咨询服务；业务培训（不含教育培训、职业技能培训等需要取得许可的培训）；休闲观光活动；组织体育表演活动；会议及展览服务。</w:t>
      </w:r>
    </w:p>
    <w:p w14:paraId="2634F5FB">
      <w:pPr>
        <w:pStyle w:val="3"/>
        <w:ind w:firstLine="640"/>
        <w:rPr>
          <w:rFonts w:ascii="Times New Roman" w:hAnsi="Times New Roman" w:cs="Times New Roman"/>
        </w:rPr>
      </w:pPr>
      <w:bookmarkStart w:id="2" w:name="_Toc145407423"/>
      <w:r>
        <w:rPr>
          <w:rFonts w:ascii="Times New Roman" w:hAnsi="Times New Roman" w:cs="Times New Roman"/>
        </w:rPr>
        <w:t>（二）相关合同签订情况</w:t>
      </w:r>
      <w:bookmarkEnd w:id="2"/>
    </w:p>
    <w:p w14:paraId="1121573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1.2022年6月1日，魔鬼城公司与飞创启航公司签订《世界魔鬼城景区低空飞行项目场地租赁合同》，魔鬼城景区将景区重检三停靠站上车区凉亭后方约10000平方米场地租赁给飞创启航公司，飞创启航公司在2022年6月1日至2022年12月31日拥有该场地的经营使用权。</w:t>
      </w:r>
    </w:p>
    <w:p w14:paraId="498A059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2.2022年6月1日，飞创启航公司与纳斯卡公司签订《低空飞行项目场地租赁合同》，就世界魔鬼城景区低空飞行项目场地租赁达成协议，飞创启航公司将景区重检三停靠站上车区凉亭后方约10000平方米场地租赁给纳斯卡公司运营低空飞行项目。</w:t>
      </w:r>
    </w:p>
    <w:p w14:paraId="3A5A3AD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3.2023年3月18日，魔鬼城公司与飞创启航公司签订《世界魔鬼城景区低空飞行项目场地租赁合同》，魔鬼城景区将景区重检三停靠站上车区凉亭后方约10000平方米场地租赁给飞创启航公司，飞创启航公司在租赁期间拥有该场地的经营使用权。</w:t>
      </w:r>
    </w:p>
    <w:p w14:paraId="42DFA7C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《合同》还明确了在合作期间，飞创启航公司负责建设低空飞行项目的建设施工，以及相应的安全提示，确保车辆安全，达到符合营业的标准；魔鬼城公司定期组织飞创启航公司参加安全、服务礼仪培训。</w:t>
      </w:r>
    </w:p>
    <w:p w14:paraId="16A127D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魔鬼城公司与飞创启航公司专门签订了安全协议，协议中规定飞创启航公司作为场地承包人，对经营过程中发生的</w:t>
      </w:r>
      <w:r>
        <w:rPr>
          <w:rFonts w:hint="eastAsia" w:ascii="Times New Roman" w:hAnsi="Times New Roman" w:eastAsia="仿宋_GB2312" w:cs="Times New Roman"/>
          <w:sz w:val="32"/>
          <w:szCs w:val="32"/>
          <w:lang w:val="en-US" w:eastAsia="zh-CN"/>
        </w:rPr>
        <w:t>人身</w:t>
      </w:r>
      <w:r>
        <w:rPr>
          <w:rFonts w:ascii="Times New Roman" w:hAnsi="Times New Roman" w:eastAsia="仿宋_GB2312" w:cs="Times New Roman"/>
          <w:sz w:val="32"/>
          <w:szCs w:val="32"/>
        </w:rPr>
        <w:t>伤害安全事件承担全部安全及赔偿责任的免责内容，该协议无效。</w:t>
      </w:r>
    </w:p>
    <w:p w14:paraId="0606BE3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4.2023年4月15日，飞创启航公司与纳斯卡公司签订《低空飞行项目场地租赁合同</w:t>
      </w:r>
      <w:bookmarkStart w:id="37" w:name="_GoBack"/>
      <w:bookmarkEnd w:id="37"/>
      <w:r>
        <w:rPr>
          <w:rFonts w:ascii="Times New Roman" w:hAnsi="Times New Roman" w:eastAsia="仿宋_GB2312" w:cs="Times New Roman"/>
          <w:sz w:val="32"/>
          <w:szCs w:val="32"/>
        </w:rPr>
        <w:t>》，就世界魔鬼城景区低空飞行项目场地租赁达成协议，飞创启航公司将景区重检三停靠站上车区凉亭后方约10000平方米场地租赁给纳斯卡公司运营低空飞行项目。</w:t>
      </w:r>
    </w:p>
    <w:p w14:paraId="2402E66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同》还明确了纳斯卡公司要严格遵守安全、环保、卫生等部门的管理规定，做好员工安全和岗位培训工作，做好安全检查工作，经营期间因纳斯卡公司原因导致安全、环境责任事故，均由纳斯卡公司承担一切损失及责任。</w:t>
      </w:r>
    </w:p>
    <w:p w14:paraId="405547D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《合同》未明确飞创启航公司、纳斯卡公司各自安全生产职责，也未专门签订安全生产协议界定各自安全生产职责。</w:t>
      </w:r>
    </w:p>
    <w:p w14:paraId="4574C3AB">
      <w:pPr>
        <w:pStyle w:val="3"/>
        <w:ind w:firstLine="640"/>
        <w:rPr>
          <w:rFonts w:hint="eastAsia" w:ascii="楷体_GB2312" w:hAnsi="Times New Roman" w:cs="Times New Roman"/>
        </w:rPr>
      </w:pPr>
      <w:bookmarkStart w:id="3" w:name="_Toc145407424"/>
      <w:r>
        <w:rPr>
          <w:rFonts w:hint="eastAsia" w:ascii="楷体_GB2312" w:hAnsi="Times New Roman" w:cs="Times New Roman"/>
        </w:rPr>
        <w:t>（三）事故动力三角翼基本情况</w:t>
      </w:r>
      <w:bookmarkEnd w:id="3"/>
    </w:p>
    <w:p w14:paraId="1CB7EB8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1.基本情况。事故动力三角翼为澳大利亚生产AIRBOPN XT-912动力悬挂滑翔机，发动机：ROTAX91280，机身序列号：XT-912-0480，发动机序列号：6771801，出厂日期：2018年，2022年7月27日完成中国航空运动协会的动力三角翼单机备案登记，登记号：B-T31004，该动力三角翼最大起飞重量为450Kg，可搭载两人，该飞行器所有权属新疆纳斯卡航空器材有限公司，在中国人民财产保险股份有限公司北京市分公司投保机身一切险及责任保险，保险有效期2023年7月27日。</w:t>
      </w:r>
    </w:p>
    <w:p w14:paraId="2DE1511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2.飞行驾驶员情况。亚森·******为纳斯卡公司动力三角翼飞行驾驶员，2016年4月21日取得动力三角翼飞行驾驶员资质，执照编号：12007。</w:t>
      </w:r>
    </w:p>
    <w:p w14:paraId="2A3F74B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维护保养情况。事故动力三角翼发动机为912系列，该系列发动机维护手册规定为确保持续的适航性，发动机每运行100小时，必须进行检查；翻修时间间隔为2000小时或者15年。2022年8月5日事故动力三角翼完成百小时检修，</w:t>
      </w:r>
      <w:r>
        <w:rPr>
          <w:rFonts w:hint="eastAsia" w:ascii="Times New Roman" w:hAnsi="Times New Roman" w:eastAsia="仿宋_GB2312" w:cs="Times New Roman"/>
          <w:sz w:val="32"/>
          <w:szCs w:val="32"/>
          <w:lang w:val="en-US" w:eastAsia="zh-CN"/>
        </w:rPr>
        <w:t>截至</w:t>
      </w:r>
      <w:r>
        <w:rPr>
          <w:rFonts w:ascii="Times New Roman" w:hAnsi="Times New Roman" w:eastAsia="仿宋_GB2312" w:cs="Times New Roman"/>
          <w:sz w:val="32"/>
          <w:szCs w:val="32"/>
        </w:rPr>
        <w:t>2023年7月12日事故动力三角翼在百小时检修后已运行54小时，通过询问及查询《纳斯卡公司航空检查单》，事故动力三角翼日常维护保养由茹*负责，苟**负责日常记录，记录显示自2023年5月23日至7月12日每个飞行工作日起飞前均进行日常保养和检查。</w:t>
      </w:r>
    </w:p>
    <w:p w14:paraId="2AE725ED">
      <w:pPr>
        <w:pStyle w:val="3"/>
        <w:ind w:firstLine="640"/>
        <w:rPr>
          <w:rFonts w:ascii="Times New Roman" w:hAnsi="Times New Roman" w:cs="Times New Roman"/>
        </w:rPr>
      </w:pPr>
      <w:bookmarkStart w:id="4" w:name="_Toc145407425"/>
      <w:r>
        <w:rPr>
          <w:rFonts w:ascii="Times New Roman" w:cs="Times New Roman"/>
        </w:rPr>
        <w:t>（四）该体育经营项目的审批情况</w:t>
      </w:r>
      <w:bookmarkEnd w:id="4"/>
    </w:p>
    <w:p w14:paraId="708085F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新疆维吾尔自治区体育经营活动管理办法》第五条、第十条第十一条和《新疆维吾尔自治区体育发展条例》第二十八条、第二十九条，2022年7月30日，乌尔禾区文化体育广播电视和旅游局印发《乌尔禾区文化体育旅游局准予行政许可决定书》（乌区文体旅许准字〔2022〕第2号），决定准予吐鲁番纳斯卡航空运动有限公司提出的特种体育经营项目（动力三角翼）行政许可申请，取得新疆维吾尔自治区体育经营许可，有效期至2025年7月30日。</w:t>
      </w:r>
    </w:p>
    <w:p w14:paraId="742A6B2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2022年7月25日，</w:t>
      </w:r>
      <w:r>
        <w:rPr>
          <w:rFonts w:hint="eastAsia" w:ascii="Times New Roman" w:hAnsi="Times New Roman" w:eastAsia="仿宋_GB2312" w:cs="Times New Roman"/>
          <w:sz w:val="32"/>
          <w:szCs w:val="32"/>
          <w:lang w:val="en-US" w:eastAsia="zh-CN"/>
        </w:rPr>
        <w:t>中国</w:t>
      </w:r>
      <w:r>
        <w:rPr>
          <w:rFonts w:ascii="Times New Roman" w:hAnsi="Times New Roman" w:eastAsia="仿宋_GB2312" w:cs="Times New Roman"/>
          <w:sz w:val="32"/>
          <w:szCs w:val="32"/>
        </w:rPr>
        <w:t>人民解放军93***部队参谋部航管气象处签发《乌鲁木齐分区临时空域飞行审批表》，编号25143，同意在2022年7月25日至2022年10月30日，吐鲁番纳斯卡航空运动有限公司使用通航227号空域：N460709E854003-N460703E854827-N460346E854358四点连线范围内；2023年4月7日签发《乌鲁木齐分区临时空域飞行审批表》，编号23168，同意吐鲁番纳斯卡航空运动有限公司使用通航227号空域至2023年9月30日。</w:t>
      </w:r>
    </w:p>
    <w:p w14:paraId="13CA1B8A">
      <w:pPr>
        <w:pStyle w:val="3"/>
        <w:ind w:firstLine="640"/>
        <w:rPr>
          <w:rFonts w:ascii="Times New Roman" w:hAnsi="Times New Roman" w:eastAsia="仿宋_GB2312" w:cs="Times New Roman"/>
        </w:rPr>
      </w:pPr>
      <w:bookmarkStart w:id="5" w:name="_Toc145407426"/>
      <w:r>
        <w:rPr>
          <w:rFonts w:ascii="Times New Roman" w:hAnsi="Times New Roman" w:eastAsia="仿宋_GB2312" w:cs="Times New Roman"/>
        </w:rPr>
        <w:t>（五）事故相关单位安全管理情况</w:t>
      </w:r>
      <w:bookmarkEnd w:id="5"/>
    </w:p>
    <w:p w14:paraId="10ED5D1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1.吐鲁番纳斯卡航空运动有限公司</w:t>
      </w:r>
    </w:p>
    <w:p w14:paraId="441D93C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未建立全员安全生产责任制，安全管理制度和操作规程照抄照搬不符合自身实际，未建立健全并落实安全风险分级管控和隐患排查治理制度，未对魔鬼城景区气象因素影响安全飞行进行风险辨识，未制定相应管控措施；未制定飞行《设施运行和维护保养制度》，事故动力三角翼2022年7月27日完成中国航空运动协会的动力三角翼单机备案登记，符合《动力三角翼运动器材管理要求》4.4.1</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0"/>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，制定了《纳斯卡公司航空检查单》，开展日常动力三角翼日常维护保养，2023年4月29日至7月12日每个飞行工作日起飞前均进行日常保养和检查，未按照《动力三角翼运动人员管理要求》8.2.1</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，配备维修员；未按照《动力悬挂滑翔运动管理办法》第二十四条</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2"/>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制定《禁飞规定》制度，气象信息仅通过天气预报获得，现场未配备风速测量设备，飞行场地实时风速通过观察风向标预测；未制定2023年安全生产教育和培训计划，未对新员工苟**开展三级安全教育；应急预案未结合实际，可操作性不强，未组织开展应急演练；在售票处设置告知牌，向观光游客做出风险提示和警示说明。</w:t>
      </w:r>
    </w:p>
    <w:p w14:paraId="21A971F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2023年4月10日组织开展安全教育培训，授课人茹*，亚森·******、苟**参加，时长2h，培训主要内容为外场作业工作程序、外场作业注意事项、外场作业维修要求、外场作业起降场地周边情况及障碍物分布情况及应急处置相关要求；5月23日开始每日对动力三角翼进行检查，主要检查机翼、机身、发动机、仪表、起落架、通讯设备完好情况。</w:t>
      </w:r>
    </w:p>
    <w:p w14:paraId="6992AA3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2.克拉玛依飞创启航旅游有限公司</w:t>
      </w:r>
    </w:p>
    <w:p w14:paraId="1D2D28A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制定全员安全生产责任制，制定了安全事故隐患排查治理制度、安全培训制度，2023年5月14日组织开展安全教育培训，授课人张**，茹*、张**等8人参加，下发《关于加强近期运行安全的安全警示》，传达学习7月8日内蒙古呼伦贝尔动力三角翼事故，对近期工作提出具体要求。</w:t>
      </w:r>
    </w:p>
    <w:p w14:paraId="3321A5F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3.克拉玛依魔鬼城旅游开发有限责任公司</w:t>
      </w:r>
    </w:p>
    <w:p w14:paraId="151CFD6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魔鬼城旅游开发有限责任公司成立了安全生产委员会，建立了《安全培训制度》《应急预案管理和演练制度》《安全事故隐患排查治理制度》《安全风险分级标准及管控办法》等安全管理制度；明确了各岗位的安全生产责任，每季度和重大节假日均开展了安全生产专项检查。制定全年教育培训计划，计划4月、5月、9月、12月组织景区商铺、承包商及项目运营单位开展安全培训，4月、5月已组织安全培训，未将飞创启航公司、纳斯卡公司员工纳入其中。</w:t>
      </w:r>
    </w:p>
    <w:p w14:paraId="05AB3D58">
      <w:p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2023年7月12日，魔鬼城公司安委会已召开7次安委会例会，学习法律法规、典型事故案例、分析景区安全风险及部署景区安全生产工作，第5次安委会例会部署要求景区重检三飞行营地要制定专项应急预案；2023年魔鬼城公司对纳斯卡公司共开展8次安全检查，未发现安全隐患，魔鬼城公司安全日志中安全检查表内容中不涉及动力三角翼项目安全检查内容。</w:t>
      </w:r>
    </w:p>
    <w:p w14:paraId="219504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制定景区综合应急预案，突发自然灾害、高温天气、有限空间作业、观光小火车、高处坠落（主要针对三处观光台）等专项应急预案，未按照《应急预案管理和演练制度》制定低空飞行项目专项应急预案。</w:t>
      </w:r>
    </w:p>
    <w:p w14:paraId="426DE65C">
      <w:pPr>
        <w:pStyle w:val="3"/>
        <w:ind w:firstLine="640"/>
        <w:rPr>
          <w:rFonts w:ascii="Times New Roman" w:hAnsi="Times New Roman" w:cs="Times New Roman"/>
        </w:rPr>
      </w:pPr>
      <w:bookmarkStart w:id="6" w:name="_Toc145407427"/>
      <w:r>
        <w:rPr>
          <w:rFonts w:ascii="Times New Roman" w:cs="Times New Roman"/>
        </w:rPr>
        <w:t>（六）监管部门履职情况</w:t>
      </w:r>
      <w:bookmarkEnd w:id="6"/>
    </w:p>
    <w:p w14:paraId="5B641142">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1.柳树街街道办事处</w:t>
      </w:r>
    </w:p>
    <w:p w14:paraId="2E313C1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柳树街街道办事处成立以党工委书记、副主任和党工委副书记、主任为双主任的安委会，制定了2023年全年重点工作实施方案。与魔鬼城公司签订《乌尔禾区柳树街街道辖区企业安全生产风险点确认书》，告知景区安全风险点和明确安全管控措施，其中明确要重点做好动力三角翼安全管理工作；每月组织召开辖区企业例会，分析辖区安全生产形势部署下阶段安全生产工作，其中3月14日、6月14日例会魔鬼城公司参加；6月21日联合区文化体育广播电视和旅游局对魔鬼城景区低空飞行项目进行安全检查，6月26日柳树街街道办事处分管领导带队对魔鬼城景区开展安全检查，要求魔鬼城景区要加强对景区内所有经营单位安全检查，7月8日联合区公安分局、派出所对魔鬼城景区小火车、低空飞行、越野钢管车开展安全检查。</w:t>
      </w:r>
    </w:p>
    <w:p w14:paraId="0C6EEF42">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2.乌尔禾区文化体育广播电视和旅游局（以下简称区文旅局）</w:t>
      </w:r>
    </w:p>
    <w:p w14:paraId="2DF8076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区文旅局3月2日、6月19日组织召开区文体旅游专业委员会风险研判会，传达学习各级关于安全生产工作要求，部署文体旅游专业委员会重点工作；</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2023年7月12日，区文旅局2023年对魔鬼城景区开展安全检查12次，检查动力三角翼飞行项目2次，未发现动力三角翼项目安全隐患。</w:t>
      </w:r>
    </w:p>
    <w:p w14:paraId="1051C9B6">
      <w:pPr>
        <w:pStyle w:val="3"/>
        <w:ind w:firstLine="640"/>
        <w:rPr>
          <w:rFonts w:ascii="Times New Roman" w:hAnsi="Times New Roman" w:cs="Times New Roman"/>
        </w:rPr>
      </w:pPr>
      <w:bookmarkStart w:id="7" w:name="_Toc145407428"/>
      <w:r>
        <w:rPr>
          <w:rFonts w:ascii="Times New Roman" w:hAnsi="Times New Roman" w:cs="Times New Roman"/>
        </w:rPr>
        <w:t>（七）事故发生经过</w:t>
      </w:r>
      <w:bookmarkEnd w:id="7"/>
    </w:p>
    <w:p w14:paraId="1D6C9B5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2023年7月12日14时02分50秒，刘**在其母亲的陪同下一行4人乘坐青AP3U11商务车到达世界魔鬼城景区观光旅游。</w:t>
      </w:r>
    </w:p>
    <w:p w14:paraId="7BBAAA8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14时53分25秒刘**与其母亲进入魔鬼城景区售票大厅。</w:t>
      </w:r>
    </w:p>
    <w:p w14:paraId="6CB1D68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14时56分16秒到</w:t>
      </w:r>
      <w:r>
        <w:rPr>
          <w:rFonts w:hint="eastAsia" w:ascii="Times New Roman" w:hAnsi="Times New Roman" w:eastAsia="仿宋_GB2312" w:cs="Times New Roman"/>
          <w:sz w:val="32"/>
          <w:szCs w:val="32"/>
          <w:lang w:val="en-US" w:eastAsia="zh-CN"/>
        </w:rPr>
        <w:t>自助</w:t>
      </w:r>
      <w:r>
        <w:rPr>
          <w:rFonts w:ascii="Times New Roman" w:hAnsi="Times New Roman" w:eastAsia="仿宋_GB2312" w:cs="Times New Roman"/>
          <w:sz w:val="32"/>
          <w:szCs w:val="32"/>
        </w:rPr>
        <w:t>取票机取票。</w:t>
      </w:r>
    </w:p>
    <w:p w14:paraId="291965C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14时57分57秒到景区小火车安检口检票。</w:t>
      </w:r>
    </w:p>
    <w:p w14:paraId="451D1C6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15时17分52秒乘坐景区42号小火车出发游览。</w:t>
      </w:r>
    </w:p>
    <w:p w14:paraId="76BE554E">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15时30分33秒小火车到达景区重检三停靠点，刘**与其母亲随即下车前往飞行体验区。</w:t>
      </w:r>
    </w:p>
    <w:p w14:paraId="0E7D8AB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15时40分10秒刘**登上由亚森·******驾驶员驾驶的动力三角翼。</w:t>
      </w:r>
    </w:p>
    <w:p w14:paraId="02D827D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15时41分1秒动力三角翼飞行器前往跑道顺利起飞。</w:t>
      </w:r>
    </w:p>
    <w:p w14:paraId="3D1E82F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15时49分30秒动力三角翼飞行器在景区油田公司废弃重J-3井区1#平台上空突然发生倾斜滚转急剧下坠。</w:t>
      </w:r>
    </w:p>
    <w:p w14:paraId="5B669EA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15时49分40秒动力三角翼飞行器坠落景区内</w:t>
      </w:r>
      <w:r>
        <w:rPr>
          <w:rFonts w:ascii="Times New Roman" w:hAnsi="Times New Roman" w:eastAsia="仿宋_GB2312" w:cs="Times New Roman"/>
          <w:bCs/>
          <w:sz w:val="32"/>
          <w:szCs w:val="32"/>
        </w:rPr>
        <w:t>田公司废弃重J-3井区1#平台上东北侧24m处</w:t>
      </w:r>
      <w:r>
        <w:rPr>
          <w:rFonts w:ascii="Times New Roman" w:hAnsi="Times New Roman" w:eastAsia="仿宋_GB2312" w:cs="Times New Roman"/>
          <w:sz w:val="32"/>
          <w:szCs w:val="32"/>
        </w:rPr>
        <w:t>。</w:t>
      </w:r>
    </w:p>
    <w:p w14:paraId="3C2ACE2A">
      <w:pPr>
        <w:pStyle w:val="3"/>
        <w:ind w:firstLine="640"/>
        <w:rPr>
          <w:rFonts w:ascii="Times New Roman" w:hAnsi="Times New Roman" w:eastAsia="仿宋_GB2312" w:cs="Times New Roman"/>
        </w:rPr>
      </w:pPr>
      <w:bookmarkStart w:id="8" w:name="_Toc145407429"/>
      <w:r>
        <w:rPr>
          <w:rFonts w:ascii="Times New Roman" w:hAnsi="Times New Roman" w:eastAsia="仿宋_GB2312" w:cs="Times New Roman"/>
        </w:rPr>
        <w:t>（八）事故现场情况</w:t>
      </w:r>
      <w:bookmarkEnd w:id="8"/>
    </w:p>
    <w:p w14:paraId="2C6AFB7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1.事故现场勘验情况</w:t>
      </w:r>
    </w:p>
    <w:p w14:paraId="45519C7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现场位于世界魔鬼城景区油田公司废弃重J-3井区1#平台东北侧（纬度46.12364416：经度：85.73073949），海拔约268m，现场发现坠落动力三角翼，动力三角翼机头朝东南方向，西南侧为废弃抽油机，其他三面均为戈壁滩，动力三角翼发动机、座椅基本完好，座舱壁破裂，仪表盘脱落，驾驶人员和游客在座舱座位上，受到比较严重伤害，右起落架严重断裂，右轮滑出距动力三角翼发动机西南方向18m处，左起落架不同程度弯曲，左轮和前轮完好，螺旋桨不同程度断裂，3-1和3-2号螺旋桨根部断裂，3-3螺旋桨根部约24cm处断裂，以动力三角翼发动机为中心的东北侧14m内散落，横向操纵杆弯曲缠绕在机翼主梁，操作杆左侧连杆断裂，机翼右侧前沿管端部1m处断裂，斜支撑杆弯曲，机翼翼布基本完好，所有张线基本完好，机翼肋管基本完好，机翼悬挂连接点、张线连接点及悬挂钢索基本完好。</w:t>
      </w:r>
    </w:p>
    <w:p w14:paraId="315940C6">
      <w:pPr>
        <w:ind w:firstLine="640" w:firstLineChars="200"/>
        <w:rPr>
          <w:rFonts w:ascii="Times New Roman" w:hAnsi="Times New Roman" w:eastAsia="FangSong_GB2312" w:cs="Times New Roman"/>
          <w:sz w:val="32"/>
          <w:szCs w:val="32"/>
        </w:rPr>
      </w:pPr>
      <w:r>
        <w:rPr>
          <w:rFonts w:ascii="Times New Roman" w:hAnsi="Times New Roman" w:eastAsia="FangSong_GB2312" w:cs="Times New Roman"/>
          <w:sz w:val="32"/>
          <w:szCs w:val="32"/>
        </w:rPr>
        <w:drawing>
          <wp:inline distT="0" distB="0" distL="0" distR="0">
            <wp:extent cx="5029200" cy="3438525"/>
            <wp:effectExtent l="19050" t="0" r="0" b="0"/>
            <wp:docPr id="1" name="图片 0" descr="1-1-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0" descr="1-1-1- (2).jpg"/>
                    <pic:cNvPicPr>
                      <a:picLocks noChangeAspect="1"/>
                    </pic:cNvPicPr>
                  </pic:nvPicPr>
                  <pic:blipFill>
                    <a:blip r:embed="rId6" cstate="print"/>
                    <a:stretch>
                      <a:fillRect/>
                    </a:stretch>
                  </pic:blipFill>
                  <pic:spPr>
                    <a:xfrm>
                      <a:off x="0" y="0"/>
                      <a:ext cx="5033252" cy="3441295"/>
                    </a:xfrm>
                    <a:prstGeom prst="rect">
                      <a:avLst/>
                    </a:prstGeom>
                  </pic:spPr>
                </pic:pic>
              </a:graphicData>
            </a:graphic>
          </wp:inline>
        </w:drawing>
      </w:r>
    </w:p>
    <w:p w14:paraId="50E0AED9">
      <w:pPr>
        <w:ind w:firstLine="640" w:firstLineChars="200"/>
        <w:jc w:val="center"/>
        <w:rPr>
          <w:rFonts w:ascii="Times New Roman" w:hAnsi="Times New Roman" w:eastAsia="FangSong_GB2312" w:cs="Times New Roman"/>
          <w:sz w:val="32"/>
          <w:szCs w:val="32"/>
        </w:rPr>
      </w:pPr>
      <w:r>
        <w:rPr>
          <w:rFonts w:ascii="Times New Roman" w:hAnsi="Times New Roman" w:eastAsia="FangSong_GB2312" w:cs="Times New Roman"/>
          <w:sz w:val="32"/>
          <w:szCs w:val="32"/>
        </w:rPr>
        <w:t>图1： 事故现场图</w:t>
      </w:r>
    </w:p>
    <w:p w14:paraId="0163DC12">
      <w:pPr>
        <w:pStyle w:val="3"/>
        <w:ind w:firstLine="640"/>
        <w:rPr>
          <w:rFonts w:ascii="Times New Roman" w:hAnsi="Times New Roman" w:cs="Times New Roman"/>
        </w:rPr>
      </w:pPr>
      <w:bookmarkStart w:id="9" w:name="_Toc145407430"/>
      <w:r>
        <w:rPr>
          <w:rFonts w:ascii="Times New Roman" w:hAnsi="Times New Roman" w:cs="Times New Roman"/>
        </w:rPr>
        <w:t>（九）人员伤亡和直接经济损失情况</w:t>
      </w:r>
      <w:bookmarkEnd w:id="9"/>
    </w:p>
    <w:p w14:paraId="13C018D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共造成动力三角翼飞行器驾驶员和乘坐观光游客2人死亡，动力三角翼飞行器严重损坏。经评估，事故造成直接经济损失约290.8514万元。（一次性工亡补助金98.566万元、丧葬抚恤162.2854万元、财产损失价值30万元）。</w:t>
      </w:r>
    </w:p>
    <w:p w14:paraId="762339B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伤亡人员情况：（1）亚森·******，男，维吾尔族，身份证号：652101198705******，家庭住址：新疆吐鲁番市二堡乡阔纳协海尔村；（2）刘**，男，汉族，身份证号：370503201208******，家庭住址：山东省东营市东营区滨河北路。</w:t>
      </w:r>
    </w:p>
    <w:p w14:paraId="3FD04B2E">
      <w:pPr>
        <w:pStyle w:val="3"/>
        <w:ind w:firstLine="640"/>
        <w:rPr>
          <w:rFonts w:ascii="Times New Roman" w:hAnsi="Times New Roman" w:cs="Times New Roman"/>
        </w:rPr>
      </w:pPr>
      <w:bookmarkStart w:id="10" w:name="_Toc145407431"/>
      <w:r>
        <w:rPr>
          <w:rFonts w:ascii="Times New Roman" w:hAnsi="Times New Roman" w:cs="Times New Roman"/>
        </w:rPr>
        <w:t>（十）其他情况</w:t>
      </w:r>
      <w:bookmarkEnd w:id="10"/>
    </w:p>
    <w:p w14:paraId="4E70016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1.气象情况</w:t>
      </w:r>
    </w:p>
    <w:p w14:paraId="2AF55C65">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据克拉玛依市气象局气象资料：2023年7月12日全天乌尔禾区世界魔鬼城景区晴，平均气温28.1℃，最大风速风力5级，</w:t>
      </w:r>
      <w:r>
        <w:rPr>
          <w:rFonts w:ascii="Times New Roman" w:hAnsi="Times New Roman" w:eastAsia="仿宋_GB2312" w:cs="Times New Roman"/>
          <w:bCs/>
          <w:sz w:val="32"/>
          <w:szCs w:val="32"/>
        </w:rPr>
        <w:t>最大风速8.7(m/s)</w:t>
      </w:r>
      <w:r>
        <w:rPr>
          <w:rFonts w:ascii="Times New Roman" w:hAnsi="Times New Roman" w:eastAsia="仿宋_GB2312" w:cs="Times New Roman"/>
          <w:sz w:val="32"/>
          <w:szCs w:val="32"/>
        </w:rPr>
        <w:t>；15</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16时，平均气温34.6℃，最大风速风力2级，</w:t>
      </w:r>
      <w:r>
        <w:rPr>
          <w:rFonts w:ascii="Times New Roman" w:hAnsi="Times New Roman" w:eastAsia="仿宋_GB2312" w:cs="Times New Roman"/>
          <w:bCs/>
          <w:sz w:val="32"/>
          <w:szCs w:val="32"/>
        </w:rPr>
        <w:t>最大风速2.8(m/s)，</w:t>
      </w:r>
      <w:r>
        <w:rPr>
          <w:rFonts w:ascii="Times New Roman" w:hAnsi="Times New Roman" w:eastAsia="仿宋_GB2312" w:cs="Times New Roman"/>
          <w:sz w:val="32"/>
          <w:szCs w:val="32"/>
        </w:rPr>
        <w:t>能见度大于10公里。</w:t>
      </w:r>
    </w:p>
    <w:p w14:paraId="4E6A2F1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2.视频监控情况</w:t>
      </w:r>
    </w:p>
    <w:p w14:paraId="3A83A82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（1）世界魔鬼城景区停车场向西硬盘录像机6（24）视频录像，动力三角翼于7月12日15时49分30秒突然斜滚转后螺旋式急剧下降。</w:t>
      </w:r>
    </w:p>
    <w:p w14:paraId="1E13EB0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刘**手机录像视频，动力三角翼空中飞行状态稳定，发动力工作良好，净空无其他障碍物，飞行过程中于7月12日15点49分30秒突然大坡度倾斜滚转失去控制螺旋翻转下降，15点49分38秒坠落地面，在15点49分33秒时清晰听到驾驶员加大油门发动机轰鸣声。</w:t>
      </w:r>
    </w:p>
    <w:p w14:paraId="7F55BFA4">
      <w:pPr>
        <w:pStyle w:val="2"/>
        <w:ind w:firstLine="640"/>
        <w:rPr>
          <w:rFonts w:ascii="Times New Roman" w:hAnsi="Times New Roman" w:cs="Times New Roman"/>
          <w:szCs w:val="32"/>
        </w:rPr>
      </w:pPr>
      <w:bookmarkStart w:id="11" w:name="_Toc145407432"/>
      <w:r>
        <w:rPr>
          <w:rFonts w:ascii="Times New Roman" w:hAnsi="Times New Roman" w:cs="Times New Roman"/>
          <w:szCs w:val="32"/>
        </w:rPr>
        <w:t>二、事故应急处置及评估情况</w:t>
      </w:r>
      <w:bookmarkEnd w:id="11"/>
    </w:p>
    <w:p w14:paraId="6DC56998">
      <w:pPr>
        <w:pStyle w:val="3"/>
        <w:ind w:firstLine="640"/>
        <w:rPr>
          <w:rFonts w:ascii="Times New Roman" w:hAnsi="Times New Roman" w:cs="Times New Roman"/>
        </w:rPr>
      </w:pPr>
      <w:bookmarkStart w:id="12" w:name="_Toc145407433"/>
      <w:r>
        <w:rPr>
          <w:rFonts w:ascii="Times New Roman" w:hAnsi="Times New Roman" w:cs="Times New Roman"/>
        </w:rPr>
        <w:t>（一）事故信息接报情况</w:t>
      </w:r>
      <w:bookmarkEnd w:id="12"/>
    </w:p>
    <w:p w14:paraId="42839ED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7月12日16时30分许，区应急管理局副局长王*接</w:t>
      </w:r>
      <w:r>
        <w:rPr>
          <w:rFonts w:hint="eastAsia" w:ascii="Times New Roman" w:hAnsi="Times New Roman" w:eastAsia="仿宋_GB2312" w:cs="Times New Roman"/>
          <w:sz w:val="32"/>
          <w:szCs w:val="32"/>
          <w:lang w:val="en-US" w:eastAsia="zh-CN"/>
        </w:rPr>
        <w:t>区委</w:t>
      </w:r>
      <w:r>
        <w:rPr>
          <w:rFonts w:ascii="Times New Roman" w:hAnsi="Times New Roman" w:eastAsia="仿宋_GB2312" w:cs="Times New Roman"/>
          <w:sz w:val="32"/>
          <w:szCs w:val="32"/>
        </w:rPr>
        <w:t>政法委指挥中心干部张*电话通报，16时31分许，区应急管理局综合行政执法大队干部武*向区人民政府办公室报告相关情况，政府办接报后，立即向区领导汇报并通知相关单位，同步向区委办公室报告事故情况，17点36分许，区应急管理局张**通过办公平台向市应急管理局信息员报送事故信息，18点57分许，区应急管理局张**通过办公平台向市应急管理局信息员续报事故信息。</w:t>
      </w:r>
    </w:p>
    <w:p w14:paraId="07918DB7">
      <w:pPr>
        <w:pStyle w:val="3"/>
        <w:ind w:firstLine="640"/>
        <w:rPr>
          <w:rFonts w:ascii="Times New Roman" w:hAnsi="Times New Roman" w:cs="Times New Roman"/>
        </w:rPr>
      </w:pPr>
      <w:bookmarkStart w:id="13" w:name="_Toc145407434"/>
      <w:r>
        <w:rPr>
          <w:rFonts w:ascii="Times New Roman" w:hAnsi="Times New Roman" w:cs="Times New Roman"/>
        </w:rPr>
        <w:t>（二）事故应急救援情况</w:t>
      </w:r>
      <w:bookmarkEnd w:id="13"/>
    </w:p>
    <w:p w14:paraId="23A61E9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月12日15时55分许，飞创启航公司张**、张**赶到飞机坠落地点，15时56分许张**拨打120，张**前往景区自驾游入口疏散车辆准备引导120救护车，随即向魔鬼城景区副总经理丁**汇报情况，16时12分许、16时19分许，第三人民医院两辆救护车先后到达事故现场，医护人员对伤者进行紧急救治后送往第三人民医院，16时17分许，魔鬼城景区丁**和景区警务站警员赶到事故现场，帮忙维持现场秩序和引导救护车，区委书记薛**、区委副书记、区长刘*第一时间指挥调度救援工作，16时32分许，赶往第三人民医院，要求不惜一切代价救治受伤人员，16时40分许，区委常委、政法委书记宋**带领区应急管理局、区公安分局、区消防救援大队等部门负责人员赶赴事故现场，开展应急处置工作，防止次生事故发生。</w:t>
      </w:r>
    </w:p>
    <w:p w14:paraId="31CE00F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伤者亚森·******于7月12日17时06分经克拉玛依市第三人民医院抢救无效宣布死亡；伤者刘**于7月12日17时08分经克拉玛依市第三人民医院抢救无效宣布死亡。</w:t>
      </w:r>
    </w:p>
    <w:p w14:paraId="51ADF1A5">
      <w:pPr>
        <w:pStyle w:val="3"/>
        <w:ind w:firstLine="640"/>
        <w:rPr>
          <w:rFonts w:ascii="Times New Roman" w:hAnsi="Times New Roman" w:eastAsia="仿宋_GB2312" w:cs="Times New Roman"/>
        </w:rPr>
      </w:pPr>
      <w:bookmarkStart w:id="14" w:name="_Toc145407435"/>
      <w:r>
        <w:rPr>
          <w:rFonts w:ascii="Times New Roman" w:hAnsi="Times New Roman" w:eastAsia="仿宋_GB2312" w:cs="Times New Roman"/>
        </w:rPr>
        <w:t>（二）事故应急处置评估</w:t>
      </w:r>
      <w:bookmarkEnd w:id="14"/>
    </w:p>
    <w:p w14:paraId="469D5D5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发生后，区委、区政府领导高度重视，第一时间赶到现场了解情况，现场指挥调度。区政府相关部门立即开展了应急处置及协调指导善后处理工作。从本起事故应急救援处置总体情况看，事故信息上报及时，应急响应迅速，现场处置科学。目前，善后处理工作已经结束，死伤家属及亲友情绪稳定。</w:t>
      </w:r>
    </w:p>
    <w:p w14:paraId="2D42E92E">
      <w:pPr>
        <w:pStyle w:val="2"/>
        <w:ind w:firstLine="640"/>
        <w:rPr>
          <w:rFonts w:ascii="Times New Roman" w:hAnsi="Times New Roman" w:cs="Times New Roman"/>
          <w:szCs w:val="32"/>
        </w:rPr>
      </w:pPr>
      <w:bookmarkStart w:id="15" w:name="_Toc145407436"/>
      <w:r>
        <w:rPr>
          <w:rFonts w:ascii="Times New Roman" w:hAnsi="Times New Roman" w:cs="Times New Roman"/>
          <w:szCs w:val="32"/>
        </w:rPr>
        <w:t>三、事故原因分析</w:t>
      </w:r>
      <w:bookmarkEnd w:id="15"/>
    </w:p>
    <w:p w14:paraId="092FE10D">
      <w:pPr>
        <w:pStyle w:val="3"/>
        <w:ind w:firstLine="640"/>
        <w:rPr>
          <w:rFonts w:ascii="Times New Roman" w:hAnsi="Times New Roman" w:cs="Times New Roman"/>
        </w:rPr>
      </w:pPr>
      <w:bookmarkStart w:id="16" w:name="_Toc145407437"/>
      <w:r>
        <w:rPr>
          <w:rFonts w:ascii="Times New Roman" w:hAnsi="Times New Roman" w:cs="Times New Roman"/>
        </w:rPr>
        <w:t>（一）事故直接原因</w:t>
      </w:r>
      <w:bookmarkEnd w:id="16"/>
    </w:p>
    <w:p w14:paraId="69C843B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事故直接原因是</w:t>
      </w:r>
      <w:r>
        <w:rPr>
          <w:rFonts w:ascii="Times New Roman" w:hAnsi="Times New Roman" w:eastAsia="仿宋_GB2312" w:cs="Times New Roman"/>
          <w:bCs/>
          <w:sz w:val="32"/>
          <w:szCs w:val="32"/>
        </w:rPr>
        <w:t>：局部偶发性强气流干扰</w:t>
      </w:r>
      <w:r>
        <w:rPr>
          <w:rFonts w:ascii="Times New Roman" w:hAnsi="Times New Roman" w:eastAsia="仿宋_GB2312" w:cs="Times New Roman"/>
          <w:sz w:val="32"/>
          <w:szCs w:val="32"/>
        </w:rPr>
        <w:t>造成三角翼飞行器大坡度倾斜滚转后螺旋式急剧下降坠落。</w:t>
      </w:r>
    </w:p>
    <w:p w14:paraId="56FCC9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事故原因分析：根据现场勘验情况、查看资料、调取监控视频和飞行体验游客手机视频及当日气象条件综合分析，事故动力三角翼日常维护要求符合相关规定，净空良好无障碍物，符合动力三角翼起飞条件，事故发生当日已完成3架次的飞行作业任务，运行时长约30分钟，动力三角翼发动机工作状态良好，飞行驾驶员飞行过程中操作规范，动力三角翼飞行器在飞行过程中突然发生大坡度倾斜滚转后螺旋式下坠，事故调查组专家认定为局部偶发性强气流造成动力三角翼大坡度倾斜失重，随即滚转后螺旋式急剧下坠。</w:t>
      </w:r>
    </w:p>
    <w:p w14:paraId="68DFC9C2">
      <w:pPr>
        <w:pStyle w:val="3"/>
        <w:ind w:firstLine="640"/>
        <w:rPr>
          <w:rFonts w:ascii="Times New Roman" w:hAnsi="Times New Roman" w:cs="Times New Roman"/>
        </w:rPr>
      </w:pPr>
      <w:bookmarkStart w:id="17" w:name="_Toc145407438"/>
      <w:r>
        <w:rPr>
          <w:rFonts w:ascii="Times New Roman" w:hAnsi="Times New Roman" w:cs="Times New Roman"/>
        </w:rPr>
        <w:t>（二）事故间接原因</w:t>
      </w:r>
      <w:bookmarkEnd w:id="17"/>
    </w:p>
    <w:p w14:paraId="1E3B5B6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纳斯卡公司《世界魔鬼城景区低空飞行项目可行性论证报告》未进行安全风险分析及制定相应管控措施、未明确项目是否可行、未进行专家论证；未建立全员安全生产责任制，安全管理制度和操作规程照抄照搬不符合自身实际，未建立健全并落实安全风险分级管控和隐患排查治理制度；未制定《设施运行和维护保养制度》《禁飞规定》《隐患排查治理》等安全管理制度，未配置维修员，未设置地面风速测量设备，未制定符合自身实际</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应急演练，并开展应急演练，未组织新员工入职三级教育。</w:t>
      </w:r>
    </w:p>
    <w:p w14:paraId="5D1BFF6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2.克拉玛依魔鬼城旅游开发有限责任公司违反《中华人民共和国安全生产法》第四十九条第一款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3"/>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要求，将魔鬼城景区重检三停靠站上车区凉亭后10000平方米场地出租给不具备《新疆维吾尔自治区体育发展条例》第二十九条</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4"/>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规定条件的飞创启航公司，运营《新疆维吾尔自治区体育发展条例》第二十八条第一款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5"/>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规定的两翼观光飞机特殊体育项目；违反《中华人民共和国安全生产法》第四十九条第二款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6"/>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要求，对生产经营场地承租单位飞创启航公司、纳斯卡公司的安全生产工作统一协调、管理不到位，对纳斯卡公司安全管理制度和操作规程不健全，安全教育培训不到位，安全风险分级管控和隐患排查治理不到位，安全管理存在漏洞的情况，在日常安全检查中未能发现；未组织飞创启航公司、纳斯卡公司员工开展安全教育培训。</w:t>
      </w:r>
    </w:p>
    <w:p w14:paraId="77903ED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3.克拉玛依飞创启航旅游有限公司违反《中华人民共和国安全生产法》第四十九条第二款要求，对生产经营场地承租单位吐鲁番纳斯卡航空运动有限公司的安全生产工作统一协调、管理不到位。</w:t>
      </w:r>
    </w:p>
    <w:p w14:paraId="058A136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4.区文旅局未严格按照《新疆维吾尔自治区体育经营活动管理办法》第十一条第三项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7"/>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要求，严格落实动力三角翼项目审批事项审查，未发现纳斯卡公司《世界魔鬼城景区低空飞行项目可行性论证报告》缺少安全风险分析及制定相应管控措施、项目是否可行结论、专家论证等问题。</w:t>
      </w:r>
    </w:p>
    <w:p w14:paraId="03F81874">
      <w:pPr>
        <w:pStyle w:val="2"/>
        <w:ind w:firstLine="640"/>
        <w:rPr>
          <w:rFonts w:ascii="Times New Roman" w:hAnsi="Times New Roman" w:cs="Times New Roman"/>
          <w:szCs w:val="32"/>
        </w:rPr>
      </w:pPr>
      <w:bookmarkStart w:id="18" w:name="_Toc145407439"/>
      <w:r>
        <w:rPr>
          <w:rFonts w:ascii="Times New Roman" w:hAnsi="Times New Roman" w:cs="Times New Roman"/>
          <w:szCs w:val="32"/>
        </w:rPr>
        <w:t>四、有关责任单位存在的主要问题</w:t>
      </w:r>
      <w:bookmarkEnd w:id="18"/>
    </w:p>
    <w:p w14:paraId="66F5AA74">
      <w:pPr>
        <w:pStyle w:val="3"/>
        <w:ind w:firstLine="640"/>
        <w:rPr>
          <w:rFonts w:ascii="Times New Roman" w:hAnsi="Times New Roman" w:cs="Times New Roman"/>
        </w:rPr>
      </w:pPr>
      <w:bookmarkStart w:id="19" w:name="_Toc145407440"/>
      <w:r>
        <w:rPr>
          <w:rFonts w:ascii="Times New Roman" w:hAnsi="Times New Roman" w:cs="Times New Roman"/>
        </w:rPr>
        <w:t>（一）事故有关企业主要问题</w:t>
      </w:r>
      <w:bookmarkEnd w:id="19"/>
    </w:p>
    <w:p w14:paraId="736930FD">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1.吐鲁番纳斯卡航空运动有限公司</w:t>
      </w:r>
    </w:p>
    <w:p w14:paraId="03E8EE8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纳斯卡公司《世界魔鬼城景区低空飞行项目可行性论证报告》中未进行安全风险分析及制定相应管控措施、未明确项目是否可行、未进行专家论证；违反《中华人民共和国安全生产法》第四条第一款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8"/>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、第二十八条第一款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9"/>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要求，未建立全员安全生产责任制，安全管理制度和操作规程照抄照搬不符合自身实际，未建立健全并落实安全风险分级管控和隐患排查治理制度，未制定安全生产教育和培训计划，对新员工苟**未组织开展三级培训教育，动力三角翼维护保养人员未按照《动力三角翼运动飞行人员管理要求》T/ASFC 1002—2020取</w:t>
      </w:r>
      <w:r>
        <w:rPr>
          <w:rFonts w:hint="eastAsia" w:ascii="Times New Roman" w:hAnsi="Times New Roman" w:eastAsia="仿宋_GB2312" w:cs="Times New Roman"/>
          <w:sz w:val="32"/>
          <w:szCs w:val="32"/>
          <w:lang w:val="en-US" w:eastAsia="zh-CN"/>
        </w:rPr>
        <w:t>得</w:t>
      </w:r>
      <w:r>
        <w:rPr>
          <w:rFonts w:ascii="Times New Roman" w:hAnsi="Times New Roman" w:eastAsia="仿宋_GB2312" w:cs="Times New Roman"/>
          <w:sz w:val="32"/>
          <w:szCs w:val="32"/>
        </w:rPr>
        <w:t>维修员资质，未按照《动力悬挂滑翔运动管理办法》第二十四条第一项要求，配备手持测风仪器，仅通过观察地面风向标判断风速大小。</w:t>
      </w:r>
    </w:p>
    <w:p w14:paraId="590137B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2.克拉玛依飞创启航旅游有限公司</w:t>
      </w:r>
    </w:p>
    <w:p w14:paraId="51DDA64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违反《中华人民共和国安全生产法》第四十九条第二款</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0"/>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要求，与纳斯卡公司签订《世界魔鬼城景区动力三角翼项目合作协议》中没有明确各自安全职责，也未签订专门的安全生产协议；对生产经营场地承租单位纳斯卡公司的安全生产工作统一协调、管理不到位，未组织对新员工苟**开展三级教育，未及时消除安全事故隐患。</w:t>
      </w:r>
    </w:p>
    <w:p w14:paraId="58D9097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3.克拉玛依魔鬼城旅游开发有限责任公司</w:t>
      </w:r>
    </w:p>
    <w:p w14:paraId="21F71FA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违反《中华人民共和国安全生产法》第四十九条第一款要求，将魔鬼城景区重检三停靠站（下车区对面为氦气球项目场地、上车区凉亭后为两翼观光飞机跑道）场地出租给不具备相关资质的飞创启航公司运营氦气球、两翼观光飞机项目；违反《中华人民共和国安全生产法》第十九条第二款要求，未与飞创启航公司在《世界魔鬼城景区氦气球、两翼观光飞机项目合作协议》中明确各自的安全生产职责，未签订专门的安全生产协议；对生产经营场地承租单位飞创启航公司、纳斯卡公司的安全生产工作统一协调、管理不到位。对纳斯卡公司安全管理制度和操作规程不健全，安全教育培训不到位，安全风险分级管控和隐患排查治理不到位，安全管理存在漏洞的情况，在日常安全检查中未能发现；未组织飞创启航公司、纳斯卡公司员工开展安全教育培训；未制定景区飞行项目专项应急预案。</w:t>
      </w:r>
    </w:p>
    <w:p w14:paraId="3DDE63D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4.新疆纳斯卡航空器材有限公司</w:t>
      </w:r>
    </w:p>
    <w:p w14:paraId="28173EA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疆纳斯卡航空器材有限公司，法定代表人茹*（独立控股），事故动力三角翼飞行器所有单位，因与吐鲁番纳斯卡航空运动有限公司法人均为茹*，与吐鲁番纳斯卡航空运动有限公司未签订动力三角翼飞行器租赁、买卖协议，事故动力伞角翼按要求完成单机备案登记(登记号B-T31004)，定期维护保养符合要求，与事故发生无直接或者间接关系。</w:t>
      </w:r>
    </w:p>
    <w:p w14:paraId="640DCA98">
      <w:pPr>
        <w:pStyle w:val="3"/>
        <w:ind w:firstLine="640"/>
        <w:rPr>
          <w:rFonts w:ascii="Times New Roman" w:hAnsi="Times New Roman" w:cs="Times New Roman"/>
        </w:rPr>
      </w:pPr>
      <w:bookmarkStart w:id="20" w:name="_Toc145407441"/>
      <w:r>
        <w:rPr>
          <w:rFonts w:ascii="Times New Roman" w:hAnsi="Times New Roman" w:cs="Times New Roman"/>
        </w:rPr>
        <w:t>（二）有关部门主要问题</w:t>
      </w:r>
      <w:bookmarkEnd w:id="20"/>
    </w:p>
    <w:p w14:paraId="0855C78B">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新疆维吾尔自治区人民政府《关于自治区第一批特殊体育经营项目的批复》</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1"/>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、新疆维吾尔自治区体育局《关于进一步做好全区体育经营场所监督管理工作的通知》（新体政法科宣字〔2018〕1号）第二项第二条</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2"/>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和《乌尔禾区安全生产委员会成员单位安全生产职责规定》区文旅局职责（克乌安发〔2022〕8号）</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3"/>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w:t>
      </w:r>
    </w:p>
    <w:p w14:paraId="22B398D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乌尔禾区文化体育广播电视和旅游局未严格按照《新疆维吾尔自治区体育经营活动管理办法》第十一条第三项要求，落实动力三角翼项目审批事项审查，对纳斯卡公司提供的《世界魔鬼城景区低空飞行项目可行性论证报告》中未进行安全风险分析及制定相应管控措施、未明确项目是否可行、未进行专家论证等问题提出异议及督促整改。</w:t>
      </w:r>
    </w:p>
    <w:p w14:paraId="633A8F7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落实“管行业必须管安全”不到位，督促魔鬼城公司、飞创启航公司及纳斯卡公司认真落实安全生产主体责任不到位。对魔鬼城公司非法租赁场地给不具备相关资质的飞创启航公司运营氦气球、两翼观光飞机项目，魔鬼城公司对飞创启航公司、纳斯卡公司的安全生产工作统一协调、管理不到位，飞创启航公司、纳斯卡公司安全管理制度和操作规程不健全，安全教育培训不到位，安全风险分级管控和隐患排查治理不到位的情况检查督促整改不力。</w:t>
      </w:r>
    </w:p>
    <w:p w14:paraId="28638681">
      <w:pPr>
        <w:pStyle w:val="2"/>
        <w:ind w:firstLine="640"/>
        <w:rPr>
          <w:rFonts w:ascii="Times New Roman" w:hAnsi="Times New Roman" w:cs="Times New Roman"/>
          <w:szCs w:val="32"/>
        </w:rPr>
      </w:pPr>
      <w:bookmarkStart w:id="21" w:name="_Toc145407442"/>
      <w:r>
        <w:rPr>
          <w:rFonts w:ascii="Times New Roman" w:hAnsi="Times New Roman" w:cs="Times New Roman"/>
          <w:szCs w:val="32"/>
        </w:rPr>
        <w:t>五、对有关责任人员和责任单位的处理意见</w:t>
      </w:r>
      <w:bookmarkEnd w:id="21"/>
    </w:p>
    <w:p w14:paraId="03241249">
      <w:pPr>
        <w:pStyle w:val="3"/>
        <w:ind w:firstLine="640"/>
        <w:rPr>
          <w:rFonts w:ascii="Times New Roman" w:hAnsi="Times New Roman" w:cs="Times New Roman"/>
        </w:rPr>
      </w:pPr>
      <w:bookmarkStart w:id="22" w:name="_Toc145407443"/>
      <w:r>
        <w:rPr>
          <w:rFonts w:ascii="Times New Roman" w:hAnsi="Times New Roman" w:cs="Times New Roman"/>
        </w:rPr>
        <w:t>（一）免于或不予追究责任人员</w:t>
      </w:r>
      <w:bookmarkEnd w:id="22"/>
    </w:p>
    <w:p w14:paraId="12B3C821">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茹*，群众，吐鲁番纳斯卡航空运动有限公司法定代表人，新疆纳斯卡航空器材有限公司法定代表人，未建立健全本单位全员安全生产责任制，未组织制定本单位安全教育培训和隐患排查治理制度，未组织制定并实施本单位安全生产教育和培训计划，未组织建立并落实安全风险分级管控和隐患排查治理双重预防工作机制，督促、检查本单位的安全生产工作不力，违反了《中华人民共和国安全生产法》第二十一条第一项、第二项、第三项、第五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4"/>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的规定，对事故的发生负有主要领导责任。鉴于其已在2023年7月19日自缢死亡，建议免予追究其行政处罚和刑事责任。</w:t>
      </w:r>
    </w:p>
    <w:p w14:paraId="5CE0ADD7">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2.亚森·******，群众，吐鲁番纳斯卡航空运动有限公司动力三角翼驾驶员，在飞行前对事故动力</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角翼进行安全检查，佩戴无线电双向通信器材，佩戴保护性头盔，穿戴坚固、轻便的飞行鞋和保护性飞行服，飞行过程操作平稳，与事故发生无直接或间接关系，对事故发生不负责任。</w:t>
      </w:r>
    </w:p>
    <w:p w14:paraId="79E22C30">
      <w:pPr>
        <w:pStyle w:val="3"/>
        <w:ind w:firstLine="640"/>
        <w:rPr>
          <w:rFonts w:ascii="Times New Roman" w:hAnsi="Times New Roman" w:cs="Times New Roman"/>
        </w:rPr>
      </w:pPr>
      <w:bookmarkStart w:id="23" w:name="_Toc145407444"/>
      <w:r>
        <w:rPr>
          <w:rFonts w:ascii="Times New Roman" w:cs="Times New Roman"/>
        </w:rPr>
        <w:t>（二）建议给予行政处罚人员</w:t>
      </w:r>
      <w:bookmarkEnd w:id="23"/>
    </w:p>
    <w:p w14:paraId="7AE6B73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李**，中共党员，克拉玛依魔鬼城旅游开发有限责任公司总经理，全面负责公司安全生产工作，未组织对生产经营场地承租单位飞创启航公司、纳斯卡公司员工开展安全教育，未根据景区实际，更新完善景区安全风险分级管控措施，将景区场地出租给不具备相关资质的飞创启航公司运营氦气球、两翼观光飞机项目，未及时消除安全事故隐患，未制定景区飞行项目应急预案，违反了《中华人民共和国安全生产法》第二十一条第三项、第五项、第六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5"/>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规定，对事故的发生负有领导责任，依据《中华人民共和国安全生产法》第九十五条第一项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6"/>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和《新疆维吾尔自治区应急管理系统行政处罚自由裁量基准》2.5规定，建议由区应急管理局处以上一年年收入40%罚款的行政处罚，共计4.2283万元，建议免去魔鬼城公司总经理职务，调离原工作岗位。</w:t>
      </w:r>
    </w:p>
    <w:p w14:paraId="428A798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李**，克拉玛依魔鬼城旅游开发有限责任公司安全品质监督部副经理（主持工作），负责公司安全管理体系建设和日常安全监管工作。未组织或者参与拟订景区飞行项目应急预案，未组织或者参与对生产经营场地承租单位飞创启航公司、纳斯卡公司员工开展安全教育，在对景区场地承租单位飞创启航公司、纳斯卡公司日常检查中，未发现纳斯卡公司全员安全生产责任制不健全，安全管理制度和操作规程照抄照搬不符合自身实际，安全风险分级管控和隐患排查双重预防机制不健全等问题，未及时消除安全事故隐患，违反了《中华人民共和国安全生产法》第二十五条第一项、第二项、第五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7"/>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的规定，对事故发生负有重要责任，依据《中华人民共和国安全生产法》第九十六条</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8"/>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和《新疆维吾尔自治区应急管理系统行政处罚自由裁量基准》4.5.2规定，建议由区应急管理局处以上一年年收入20%罚款的行政处罚，共计1.2975万元。</w:t>
      </w:r>
    </w:p>
    <w:p w14:paraId="16B3C06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张**，克拉玛依飞创启航旅游有限公司总经理，全面负责公司安全生产工作，未组织对生产经营场地承租单位纳斯卡公司员工开展安全教育，未对纳斯卡公司开展日常检查，未及时消除安全事故隐患，违反了《中华人民共和国安全生产法》第二十一条第三项、第五项的规定，对事故的发生负有领导责任，依据《中华人民共和国安全生产法》第九十五条第一项和《新疆维吾尔自治区应急管理系统行政处罚自由裁量基准》2.5规定，建议由区应急管理局处以上一年年收入40%罚款的行政处罚，共计2.7638万元。</w:t>
      </w:r>
    </w:p>
    <w:p w14:paraId="5C364A5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张**，克拉玛依飞创启航旅游有限公司安全管理人员，未组织或者参与对生产经营场地承租单位纳斯卡公司员工开展安全教育，未对纳斯卡公司开展日常检查，未及时消除安全事故隐患，违反了《中华人民共和国安全生产法》第二十五条第二项、第五项的规定，对事故发生负有重要责任，依据《中华人民共和国安全生产法》第九十六条和《新疆维吾尔自治区应急管理系统行政处罚自由裁量基准》4.5.2规定，建议由区应急管理局处以上一年年收入20%罚款的行政处罚，共计1.0264万元。</w:t>
      </w:r>
    </w:p>
    <w:p w14:paraId="27DE49AB">
      <w:pPr>
        <w:pStyle w:val="3"/>
        <w:ind w:firstLine="640"/>
        <w:rPr>
          <w:rFonts w:ascii="Times New Roman" w:hAnsi="Times New Roman" w:cs="Times New Roman"/>
        </w:rPr>
      </w:pPr>
      <w:bookmarkStart w:id="24" w:name="_Toc145407445"/>
      <w:r>
        <w:rPr>
          <w:rFonts w:ascii="Times New Roman" w:hAnsi="Times New Roman" w:cs="Times New Roman"/>
        </w:rPr>
        <w:t>（三）对事故责任单位的处理意见</w:t>
      </w:r>
      <w:bookmarkEnd w:id="24"/>
    </w:p>
    <w:p w14:paraId="32C6D099">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1.吐鲁番纳斯卡航空运动有限责任公司</w:t>
      </w:r>
    </w:p>
    <w:p w14:paraId="5A7A162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吐鲁番纳斯卡航空运动有限公司履行安全生产主体责任不到位，未制定全员安全生产责任制，未建立健全安全生产规章制度和操作规程，未建立健全并落实安全风险分级管控和隐患排查治理制度，对新入职人员（苟**）未进行三级安全培训教育，违反了《中华人民共和国安全生产法》第四条第一款、第二十八条第一款、第四十一条第二款规定，对事故发生</w:t>
      </w:r>
      <w:r>
        <w:rPr>
          <w:rFonts w:hint="eastAsia" w:ascii="Times New Roman" w:hAnsi="Times New Roman" w:eastAsia="仿宋_GB2312" w:cs="Times New Roman"/>
          <w:sz w:val="32"/>
          <w:szCs w:val="32"/>
          <w:lang w:val="en-US" w:eastAsia="zh-CN"/>
        </w:rPr>
        <w:t>的</w:t>
      </w:r>
      <w:r>
        <w:rPr>
          <w:rFonts w:ascii="Times New Roman" w:hAnsi="Times New Roman" w:eastAsia="仿宋_GB2312" w:cs="Times New Roman"/>
          <w:sz w:val="32"/>
          <w:szCs w:val="32"/>
        </w:rPr>
        <w:t>主要责任，根据《中华人民共和国安全生产法》第一百一十四条第一项</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19"/>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规定和《新疆维吾尔自治区应急管理系统行政处罚自由裁量基准》6.5.1.2规定，建议由区应急管理局处以100万元罚款的行政处罚。</w:t>
      </w:r>
    </w:p>
    <w:p w14:paraId="0AEC9FA4">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2.克拉玛依魔鬼城旅游开发有限责任公司</w:t>
      </w:r>
    </w:p>
    <w:p w14:paraId="2C88A54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魔鬼城旅游开发有限责任公司履行安全生产主体责任不到位，将景区重检三停靠站（下车区对面为氦气球项目场地、上车区凉亭后为两翼观光飞机跑道）场地出租给不具备相关资质的克拉玛依飞创启航旅游有限公司运营氦气球、两翼观光飞机项目，与克拉玛依飞创启航旅游有限公司签订《世界魔鬼城景区氦气球、两翼观光飞机项目合作协议》中未约定各自安全生产职责，也未签订专门的安全生产协议，未对克拉玛依飞创启航旅游有限公司、吐鲁番纳斯卡航空运动有限公司安全生产工作统一协调管理，违反《中华人民共和国安全生产法》第四十九条第一款第二款要求，对事故发生负有责任，根据《中华人民共和国安全生产法》第一百零三条第一款、第二款规定</w:t>
      </w:r>
      <w:r>
        <w:rPr>
          <w:rStyle w:val="18"/>
          <w:rFonts w:ascii="Times New Roman" w:hAnsi="Times New Roman" w:eastAsia="仿宋_GB2312" w:cs="Times New Roman"/>
          <w:sz w:val="32"/>
          <w:szCs w:val="32"/>
        </w:rPr>
        <w:t>[</w:t>
      </w:r>
      <w:r>
        <w:rPr>
          <w:rStyle w:val="18"/>
          <w:rFonts w:ascii="Times New Roman" w:hAnsi="Times New Roman" w:eastAsia="仿宋_GB2312" w:cs="Times New Roman"/>
          <w:sz w:val="32"/>
          <w:szCs w:val="32"/>
        </w:rPr>
        <w:footnoteReference w:id="20"/>
      </w:r>
      <w:r>
        <w:rPr>
          <w:rStyle w:val="18"/>
          <w:rFonts w:ascii="Times New Roman" w:hAnsi="Times New Roman" w:eastAsia="仿宋_GB2312" w:cs="Times New Roman"/>
          <w:sz w:val="32"/>
          <w:szCs w:val="32"/>
        </w:rPr>
        <w:t>]</w:t>
      </w:r>
      <w:r>
        <w:rPr>
          <w:rFonts w:ascii="Times New Roman" w:hAnsi="Times New Roman" w:eastAsia="仿宋_GB2312" w:cs="Times New Roman"/>
          <w:sz w:val="32"/>
          <w:szCs w:val="32"/>
        </w:rPr>
        <w:t>和《新疆维吾尔自治区应急管理系统行政处罚自由裁量基准》51.5.1、51.5.2规定，建议由区应急管理局合并处以19.6387万元罚款的行政处罚。</w:t>
      </w:r>
    </w:p>
    <w:p w14:paraId="759415F0">
      <w:pPr>
        <w:spacing w:line="56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3.克拉玛依飞创启航旅游有限公司</w:t>
      </w:r>
    </w:p>
    <w:p w14:paraId="24C2C4C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克拉玛依飞创启航旅游有限公司安全管理职责落实不到位，与吐鲁番纳斯卡航空运动有限公司、新疆纳斯卡航空器材有限公司签订的《世界魔鬼城景区动力三角翼项目合作协议》未约定各自安全生产职责，也未签订专门的安全生产协议，未对吐鲁番纳斯卡航空运动有限公司安全生产工作统一协调管理，违反《中华人民共和国安全生产法》第四十九条第二款要求，对事故发生负有责任，根据《中华人民共和国安全生产法》第一百零三条第二款规定和《新疆维吾尔自治区应急管理系统行政处罚自由裁量基准》51.5.2规定，建议由区应急管理局处以5万元罚款的行政处罚。</w:t>
      </w:r>
    </w:p>
    <w:p w14:paraId="20429F19">
      <w:pPr>
        <w:pStyle w:val="3"/>
        <w:ind w:firstLine="640"/>
        <w:rPr>
          <w:rFonts w:ascii="Times New Roman" w:hAnsi="Times New Roman" w:cs="Times New Roman"/>
        </w:rPr>
      </w:pPr>
      <w:bookmarkStart w:id="25" w:name="_Toc145407446"/>
      <w:r>
        <w:rPr>
          <w:rFonts w:ascii="Times New Roman" w:hAnsi="Times New Roman" w:cs="Times New Roman"/>
        </w:rPr>
        <w:t>（四）建议对有关公职人员的处理建议</w:t>
      </w:r>
      <w:bookmarkEnd w:id="25"/>
    </w:p>
    <w:p w14:paraId="2F1CAAB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徐**，男，中共党员，区文化体育广播电视和旅游局党组书记、副局长，对纳斯卡公司特殊体育经营项目审批把关不严，履行滑翔伞运动行业监管职责不到位，对事故的发生负有主要领导责任，建议区纪委监委依据《中国共产党纪律处分条例》《中华人民共和国公职人员政务处分法》给予其相应处分。</w:t>
      </w:r>
    </w:p>
    <w:p w14:paraId="2F3457B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2.刘**，男，区文化体育广播电视和旅游局工作人员，对纳斯卡公司特殊体育经营项目申请资料审查不仔细，专业知识不足，对事故的发生负有直接责任，鉴于其2022年12月已离职，建议</w:t>
      </w:r>
      <w:r>
        <w:rPr>
          <w:rFonts w:hint="eastAsia" w:ascii="Times New Roman" w:hAnsi="Times New Roman" w:eastAsia="仿宋_GB2312" w:cs="Times New Roman"/>
          <w:sz w:val="32"/>
          <w:szCs w:val="32"/>
          <w:lang w:val="en-US" w:eastAsia="zh-CN"/>
        </w:rPr>
        <w:t>免予</w:t>
      </w:r>
      <w:r>
        <w:rPr>
          <w:rFonts w:ascii="Times New Roman" w:hAnsi="Times New Roman" w:eastAsia="仿宋_GB2312" w:cs="Times New Roman"/>
          <w:sz w:val="32"/>
          <w:szCs w:val="32"/>
        </w:rPr>
        <w:t>追究其责任。</w:t>
      </w:r>
    </w:p>
    <w:p w14:paraId="6717738D">
      <w:pPr>
        <w:pStyle w:val="3"/>
        <w:ind w:firstLine="640"/>
        <w:rPr>
          <w:rFonts w:ascii="Times New Roman" w:hAnsi="Times New Roman" w:cs="Times New Roman"/>
        </w:rPr>
      </w:pPr>
      <w:bookmarkStart w:id="26" w:name="_Toc145407447"/>
      <w:r>
        <w:rPr>
          <w:rFonts w:ascii="Times New Roman" w:hAnsi="Times New Roman" w:cs="Times New Roman"/>
        </w:rPr>
        <w:t>（五）其他处理意见</w:t>
      </w:r>
      <w:bookmarkEnd w:id="26"/>
    </w:p>
    <w:p w14:paraId="6678DFC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责成区文化体育广播电视和旅游局向区人民政府作出深刻书面检查。</w:t>
      </w:r>
    </w:p>
    <w:p w14:paraId="16358008">
      <w:pPr>
        <w:pStyle w:val="2"/>
        <w:ind w:firstLine="640"/>
        <w:rPr>
          <w:rFonts w:ascii="Times New Roman" w:hAnsi="Times New Roman" w:cs="Times New Roman"/>
        </w:rPr>
      </w:pPr>
      <w:bookmarkStart w:id="27" w:name="_Toc145407448"/>
      <w:r>
        <w:rPr>
          <w:rFonts w:ascii="Times New Roman" w:cs="Times New Roman"/>
        </w:rPr>
        <w:t>六、事故的主要教训</w:t>
      </w:r>
      <w:bookmarkEnd w:id="27"/>
    </w:p>
    <w:p w14:paraId="75269E86">
      <w:pPr>
        <w:spacing w:line="560" w:lineRule="exact"/>
        <w:ind w:firstLine="640" w:firstLineChars="200"/>
        <w:rPr>
          <w:rFonts w:ascii="Times New Roman" w:hAnsi="Times New Roman" w:eastAsia="仿宋_GB2312" w:cs="Times New Roman"/>
          <w:sz w:val="32"/>
          <w:szCs w:val="32"/>
        </w:rPr>
      </w:pPr>
      <w:bookmarkStart w:id="28" w:name="_Toc145407449"/>
      <w:r>
        <w:rPr>
          <w:rStyle w:val="23"/>
          <w:rFonts w:ascii="Times New Roman" w:cs="Times New Roman"/>
        </w:rPr>
        <w:t>（一）特殊体育经营项目行政审批把关不严。</w:t>
      </w:r>
      <w:bookmarkEnd w:id="28"/>
      <w:r>
        <w:rPr>
          <w:rFonts w:ascii="Times New Roman" w:hAnsi="Times New Roman" w:eastAsia="仿宋_GB2312" w:cs="Times New Roman"/>
          <w:sz w:val="32"/>
          <w:szCs w:val="32"/>
        </w:rPr>
        <w:t>区文旅局未严格按照</w:t>
      </w:r>
      <w:r>
        <w:rPr>
          <w:rFonts w:ascii="Times New Roman" w:hAnsi="Times New Roman" w:eastAsia="仿宋_GB2312" w:cs="Times New Roman"/>
          <w:color w:val="000000" w:themeColor="text1"/>
          <w:sz w:val="32"/>
          <w:szCs w:val="32"/>
        </w:rPr>
        <w:t>《新疆维吾尔自治区体育经营活动管理办法》</w:t>
      </w:r>
      <w:r>
        <w:rPr>
          <w:rFonts w:ascii="Times New Roman" w:hAnsi="Times New Roman" w:eastAsia="仿宋_GB2312" w:cs="Times New Roman"/>
          <w:sz w:val="32"/>
          <w:szCs w:val="32"/>
        </w:rPr>
        <w:t>第十一条第三项要求，落实动力三角翼项目审批事项审查，对纳斯卡公司提供的《世界魔鬼城景区低空飞行项目可行性论证报告》中未进行安全风险分析及制定相应管控措施、未明确项目是否可行、未进行专家论证等问题提出异议及督促整改。</w:t>
      </w:r>
    </w:p>
    <w:p w14:paraId="5AF173AD">
      <w:pPr>
        <w:spacing w:line="560" w:lineRule="exact"/>
        <w:ind w:firstLine="640" w:firstLineChars="200"/>
        <w:rPr>
          <w:rFonts w:ascii="Times New Roman" w:hAnsi="Times New Roman" w:eastAsia="仿宋_GB2312" w:cs="Times New Roman"/>
          <w:sz w:val="32"/>
          <w:szCs w:val="32"/>
        </w:rPr>
      </w:pPr>
      <w:bookmarkStart w:id="29" w:name="_Toc145407450"/>
      <w:r>
        <w:rPr>
          <w:rStyle w:val="23"/>
          <w:rFonts w:ascii="Times New Roman" w:cs="Times New Roman"/>
        </w:rPr>
        <w:t>（二）违规分包和承包商管理不到位。</w:t>
      </w:r>
      <w:bookmarkEnd w:id="29"/>
      <w:r>
        <w:rPr>
          <w:rFonts w:ascii="Times New Roman" w:hAnsi="Times New Roman" w:eastAsia="仿宋_GB2312" w:cs="Times New Roman"/>
          <w:sz w:val="32"/>
          <w:szCs w:val="32"/>
        </w:rPr>
        <w:t>克拉玛依魔鬼城旅游开发有限责任公司将魔鬼城景区重检三停靠站场地出租给不具备相关资质的飞创启航公司运营氦气球、两翼观光飞机项目；对纳斯卡公司安全管理制度和操作规程不健全，安全教育培训不到位，安全风险分级管控和隐患排查治理不到位，安全管理存在漏洞的情况，在日常安全检查中未能发现；未组织飞创启航公司、纳斯卡公司员工开展安全教育培训。</w:t>
      </w:r>
    </w:p>
    <w:p w14:paraId="094F9DEE">
      <w:pPr>
        <w:ind w:firstLine="640" w:firstLineChars="200"/>
        <w:jc w:val="left"/>
        <w:rPr>
          <w:rFonts w:ascii="Times New Roman" w:hAnsi="Times New Roman" w:eastAsia="仿宋_GB2312" w:cs="Times New Roman"/>
          <w:sz w:val="32"/>
          <w:szCs w:val="32"/>
        </w:rPr>
      </w:pPr>
      <w:bookmarkStart w:id="30" w:name="_Toc145407451"/>
      <w:r>
        <w:rPr>
          <w:rStyle w:val="23"/>
          <w:rFonts w:ascii="Times New Roman" w:cs="Times New Roman"/>
        </w:rPr>
        <w:t>（三）企业主体责任落实不到位。</w:t>
      </w:r>
      <w:bookmarkEnd w:id="30"/>
      <w:r>
        <w:rPr>
          <w:rFonts w:ascii="Times New Roman" w:hAnsi="Times New Roman" w:eastAsia="仿宋_GB2312" w:cs="Times New Roman"/>
          <w:sz w:val="32"/>
          <w:szCs w:val="32"/>
        </w:rPr>
        <w:t>吐鲁番纳斯卡航空运动有限公司未建立全员安全生产责任制，安全管理制度和操作规程照抄照搬不符合自身实际，未建立健全并落实安全风险分级管控和隐患排查治理制度，未制定2023年安全生产教育和培训计划，未组织对新员工苟**开展三级安全教育，未配备手持测风仪器，仅通过观察地面风向标判断风速大小。</w:t>
      </w:r>
    </w:p>
    <w:p w14:paraId="11F5806B">
      <w:pPr>
        <w:pStyle w:val="2"/>
        <w:ind w:firstLine="640"/>
        <w:rPr>
          <w:rFonts w:ascii="Times New Roman" w:hAnsi="Times New Roman" w:cs="Times New Roman"/>
          <w:szCs w:val="32"/>
        </w:rPr>
      </w:pPr>
      <w:bookmarkStart w:id="31" w:name="_Toc145407452"/>
      <w:r>
        <w:rPr>
          <w:rFonts w:ascii="Times New Roman" w:hAnsi="Times New Roman" w:cs="Times New Roman"/>
          <w:szCs w:val="32"/>
        </w:rPr>
        <w:t>七、事故整改和防范措施</w:t>
      </w:r>
      <w:bookmarkEnd w:id="31"/>
    </w:p>
    <w:p w14:paraId="2408FA05">
      <w:pPr>
        <w:pStyle w:val="3"/>
        <w:ind w:firstLine="640"/>
        <w:rPr>
          <w:rFonts w:ascii="Times New Roman" w:hAnsi="Times New Roman" w:cs="Times New Roman"/>
        </w:rPr>
      </w:pPr>
      <w:bookmarkStart w:id="32" w:name="_Toc145407453"/>
      <w:r>
        <w:rPr>
          <w:rFonts w:ascii="Times New Roman" w:hAnsi="Times New Roman" w:cs="Times New Roman"/>
        </w:rPr>
        <w:t>（一）吐鲁番纳斯卡航空运动有限责任公司</w:t>
      </w:r>
      <w:bookmarkEnd w:id="32"/>
    </w:p>
    <w:p w14:paraId="0AB4A71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1.全面论证动力三角翼项目可行性，编制可行性论证报告。结合项目实际，辨识魔鬼城景区动力三角翼项目安全风险，制定针对性管控措施，经行业领域专家论证评估可行性；</w:t>
      </w:r>
    </w:p>
    <w:p w14:paraId="64DF693C">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2.强化企业安全生产主体责任，建立健全安全生产责任制。明确企业主要负责人安全生产管理职责，落实全员安全生产责任制，建立岗位清晰、权责一致的安全生产责任制，杜绝企业内部安全管理盲区；</w:t>
      </w:r>
    </w:p>
    <w:p w14:paraId="3EA12004">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建立健全安全生产管理制度和操作规程。积极开展安全生产风险分级管控和隐患排查治理双重预防机制建设，加强对气象条件、驾驶员空中作业和地面起飞、降落风险辨识，健全动力三角翼安装、拆卸、维护保养管理制度，起飞作业操作规程，配备风速检测仪器，切实做到风险辨识全覆盖、隐患排查治理“闭环管理”；</w:t>
      </w:r>
    </w:p>
    <w:p w14:paraId="40411AFF">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加强安全生产教育培训。重新审视和梳理企业安全生产教育和培训工作，强化三级安全教育培训等基础工作，落实全员参与安全教育培训制度，规范开展应急预案管理和救援演练工作，提升全员安全生产责任意识和企业自主安全生产管理水平。</w:t>
      </w:r>
    </w:p>
    <w:p w14:paraId="5279C619">
      <w:pPr>
        <w:pStyle w:val="3"/>
        <w:ind w:firstLine="640"/>
        <w:rPr>
          <w:rFonts w:ascii="Times New Roman" w:hAnsi="Times New Roman" w:cs="Times New Roman"/>
        </w:rPr>
      </w:pPr>
      <w:bookmarkStart w:id="33" w:name="_Toc145407454"/>
      <w:r>
        <w:rPr>
          <w:rFonts w:ascii="Times New Roman" w:hAnsi="Times New Roman" w:cs="Times New Roman"/>
        </w:rPr>
        <w:t>（二）克拉玛依飞创启航旅游有限公司</w:t>
      </w:r>
      <w:bookmarkEnd w:id="33"/>
    </w:p>
    <w:p w14:paraId="109C705A">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切实加强场地承租单位安全管理工作，深入开展隐患排查整治，及时消除事故隐患。加强安全生产教育培训工作，特别要做好新入场员工三级安全培训教育，提升全员安全生产责任意识和安全生产管理水平。</w:t>
      </w:r>
    </w:p>
    <w:p w14:paraId="28A4BB26">
      <w:pPr>
        <w:pStyle w:val="3"/>
        <w:ind w:firstLine="640"/>
        <w:rPr>
          <w:rFonts w:ascii="Times New Roman" w:hAnsi="Times New Roman" w:cs="Times New Roman"/>
        </w:rPr>
      </w:pPr>
      <w:bookmarkStart w:id="34" w:name="_Toc145407455"/>
      <w:r>
        <w:rPr>
          <w:rFonts w:ascii="Times New Roman" w:hAnsi="Times New Roman" w:cs="Times New Roman"/>
        </w:rPr>
        <w:t>（三）克拉玛依魔鬼城旅游开发有限责任公司</w:t>
      </w:r>
      <w:bookmarkEnd w:id="34"/>
    </w:p>
    <w:p w14:paraId="6ED0576D">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1.全面梳理景区合作项目、场所、设备发包或者出租情况，严禁出现将生产经营项目、场所、设备发包或者出租给不具备安全生产条件或者相应资质的单位和个人；</w:t>
      </w:r>
    </w:p>
    <w:p w14:paraId="27A53568">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2.深入推进安全生产风险分级管控和隐患排查治理双重预防机制建设，结合景区发展，动态梳理辨识景区安全风险，制定安全管控措施，根据风险隐患等级，调整日常安全检查和专项检查内容和频次；</w:t>
      </w:r>
    </w:p>
    <w:p w14:paraId="585FFA7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强化景区商户、合作单位、承包单位及承租单位统一协调管理，将景区商户、合作单位、承包单位及承租单位工作人员纳入日常安全培训，定期对景区商户、合作单位、承包单位及承租单位开展安全检查，及时消除安全隐患。</w:t>
      </w:r>
    </w:p>
    <w:p w14:paraId="2A679C3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4.景区内拟运营滑翔、漂流、汽车等特殊体育经营项目前，督促各运营单位按照要求进行可行性论证，全面进行风险分析，针对性制定管控措施，确保风险在可控范围内，对风险不可控的项目坚决不予落地运营。</w:t>
      </w:r>
    </w:p>
    <w:p w14:paraId="01B9DA99">
      <w:pPr>
        <w:pStyle w:val="3"/>
        <w:ind w:firstLine="640"/>
        <w:rPr>
          <w:rFonts w:ascii="Times New Roman" w:hAnsi="Times New Roman" w:cs="Times New Roman"/>
        </w:rPr>
      </w:pPr>
      <w:bookmarkStart w:id="35" w:name="_Toc145407456"/>
      <w:r>
        <w:rPr>
          <w:rFonts w:ascii="Times New Roman" w:hAnsi="Times New Roman" w:cs="Times New Roman"/>
        </w:rPr>
        <w:t>（四）乌尔禾区文化体育广播电视和旅游局</w:t>
      </w:r>
      <w:bookmarkEnd w:id="35"/>
    </w:p>
    <w:p w14:paraId="3F5DBB03">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乌尔禾区文化体育广播电视和旅游局要按照“三管三必须”的要求切实担负起行业安全管理职责，加强特殊体育经营项目相关法律法规、规范标准等业务知识学习培训，提升监管业务水平，严格按照法律法规要求，审核申请企业各项资料，特别要督促企业做好可行性论证报告，全面分析经营项目安全风险，逐项制定管控措施，将安全风险减至可控范围</w:t>
      </w:r>
      <w:r>
        <w:rPr>
          <w:rFonts w:hint="eastAsia" w:ascii="Times New Roman" w:hAnsi="Times New Roman" w:eastAsia="仿宋_GB2312" w:cs="Times New Roman"/>
          <w:sz w:val="32"/>
          <w:szCs w:val="32"/>
          <w:lang w:val="en-US" w:eastAsia="zh-CN"/>
        </w:rPr>
        <w:t>内</w:t>
      </w:r>
      <w:r>
        <w:rPr>
          <w:rFonts w:ascii="Times New Roman" w:hAnsi="Times New Roman" w:eastAsia="仿宋_GB2312" w:cs="Times New Roman"/>
          <w:sz w:val="32"/>
          <w:szCs w:val="32"/>
        </w:rPr>
        <w:t>；要结合实际制定监督检查计划，将滑翔、漂流、游泳等体育运动项目纳入重点检查内容，定期开展监督检查，必要时聘请专家参与检查。对检查中发现的问题隐患，要加强监督指导，督促企业采取措施及时整改；对存在的重大安全隐患和违法违规行为，要依法依规严肃处理。</w:t>
      </w:r>
    </w:p>
    <w:p w14:paraId="1561A900">
      <w:pPr>
        <w:pStyle w:val="3"/>
        <w:ind w:firstLine="640"/>
        <w:rPr>
          <w:rFonts w:ascii="Times New Roman" w:hAnsi="Times New Roman" w:cs="Times New Roman"/>
        </w:rPr>
      </w:pPr>
      <w:bookmarkStart w:id="36" w:name="_Toc145407457"/>
      <w:r>
        <w:rPr>
          <w:rFonts w:ascii="Times New Roman" w:hAnsi="Times New Roman" w:cs="Times New Roman"/>
        </w:rPr>
        <w:t>（五）区人民政府各部门、各单位</w:t>
      </w:r>
      <w:bookmarkEnd w:id="36"/>
    </w:p>
    <w:p w14:paraId="027462C2">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各部门、各单位要深入学习贯彻习近平总书记关于安全生产的重要论述，牢固树立安全发展理念，统筹发展和安全，认真汲取事故教训，</w:t>
      </w:r>
      <w:r>
        <w:rPr>
          <w:rFonts w:ascii="Times New Roman" w:hAnsi="Times New Roman" w:eastAsia="仿宋_GB2312" w:cs="Times New Roman"/>
          <w:sz w:val="32"/>
          <w:szCs w:val="24"/>
        </w:rPr>
        <w:t>举一反三，认真梳理日常监管工作中存在的管理盲区和漏洞，加强审批审查和日常监督检查，</w:t>
      </w:r>
      <w:r>
        <w:rPr>
          <w:rFonts w:ascii="Times New Roman" w:hAnsi="Times New Roman" w:eastAsia="仿宋_GB2312" w:cs="Times New Roman"/>
          <w:sz w:val="32"/>
          <w:szCs w:val="32"/>
        </w:rPr>
        <w:t>从严、从细、从实抓好安全生产各项工作。要进一步强化红线意识，夯实安全生产监管基础，对辖区内低空飞行、漂流、越野摩托、高空威亚等新兴行业领域生产经营单位进行全面摸底，建立管理台账，对新行业新业态新领域要按照业务相近原则，进一步细化安全监管职责分工，坚决做到行业监管无盲区，强化监管措施，确保安全管理责任不留盲区、不挂空挡，要加强监管人员业务培训，加大监管执法力度，切实履行行业管理责任，严防同类事故发生，真正担负起“促一方发展、保一方平安”的政治责任。</w:t>
      </w:r>
    </w:p>
    <w:p w14:paraId="7146EC3B">
      <w:pPr>
        <w:rPr>
          <w:rFonts w:ascii="Times New Roman" w:hAnsi="Times New Roman" w:eastAsia="仿宋_GB2312" w:cs="Times New Roman"/>
          <w:sz w:val="32"/>
          <w:szCs w:val="32"/>
        </w:rPr>
      </w:pPr>
    </w:p>
    <w:p w14:paraId="7238F1EB">
      <w:pPr>
        <w:rPr>
          <w:rFonts w:ascii="Times New Roman" w:hAnsi="Times New Roman" w:eastAsia="FangSong_GB2312" w:cs="Times New Roman"/>
          <w:sz w:val="32"/>
          <w:szCs w:val="32"/>
        </w:rPr>
      </w:pPr>
    </w:p>
    <w:p w14:paraId="52E7C48C">
      <w:pPr>
        <w:rPr>
          <w:rFonts w:ascii="Times New Roman" w:hAnsi="Times New Roman" w:eastAsia="FangSong_GB2312" w:cs="Times New Roman"/>
          <w:sz w:val="32"/>
          <w:szCs w:val="32"/>
        </w:rPr>
      </w:pPr>
    </w:p>
    <w:p w14:paraId="1CD9A41C">
      <w:pPr>
        <w:ind w:firstLine="2880" w:firstLineChars="900"/>
        <w:rPr>
          <w:rFonts w:ascii="Times New Roman" w:hAnsi="Times New Roman" w:eastAsia="仿宋_GB2312" w:cs="Times New Roman"/>
          <w:sz w:val="32"/>
          <w:szCs w:val="32"/>
        </w:rPr>
      </w:pPr>
      <w:r>
        <w:rPr>
          <w:rFonts w:ascii="Times New Roman" w:hAnsi="Times New Roman" w:eastAsia="仿宋_GB2312" w:cs="Times New Roman"/>
          <w:sz w:val="32"/>
          <w:szCs w:val="32"/>
        </w:rPr>
        <w:t>乌尔禾柳树街吐鲁番纳斯卡航空运动</w:t>
      </w:r>
    </w:p>
    <w:p w14:paraId="535BD9CA">
      <w:pPr>
        <w:ind w:firstLine="3360" w:firstLineChars="1050"/>
        <w:rPr>
          <w:rFonts w:ascii="Times New Roman" w:hAnsi="Times New Roman" w:eastAsia="仿宋_GB2312" w:cs="Times New Roman"/>
          <w:sz w:val="32"/>
          <w:szCs w:val="32"/>
        </w:rPr>
      </w:pPr>
      <w:r>
        <w:rPr>
          <w:rFonts w:ascii="Times New Roman" w:hAnsi="Times New Roman" w:eastAsia="仿宋_GB2312" w:cs="Times New Roman"/>
          <w:sz w:val="32"/>
          <w:szCs w:val="32"/>
        </w:rPr>
        <w:t>有限公司“7</w:t>
      </w:r>
      <w:r>
        <w:rPr>
          <w:rFonts w:ascii="Times New Roman" w:hAnsi="Times New Roman" w:eastAsia="宋体" w:cs="Times New Roman"/>
          <w:sz w:val="32"/>
          <w:szCs w:val="32"/>
        </w:rPr>
        <w:t>•</w:t>
      </w:r>
      <w:r>
        <w:rPr>
          <w:rFonts w:ascii="Times New Roman" w:hAnsi="Times New Roman" w:eastAsia="仿宋_GB2312" w:cs="Times New Roman"/>
          <w:sz w:val="32"/>
          <w:szCs w:val="32"/>
        </w:rPr>
        <w:t>12”动力三角翼</w:t>
      </w:r>
    </w:p>
    <w:p w14:paraId="672D232F">
      <w:pPr>
        <w:ind w:firstLine="3520" w:firstLineChars="1100"/>
        <w:rPr>
          <w:rFonts w:ascii="Times New Roman" w:hAnsi="Times New Roman" w:eastAsia="仿宋_GB2312" w:cs="Times New Roman"/>
          <w:sz w:val="32"/>
          <w:szCs w:val="32"/>
        </w:rPr>
      </w:pPr>
      <w:r>
        <w:rPr>
          <w:rFonts w:ascii="Times New Roman" w:hAnsi="Times New Roman" w:eastAsia="仿宋_GB2312" w:cs="Times New Roman"/>
          <w:sz w:val="32"/>
          <w:szCs w:val="32"/>
        </w:rPr>
        <w:t>一般高处坠落事故调查组</w:t>
      </w:r>
    </w:p>
    <w:p w14:paraId="59920948">
      <w:pPr>
        <w:ind w:firstLine="4160" w:firstLineChars="1300"/>
        <w:rPr>
          <w:rFonts w:ascii="Times New Roman" w:hAnsi="Times New Roman" w:eastAsia="仿宋_GB2312" w:cs="Times New Roman"/>
          <w:sz w:val="32"/>
          <w:szCs w:val="32"/>
        </w:rPr>
      </w:pPr>
      <w:r>
        <w:rPr>
          <w:rFonts w:ascii="Times New Roman" w:hAnsi="Times New Roman" w:eastAsia="仿宋_GB2312" w:cs="Times New Roman"/>
          <w:sz w:val="32"/>
          <w:szCs w:val="32"/>
        </w:rPr>
        <w:t>2023年10月31日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FangSong_GB2312">
    <w:altName w:val="仿宋"/>
    <w:panose1 w:val="02010609060101010101"/>
    <w:charset w:val="00"/>
    <w:family w:val="roman"/>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8148768"/>
    </w:sdtPr>
    <w:sdtContent>
      <w:p w14:paraId="11DABFFD">
        <w:pPr>
          <w:pStyle w:val="6"/>
          <w:jc w:val="center"/>
        </w:pPr>
        <w:r>
          <w:fldChar w:fldCharType="begin"/>
        </w:r>
        <w:r>
          <w:instrText xml:space="preserve"> PAGE   \* MERGEFORMAT </w:instrText>
        </w:r>
        <w:r>
          <w:fldChar w:fldCharType="separate"/>
        </w:r>
        <w:r>
          <w:rPr>
            <w:lang w:val="zh-CN"/>
          </w:rPr>
          <w:t>11</w:t>
        </w:r>
        <w:r>
          <w:rPr>
            <w:lang w:val="zh-CN"/>
          </w:rPr>
          <w:fldChar w:fldCharType="end"/>
        </w:r>
      </w:p>
    </w:sdtContent>
  </w:sdt>
  <w:p w14:paraId="1EC96959">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2">
    <w:p>
      <w:r>
        <w:separator/>
      </w:r>
    </w:p>
  </w:footnote>
  <w:footnote w:type="continuationSeparator" w:id="43">
    <w:p>
      <w:r>
        <w:continuationSeparator/>
      </w:r>
    </w:p>
  </w:footnote>
  <w:footnote w:id="0">
    <w:p w14:paraId="7FCFD4D8">
      <w:pPr>
        <w:pStyle w:val="9"/>
        <w:rPr>
          <w:rFonts w:eastAsia="FangSong_GB2312"/>
        </w:rPr>
      </w:pPr>
      <w:r>
        <w:rPr>
          <w:rStyle w:val="18"/>
        </w:rPr>
        <w:t>[</w:t>
      </w:r>
      <w:r>
        <w:rPr>
          <w:rStyle w:val="18"/>
        </w:rPr>
        <w:footnoteRef/>
      </w:r>
      <w:r>
        <w:rPr>
          <w:rStyle w:val="18"/>
        </w:rPr>
        <w:t>]</w:t>
      </w:r>
      <w:r>
        <w:t xml:space="preserve"> </w:t>
      </w:r>
      <w:r>
        <w:rPr>
          <w:rFonts w:hint="eastAsia" w:asciiTheme="minorEastAsia" w:hAnsiTheme="minorEastAsia" w:cstheme="minorEastAsia"/>
          <w:szCs w:val="18"/>
        </w:rPr>
        <w:t>《动力三角翼运动器材管理要求》4.4.1：中国航空运动协会对动力三角翼运动器材实施定期检查制度，中国航空运动协会每两年对单机备案的动力三角翼进行定期检查，并在动力三角翼登记证中记录检查意见。</w:t>
      </w:r>
    </w:p>
  </w:footnote>
  <w:footnote w:id="1">
    <w:p w14:paraId="25B5E7DF">
      <w:pPr>
        <w:pStyle w:val="9"/>
      </w:pPr>
      <w:r>
        <w:rPr>
          <w:rStyle w:val="18"/>
        </w:rPr>
        <w:t>[</w:t>
      </w:r>
      <w:r>
        <w:rPr>
          <w:rStyle w:val="18"/>
        </w:rPr>
        <w:footnoteRef/>
      </w:r>
      <w:r>
        <w:rPr>
          <w:rStyle w:val="18"/>
        </w:rPr>
        <w:t>]</w:t>
      </w:r>
      <w:r>
        <w:t xml:space="preserve"> </w:t>
      </w:r>
      <w:r>
        <w:rPr>
          <w:rFonts w:hint="eastAsia"/>
        </w:rPr>
        <w:t>《动力三角翼运动人员管理要求》8.2.1：</w:t>
      </w:r>
      <w:r>
        <w:rPr>
          <w:color w:val="000000" w:themeColor="text1"/>
        </w:rPr>
        <w:t>按照动力三角翼使用手册</w:t>
      </w:r>
      <w:r>
        <w:rPr>
          <w:rFonts w:hint="eastAsia"/>
          <w:color w:val="000000" w:themeColor="text1"/>
        </w:rPr>
        <w:t>，</w:t>
      </w:r>
      <w:r>
        <w:rPr>
          <w:color w:val="000000" w:themeColor="text1"/>
        </w:rPr>
        <w:t>对动力三角翼进行日常维护</w:t>
      </w:r>
      <w:r>
        <w:rPr>
          <w:rFonts w:hint="eastAsia"/>
          <w:color w:val="000000" w:themeColor="text1"/>
        </w:rPr>
        <w:t>、</w:t>
      </w:r>
      <w:r>
        <w:rPr>
          <w:color w:val="000000" w:themeColor="text1"/>
        </w:rPr>
        <w:t>保养和较简单的维修工作</w:t>
      </w:r>
      <w:r>
        <w:rPr>
          <w:rFonts w:hint="eastAsia"/>
          <w:color w:val="000000" w:themeColor="text1"/>
        </w:rPr>
        <w:t>。</w:t>
      </w:r>
    </w:p>
  </w:footnote>
  <w:footnote w:id="2">
    <w:p w14:paraId="49AE11C4">
      <w:pPr>
        <w:pStyle w:val="9"/>
      </w:pPr>
      <w:r>
        <w:rPr>
          <w:rStyle w:val="18"/>
        </w:rPr>
        <w:t>[</w:t>
      </w:r>
      <w:r>
        <w:rPr>
          <w:rStyle w:val="18"/>
        </w:rPr>
        <w:footnoteRef/>
      </w:r>
      <w:r>
        <w:rPr>
          <w:rStyle w:val="18"/>
        </w:rPr>
        <w:t>]</w:t>
      </w:r>
      <w:r>
        <w:t xml:space="preserve"> </w:t>
      </w:r>
      <w:r>
        <w:rPr>
          <w:rFonts w:hint="eastAsia"/>
        </w:rPr>
        <w:t>《动力悬挂滑翔运动管理办法》第二十四条：组织开展动力悬挂滑翔飞行活动，必须严格掌握气象条件，严禁在下列条件下飞行：</w:t>
      </w:r>
      <w:r>
        <w:rPr>
          <w:rFonts w:hint="eastAsia"/>
          <w:lang w:eastAsia="zh-CN"/>
        </w:rPr>
        <w:t>（</w:t>
      </w:r>
      <w:r>
        <w:rPr>
          <w:rFonts w:hint="eastAsia"/>
        </w:rPr>
        <w:t>一</w:t>
      </w:r>
      <w:r>
        <w:rPr>
          <w:rFonts w:hint="eastAsia"/>
          <w:lang w:eastAsia="zh-CN"/>
        </w:rPr>
        <w:t>）</w:t>
      </w:r>
      <w:r>
        <w:rPr>
          <w:rFonts w:hint="eastAsia"/>
        </w:rPr>
        <w:t xml:space="preserve"> 地面风速大于8米/秒；</w:t>
      </w:r>
      <w:r>
        <w:rPr>
          <w:rFonts w:hint="eastAsia"/>
          <w:lang w:eastAsia="zh-CN"/>
        </w:rPr>
        <w:t>（</w:t>
      </w:r>
      <w:r>
        <w:rPr>
          <w:rFonts w:hint="eastAsia"/>
          <w:lang w:val="en-US" w:eastAsia="zh-CN"/>
        </w:rPr>
        <w:t>二</w:t>
      </w:r>
      <w:r>
        <w:rPr>
          <w:rFonts w:hint="eastAsia"/>
          <w:lang w:eastAsia="zh-CN"/>
        </w:rPr>
        <w:t>）</w:t>
      </w:r>
      <w:r>
        <w:rPr>
          <w:rFonts w:hint="eastAsia"/>
        </w:rPr>
        <w:t xml:space="preserve"> 水平能见度小于1公里，垂直能见度小于500米；</w:t>
      </w:r>
      <w:r>
        <w:rPr>
          <w:rFonts w:hint="eastAsia"/>
          <w:lang w:eastAsia="zh-CN"/>
        </w:rPr>
        <w:t>（</w:t>
      </w:r>
      <w:r>
        <w:rPr>
          <w:rFonts w:hint="eastAsia"/>
          <w:lang w:val="en-US" w:eastAsia="zh-CN"/>
        </w:rPr>
        <w:t>三</w:t>
      </w:r>
      <w:r>
        <w:rPr>
          <w:rFonts w:hint="eastAsia"/>
          <w:lang w:eastAsia="zh-CN"/>
        </w:rPr>
        <w:t>）</w:t>
      </w:r>
      <w:r>
        <w:rPr>
          <w:rFonts w:hint="eastAsia"/>
        </w:rPr>
        <w:t xml:space="preserve"> 强对流天气，有降水。</w:t>
      </w:r>
    </w:p>
    <w:p w14:paraId="4F202C5A">
      <w:pPr>
        <w:pStyle w:val="9"/>
      </w:pPr>
    </w:p>
  </w:footnote>
  <w:footnote w:id="3">
    <w:p w14:paraId="3D8E68EA">
      <w:pPr>
        <w:pStyle w:val="9"/>
      </w:pPr>
      <w:r>
        <w:rPr>
          <w:rStyle w:val="18"/>
        </w:rPr>
        <w:t>[</w:t>
      </w:r>
      <w:r>
        <w:rPr>
          <w:rStyle w:val="18"/>
        </w:rPr>
        <w:footnoteRef/>
      </w:r>
      <w:r>
        <w:rPr>
          <w:rStyle w:val="18"/>
        </w:rPr>
        <w:t>]</w:t>
      </w:r>
      <w:r>
        <w:t xml:space="preserve"> </w:t>
      </w:r>
      <w:r>
        <w:rPr>
          <w:rFonts w:hint="eastAsia"/>
        </w:rPr>
        <w:t>《中华人民共和国安全生产法》第四十九条第一款：生产经营单位不得将生产经营项目、场所、设备发包或者出租给不具备安全生产条件或者相应资质的单位或者个人。</w:t>
      </w:r>
    </w:p>
  </w:footnote>
  <w:footnote w:id="4">
    <w:p w14:paraId="3478F5EA">
      <w:pPr>
        <w:pStyle w:val="9"/>
      </w:pPr>
      <w:r>
        <w:rPr>
          <w:rStyle w:val="18"/>
        </w:rPr>
        <w:t>[</w:t>
      </w:r>
      <w:r>
        <w:rPr>
          <w:rStyle w:val="18"/>
        </w:rPr>
        <w:footnoteRef/>
      </w:r>
      <w:r>
        <w:rPr>
          <w:rStyle w:val="18"/>
        </w:rPr>
        <w:t>]</w:t>
      </w:r>
      <w:r>
        <w:t xml:space="preserve"> </w:t>
      </w:r>
      <w:r>
        <w:rPr>
          <w:rFonts w:hint="eastAsia"/>
        </w:rPr>
        <w:t>《新疆维吾尔自治区体育发展条例》第二十九条：从事特殊体育项目经营活动应当具备下列条件，（一）可行性论证报告；（二）有与经营项目相适应的场地、设施、器材；（三）有相应的安全防护措施和救护人员；（四）有相应的管理人员和专业技术人员；（五）法律法规规定的其他条件。</w:t>
      </w:r>
    </w:p>
  </w:footnote>
  <w:footnote w:id="5">
    <w:p w14:paraId="6F36B40F">
      <w:pPr>
        <w:pStyle w:val="9"/>
      </w:pPr>
      <w:r>
        <w:rPr>
          <w:rStyle w:val="18"/>
        </w:rPr>
        <w:t>[</w:t>
      </w:r>
      <w:r>
        <w:rPr>
          <w:rStyle w:val="18"/>
        </w:rPr>
        <w:footnoteRef/>
      </w:r>
      <w:r>
        <w:rPr>
          <w:rStyle w:val="18"/>
        </w:rPr>
        <w:t>]</w:t>
      </w:r>
      <w:r>
        <w:t xml:space="preserve"> </w:t>
      </w:r>
      <w:r>
        <w:rPr>
          <w:rFonts w:hint="eastAsia"/>
        </w:rPr>
        <w:t>《新疆维吾尔自治区体育发展条例》第二十八条第一款：从事涉及人身安全和社会公共安全的特殊体育项目经营活动的，应当经县级以上人民政府体育行政部门批准。</w:t>
      </w:r>
    </w:p>
  </w:footnote>
  <w:footnote w:id="6">
    <w:p w14:paraId="6625BC3D">
      <w:pPr>
        <w:pStyle w:val="9"/>
      </w:pPr>
      <w:r>
        <w:rPr>
          <w:rStyle w:val="18"/>
        </w:rPr>
        <w:t>[</w:t>
      </w:r>
      <w:r>
        <w:rPr>
          <w:rStyle w:val="18"/>
        </w:rPr>
        <w:footnoteRef/>
      </w:r>
      <w:r>
        <w:rPr>
          <w:rStyle w:val="18"/>
        </w:rPr>
        <w:t>]</w:t>
      </w:r>
      <w:r>
        <w:t xml:space="preserve"> </w:t>
      </w:r>
      <w:r>
        <w:rPr>
          <w:rFonts w:hint="eastAsia"/>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7">
    <w:p w14:paraId="50D85A15">
      <w:pPr>
        <w:pStyle w:val="9"/>
      </w:pPr>
      <w:r>
        <w:rPr>
          <w:rStyle w:val="18"/>
        </w:rPr>
        <w:t>[</w:t>
      </w:r>
      <w:r>
        <w:rPr>
          <w:rStyle w:val="18"/>
        </w:rPr>
        <w:footnoteRef/>
      </w:r>
      <w:r>
        <w:rPr>
          <w:rStyle w:val="18"/>
        </w:rPr>
        <w:t>]</w:t>
      </w:r>
      <w:r>
        <w:t xml:space="preserve"> </w:t>
      </w:r>
      <w:r>
        <w:rPr>
          <w:rFonts w:hint="eastAsia"/>
        </w:rPr>
        <w:t>《新疆维吾尔自治区体育经营活动管理办法》第十一条第三项：经营射击、武术、散打、拳击、摔跤、柔道、航空、跳伞、热气球、滑翔、滑翔伞、动力伞、汽车、登山、探险、攀岩、滑雪、自然水域游泳、漂流、摩托艇、龙舟、赛马、摩托、气功等特种体育经营项目和大型体育竞赛、表演活动，除第(一)、(二)项规定材料外，还必须提供详细的可行性报告、实施方案，主办(协办)单位或者个人情况证明。</w:t>
      </w:r>
    </w:p>
  </w:footnote>
  <w:footnote w:id="8">
    <w:p w14:paraId="17E00C9F">
      <w:pPr>
        <w:pStyle w:val="9"/>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9">
    <w:p w14:paraId="09C658BE">
      <w:pPr>
        <w:pStyle w:val="9"/>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10">
    <w:p w14:paraId="6C45192F">
      <w:pPr>
        <w:pStyle w:val="9"/>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1">
    <w:p w14:paraId="411CECA2">
      <w:pPr>
        <w:pStyle w:val="9"/>
      </w:pPr>
      <w:r>
        <w:rPr>
          <w:rStyle w:val="18"/>
          <w:rFonts w:hint="eastAsia" w:asciiTheme="minorEastAsia" w:hAnsiTheme="minorEastAsia" w:cstheme="minorEastAsia"/>
          <w:szCs w:val="18"/>
        </w:rPr>
        <w:t>[</w:t>
      </w:r>
      <w:r>
        <w:rPr>
          <w:rStyle w:val="18"/>
          <w:rFonts w:hint="eastAsia" w:asciiTheme="minorEastAsia" w:hAnsiTheme="minorEastAsia" w:cstheme="minorEastAsia"/>
          <w:szCs w:val="18"/>
        </w:rPr>
        <w:footnoteRef/>
      </w:r>
      <w:r>
        <w:rPr>
          <w:rStyle w:val="18"/>
          <w:rFonts w:hint="eastAsia" w:asciiTheme="minorEastAsia" w:hAnsiTheme="minorEastAsia" w:cstheme="minorEastAsia"/>
          <w:szCs w:val="18"/>
        </w:rPr>
        <w:t>]</w:t>
      </w:r>
      <w:r>
        <w:rPr>
          <w:rFonts w:hint="eastAsia" w:asciiTheme="minorEastAsia" w:hAnsiTheme="minorEastAsia" w:cstheme="minorEastAsia"/>
          <w:szCs w:val="18"/>
        </w:rPr>
        <w:t xml:space="preserve"> 《关于自治区第一批特殊体育经营项目的批复》：为规范和促进自治区体育经营项目健康有序发展，保障体育经营者和消费者的合法权益，《新疆维吾尔自治区体育发展条例》的有关规定，批准以下体育项目为第一批特殊体育经营项目，游泳、射箭、拳击、柔道、跆拳道、摔跤、滑冰、滑雪、潜水、救生、热气球、运动飞机、跳伞、攀岩、滑翔、航空模型、汽车、摩托车、蹦极、漂流共20项。</w:t>
      </w:r>
    </w:p>
  </w:footnote>
  <w:footnote w:id="12">
    <w:p w14:paraId="164CDB71">
      <w:pPr>
        <w:pStyle w:val="9"/>
      </w:pPr>
      <w:r>
        <w:rPr>
          <w:rStyle w:val="18"/>
        </w:rPr>
        <w:t>[</w:t>
      </w:r>
      <w:r>
        <w:rPr>
          <w:rStyle w:val="18"/>
          <w:rFonts w:hint="eastAsia" w:asciiTheme="minorEastAsia" w:hAnsiTheme="minorEastAsia" w:cstheme="minorEastAsia"/>
          <w:szCs w:val="18"/>
        </w:rPr>
        <w:footnoteRef/>
      </w:r>
      <w:r>
        <w:rPr>
          <w:rStyle w:val="18"/>
          <w:rFonts w:hint="eastAsia" w:asciiTheme="minorEastAsia" w:hAnsiTheme="minorEastAsia" w:cstheme="minorEastAsia"/>
          <w:szCs w:val="18"/>
        </w:rPr>
        <w:t>]</w:t>
      </w:r>
      <w:r>
        <w:rPr>
          <w:rFonts w:hint="eastAsia" w:asciiTheme="minorEastAsia" w:hAnsiTheme="minorEastAsia" w:cstheme="minorEastAsia"/>
          <w:szCs w:val="18"/>
        </w:rPr>
        <w:t xml:space="preserve"> 《关于进一步做好全区体育经营场所监督管理工作的通知》第二项第二条</w:t>
      </w:r>
      <w:r>
        <w:rPr>
          <w:rFonts w:hint="eastAsia" w:asciiTheme="minorEastAsia" w:hAnsiTheme="minorEastAsia" w:cstheme="minorEastAsia"/>
          <w:szCs w:val="18"/>
          <w:lang w:eastAsia="zh-CN"/>
        </w:rPr>
        <w:t>：</w:t>
      </w:r>
      <w:r>
        <w:rPr>
          <w:rFonts w:hint="eastAsia" w:asciiTheme="minorEastAsia" w:hAnsiTheme="minorEastAsia" w:cstheme="minorEastAsia"/>
          <w:szCs w:val="18"/>
        </w:rPr>
        <w:t>按照“谁主管、谁负责”，“谁审批、谁监管”的原则，督促落实安全生产主体责任，建立健全安全管理制度。国家规定的高危险性体育项目和第一批自治区特殊体育经营</w:t>
      </w:r>
      <w:r>
        <w:rPr>
          <w:rFonts w:hint="eastAsia" w:asciiTheme="minorEastAsia" w:hAnsiTheme="minorEastAsia" w:cstheme="minorEastAsia"/>
          <w:szCs w:val="18"/>
          <w:lang w:val="en-US" w:eastAsia="zh-CN"/>
        </w:rPr>
        <w:t>项</w:t>
      </w:r>
      <w:r>
        <w:rPr>
          <w:rFonts w:hint="eastAsia" w:asciiTheme="minorEastAsia" w:hAnsiTheme="minorEastAsia" w:cstheme="minorEastAsia"/>
          <w:szCs w:val="18"/>
        </w:rPr>
        <w:t>目应为县级体育行政主管部门负责审批、行政执法、应承担主体监管责任；地州市级体育行政主管部门依法监督，应承担监督责任。</w:t>
      </w:r>
    </w:p>
  </w:footnote>
  <w:footnote w:id="13">
    <w:p w14:paraId="2221E776">
      <w:pPr>
        <w:pStyle w:val="9"/>
      </w:pPr>
      <w:r>
        <w:rPr>
          <w:rStyle w:val="18"/>
        </w:rPr>
        <w:t>[</w:t>
      </w:r>
      <w:r>
        <w:rPr>
          <w:rStyle w:val="18"/>
        </w:rPr>
        <w:footnoteRef/>
      </w:r>
      <w:r>
        <w:rPr>
          <w:rStyle w:val="18"/>
        </w:rPr>
        <w:t>]</w:t>
      </w:r>
      <w:r>
        <w:t xml:space="preserve"> </w:t>
      </w:r>
      <w:r>
        <w:rPr>
          <w:rFonts w:hint="eastAsia"/>
        </w:rPr>
        <w:t>《乌尔禾区安全生产委员会成员单位安全生产职责规定区文旅局职责》：负责文化体育广播电视和旅游、文物安全的综合协调与监督管理工作，监督旅行社做好旅游包车安全管理工作；加强对自助游、自驾游、玻璃栈桥、高空威亚、低空飞行、沙漠摩托等新兴业态的安全监管”</w:t>
      </w:r>
    </w:p>
  </w:footnote>
  <w:footnote w:id="14">
    <w:p w14:paraId="0A8F0F28">
      <w:pPr>
        <w:pStyle w:val="9"/>
        <w:rPr>
          <w:rFonts w:asciiTheme="minorEastAsia" w:hAnsiTheme="minorEastAsia" w:cstheme="minorEastAsia"/>
          <w:szCs w:val="18"/>
        </w:rPr>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二十一条第一项、第二项、第三项、第五项：（一）建立健全并落实本单位全员安全生产责任制，加强安全生产标准化建设；（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14:paraId="56F98EBD">
      <w:pPr>
        <w:pStyle w:val="9"/>
      </w:pPr>
    </w:p>
  </w:footnote>
  <w:footnote w:id="15">
    <w:p w14:paraId="602E2D36">
      <w:pPr>
        <w:pStyle w:val="9"/>
        <w:rPr>
          <w:rFonts w:asciiTheme="minorEastAsia" w:hAnsiTheme="minorEastAsia" w:cstheme="minorEastAsia"/>
          <w:szCs w:val="18"/>
        </w:rPr>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二十一条第三项、第五项、第六项：（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w:t>
      </w:r>
    </w:p>
  </w:footnote>
  <w:footnote w:id="16">
    <w:p w14:paraId="231534CE">
      <w:pPr>
        <w:pStyle w:val="9"/>
      </w:pPr>
      <w:r>
        <w:rPr>
          <w:rStyle w:val="18"/>
        </w:rPr>
        <w:t>[</w:t>
      </w:r>
      <w:r>
        <w:rPr>
          <w:rStyle w:val="18"/>
        </w:rPr>
        <w:footnoteRef/>
      </w:r>
      <w:r>
        <w:rPr>
          <w:rStyle w:val="18"/>
        </w:rPr>
        <w:t>]</w:t>
      </w:r>
      <w:r>
        <w:t xml:space="preserve"> </w:t>
      </w:r>
      <w:r>
        <w:rPr>
          <w:rFonts w:hint="eastAsia"/>
        </w:rPr>
        <w:t>《中华人民共和国安全生产法》第九十五条第一项：生产经营单位的主要负责人未履行本法规定的安全生产管理职责，导致发生生产安全事故的，由应急管理部门依照下列规定处以罚款</w:t>
      </w:r>
      <w:r>
        <w:rPr>
          <w:rFonts w:hint="eastAsia"/>
          <w:lang w:eastAsia="zh-CN"/>
        </w:rPr>
        <w:t>：</w:t>
      </w:r>
      <w:r>
        <w:rPr>
          <w:rFonts w:hint="eastAsia"/>
        </w:rPr>
        <w:t>（一）发生一般事故的，处上一年年收入百分之四十的罚款。</w:t>
      </w:r>
    </w:p>
  </w:footnote>
  <w:footnote w:id="17">
    <w:p w14:paraId="4F4E6660">
      <w:pPr>
        <w:pStyle w:val="9"/>
      </w:pPr>
      <w:r>
        <w:rPr>
          <w:rStyle w:val="18"/>
        </w:rPr>
        <w:t>[</w:t>
      </w:r>
      <w:r>
        <w:rPr>
          <w:rStyle w:val="18"/>
        </w:rPr>
        <w:footnoteRef/>
      </w:r>
      <w:r>
        <w:rPr>
          <w:rStyle w:val="18"/>
        </w:rPr>
        <w:t>]</w:t>
      </w:r>
      <w:r>
        <w:t xml:space="preserve"> </w:t>
      </w:r>
      <w:r>
        <w:rPr>
          <w:rFonts w:hint="eastAsia"/>
        </w:rPr>
        <w:t>《中华人民共和国安全生产法》第二十五条第一项、第二项、第五项：（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w:t>
      </w:r>
    </w:p>
  </w:footnote>
  <w:footnote w:id="18">
    <w:p w14:paraId="3EE65894">
      <w:pPr>
        <w:pStyle w:val="9"/>
      </w:pPr>
      <w:r>
        <w:rPr>
          <w:rStyle w:val="18"/>
        </w:rPr>
        <w:t>[</w:t>
      </w:r>
      <w:r>
        <w:rPr>
          <w:rStyle w:val="18"/>
        </w:rPr>
        <w:footnoteRef/>
      </w:r>
      <w:r>
        <w:rPr>
          <w:rStyle w:val="18"/>
        </w:rPr>
        <w:t>]</w:t>
      </w:r>
      <w:r>
        <w:t xml:space="preserve"> </w:t>
      </w:r>
      <w:r>
        <w:rPr>
          <w:rFonts w:hint="eastAsia"/>
        </w:rPr>
        <w:t>依据《中华人民共和国安全生产法》第九十六条：生产经营单位的其他负责人和安全生产管理人员未履行本法规定的安全生产管理职责的，责令限期改正，处一万元以上三万元以下的罚款</w:t>
      </w:r>
      <w:r>
        <w:rPr>
          <w:rFonts w:hint="eastAsia"/>
          <w:lang w:eastAsia="zh-CN"/>
        </w:rPr>
        <w:t>：</w:t>
      </w:r>
      <w:r>
        <w:rPr>
          <w:rFonts w:hint="eastAsia"/>
        </w:rPr>
        <w:t>导致发生生产安全事故的，暂停或者吊销其与安全生产有关的资格，并处上一年年收入百分之二十以上百分之五十以下的罚款</w:t>
      </w:r>
      <w:r>
        <w:rPr>
          <w:rFonts w:hint="eastAsia"/>
          <w:lang w:eastAsia="zh-CN"/>
        </w:rPr>
        <w:t>；</w:t>
      </w:r>
      <w:r>
        <w:rPr>
          <w:rFonts w:hint="eastAsia"/>
        </w:rPr>
        <w:t>构成犯罪的，依照刑法有关规定追究刑事责任。</w:t>
      </w:r>
    </w:p>
  </w:footnote>
  <w:footnote w:id="19">
    <w:p w14:paraId="50829BED">
      <w:pPr>
        <w:pStyle w:val="9"/>
      </w:pPr>
      <w:r>
        <w:rPr>
          <w:rStyle w:val="18"/>
        </w:rPr>
        <w:t>[</w:t>
      </w:r>
      <w:r>
        <w:rPr>
          <w:rStyle w:val="18"/>
        </w:rPr>
        <w:footnoteRef/>
      </w:r>
      <w:r>
        <w:rPr>
          <w:rStyle w:val="18"/>
        </w:rPr>
        <w:t>]</w:t>
      </w:r>
      <w:r>
        <w:t xml:space="preserve"> </w:t>
      </w:r>
      <w:r>
        <w:rPr>
          <w:rFonts w:hint="eastAsia" w:asciiTheme="minorEastAsia" w:hAnsiTheme="minorEastAsia" w:cstheme="minorEastAsia"/>
          <w:szCs w:val="18"/>
        </w:rPr>
        <w:t>《中华人民共和国安全生产法》第一百一十四条第一项：发生生产安全事故，对负有责任的生产经营单位除要求其依法承担相应的赔偿等责任外，由应急管理部门依照下列规定处以罚款</w:t>
      </w:r>
      <w:r>
        <w:rPr>
          <w:rFonts w:hint="eastAsia" w:asciiTheme="minorEastAsia" w:hAnsiTheme="minorEastAsia" w:cstheme="minorEastAsia"/>
          <w:szCs w:val="18"/>
          <w:lang w:eastAsia="zh-CN"/>
        </w:rPr>
        <w:t>：</w:t>
      </w:r>
      <w:r>
        <w:rPr>
          <w:rFonts w:hint="eastAsia" w:asciiTheme="minorEastAsia" w:hAnsiTheme="minorEastAsia" w:cstheme="minorEastAsia"/>
          <w:szCs w:val="18"/>
        </w:rPr>
        <w:t>（一）发生一般事故的，处三十万元以上一百万元以下的罚款。</w:t>
      </w:r>
    </w:p>
  </w:footnote>
  <w:footnote w:id="20">
    <w:p w14:paraId="458F54A6">
      <w:pPr>
        <w:pStyle w:val="9"/>
      </w:pPr>
      <w:r>
        <w:rPr>
          <w:rStyle w:val="18"/>
        </w:rPr>
        <w:t>[</w:t>
      </w:r>
      <w:r>
        <w:rPr>
          <w:rStyle w:val="18"/>
        </w:rPr>
        <w:footnoteRef/>
      </w:r>
      <w:r>
        <w:rPr>
          <w:rStyle w:val="18"/>
        </w:rPr>
        <w:t>]</w:t>
      </w:r>
      <w:r>
        <w:t xml:space="preserve"> </w:t>
      </w:r>
      <w:r>
        <w:rPr>
          <w:rFonts w:hint="eastAsia"/>
        </w:rPr>
        <w:t>《中华人民共和国安全生产法》第一百零三条第一款规定：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42"/>
    <w:footnote w:id="4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Y1ZGMyMTRmY2NmMzU5YTc1MTYzOTczZThlODQyM2YifQ=="/>
  </w:docVars>
  <w:rsids>
    <w:rsidRoot w:val="00172A27"/>
    <w:rsid w:val="00003A16"/>
    <w:rsid w:val="0001732C"/>
    <w:rsid w:val="0002118C"/>
    <w:rsid w:val="000250D8"/>
    <w:rsid w:val="000269A9"/>
    <w:rsid w:val="00047A40"/>
    <w:rsid w:val="000550F7"/>
    <w:rsid w:val="00064903"/>
    <w:rsid w:val="00067D71"/>
    <w:rsid w:val="000714AA"/>
    <w:rsid w:val="00083AFB"/>
    <w:rsid w:val="000928DD"/>
    <w:rsid w:val="000B13DC"/>
    <w:rsid w:val="000B4FA7"/>
    <w:rsid w:val="000C6933"/>
    <w:rsid w:val="000D6747"/>
    <w:rsid w:val="000F5279"/>
    <w:rsid w:val="00101F8E"/>
    <w:rsid w:val="001065B4"/>
    <w:rsid w:val="001073D4"/>
    <w:rsid w:val="0011360E"/>
    <w:rsid w:val="00113E61"/>
    <w:rsid w:val="0011407C"/>
    <w:rsid w:val="001212CE"/>
    <w:rsid w:val="001225AD"/>
    <w:rsid w:val="00140377"/>
    <w:rsid w:val="00157114"/>
    <w:rsid w:val="0016157A"/>
    <w:rsid w:val="00165089"/>
    <w:rsid w:val="00167ED9"/>
    <w:rsid w:val="00172A27"/>
    <w:rsid w:val="00181F54"/>
    <w:rsid w:val="00185E8B"/>
    <w:rsid w:val="00187659"/>
    <w:rsid w:val="00191FCE"/>
    <w:rsid w:val="0019531C"/>
    <w:rsid w:val="001A7E3E"/>
    <w:rsid w:val="001B4082"/>
    <w:rsid w:val="001B560B"/>
    <w:rsid w:val="001C6628"/>
    <w:rsid w:val="001D04DB"/>
    <w:rsid w:val="001D792A"/>
    <w:rsid w:val="001E606E"/>
    <w:rsid w:val="001F68F0"/>
    <w:rsid w:val="001F6B9A"/>
    <w:rsid w:val="00205BD3"/>
    <w:rsid w:val="00214714"/>
    <w:rsid w:val="00215DDB"/>
    <w:rsid w:val="002166EA"/>
    <w:rsid w:val="00222949"/>
    <w:rsid w:val="0025063D"/>
    <w:rsid w:val="00261758"/>
    <w:rsid w:val="00291AED"/>
    <w:rsid w:val="00293B4B"/>
    <w:rsid w:val="002A5BD5"/>
    <w:rsid w:val="002A627A"/>
    <w:rsid w:val="002B2A6F"/>
    <w:rsid w:val="002B2D2E"/>
    <w:rsid w:val="002C3610"/>
    <w:rsid w:val="002D033C"/>
    <w:rsid w:val="002D0C13"/>
    <w:rsid w:val="002D1681"/>
    <w:rsid w:val="002E1B44"/>
    <w:rsid w:val="002E7856"/>
    <w:rsid w:val="002F57AA"/>
    <w:rsid w:val="002F72BB"/>
    <w:rsid w:val="003013A5"/>
    <w:rsid w:val="0030309D"/>
    <w:rsid w:val="00321970"/>
    <w:rsid w:val="003250C5"/>
    <w:rsid w:val="00336B09"/>
    <w:rsid w:val="00344B4E"/>
    <w:rsid w:val="00345171"/>
    <w:rsid w:val="0034522B"/>
    <w:rsid w:val="003623AB"/>
    <w:rsid w:val="00387C7A"/>
    <w:rsid w:val="0039055C"/>
    <w:rsid w:val="003A1105"/>
    <w:rsid w:val="003B54F4"/>
    <w:rsid w:val="003C11E9"/>
    <w:rsid w:val="003C30B8"/>
    <w:rsid w:val="003D2BA8"/>
    <w:rsid w:val="003D7135"/>
    <w:rsid w:val="003E1538"/>
    <w:rsid w:val="00406536"/>
    <w:rsid w:val="004140D9"/>
    <w:rsid w:val="004317A0"/>
    <w:rsid w:val="00437AFF"/>
    <w:rsid w:val="00442712"/>
    <w:rsid w:val="004432B1"/>
    <w:rsid w:val="00453CF6"/>
    <w:rsid w:val="0045495A"/>
    <w:rsid w:val="004660A5"/>
    <w:rsid w:val="00471816"/>
    <w:rsid w:val="00473660"/>
    <w:rsid w:val="0047559B"/>
    <w:rsid w:val="00475970"/>
    <w:rsid w:val="00475A32"/>
    <w:rsid w:val="00486B46"/>
    <w:rsid w:val="00486CB5"/>
    <w:rsid w:val="004A042A"/>
    <w:rsid w:val="004A16FC"/>
    <w:rsid w:val="004C63EB"/>
    <w:rsid w:val="004D2943"/>
    <w:rsid w:val="004E1D51"/>
    <w:rsid w:val="004E2CF8"/>
    <w:rsid w:val="004E4D0D"/>
    <w:rsid w:val="004E604A"/>
    <w:rsid w:val="004F73F6"/>
    <w:rsid w:val="0050068D"/>
    <w:rsid w:val="00500CDD"/>
    <w:rsid w:val="00513348"/>
    <w:rsid w:val="00522B10"/>
    <w:rsid w:val="00523797"/>
    <w:rsid w:val="00532DA2"/>
    <w:rsid w:val="00544BBD"/>
    <w:rsid w:val="00554E72"/>
    <w:rsid w:val="00582B62"/>
    <w:rsid w:val="005A1CA4"/>
    <w:rsid w:val="005A6FB7"/>
    <w:rsid w:val="005B0C71"/>
    <w:rsid w:val="005C2056"/>
    <w:rsid w:val="005C5932"/>
    <w:rsid w:val="005D014B"/>
    <w:rsid w:val="005D3EDD"/>
    <w:rsid w:val="005E5636"/>
    <w:rsid w:val="005F3B47"/>
    <w:rsid w:val="005F472B"/>
    <w:rsid w:val="0060042F"/>
    <w:rsid w:val="006013EF"/>
    <w:rsid w:val="0060641B"/>
    <w:rsid w:val="006163A4"/>
    <w:rsid w:val="00616639"/>
    <w:rsid w:val="00617D2F"/>
    <w:rsid w:val="00652F65"/>
    <w:rsid w:val="006569FA"/>
    <w:rsid w:val="00663AE8"/>
    <w:rsid w:val="006731F1"/>
    <w:rsid w:val="00673765"/>
    <w:rsid w:val="006770F2"/>
    <w:rsid w:val="006812D5"/>
    <w:rsid w:val="00691237"/>
    <w:rsid w:val="00695965"/>
    <w:rsid w:val="006B0580"/>
    <w:rsid w:val="006B24BF"/>
    <w:rsid w:val="006B2F5E"/>
    <w:rsid w:val="006C4B69"/>
    <w:rsid w:val="006D757D"/>
    <w:rsid w:val="006E3261"/>
    <w:rsid w:val="006E5622"/>
    <w:rsid w:val="006F1E5B"/>
    <w:rsid w:val="00705BA6"/>
    <w:rsid w:val="0071058F"/>
    <w:rsid w:val="00716A02"/>
    <w:rsid w:val="00726BF4"/>
    <w:rsid w:val="00730A44"/>
    <w:rsid w:val="00742DE1"/>
    <w:rsid w:val="007437FE"/>
    <w:rsid w:val="00744A2C"/>
    <w:rsid w:val="00775254"/>
    <w:rsid w:val="007826BE"/>
    <w:rsid w:val="007A09F7"/>
    <w:rsid w:val="007A3547"/>
    <w:rsid w:val="007A4037"/>
    <w:rsid w:val="007C0400"/>
    <w:rsid w:val="007C60F9"/>
    <w:rsid w:val="007D5456"/>
    <w:rsid w:val="007E7D17"/>
    <w:rsid w:val="007F26C0"/>
    <w:rsid w:val="00800191"/>
    <w:rsid w:val="00810328"/>
    <w:rsid w:val="00810557"/>
    <w:rsid w:val="008154E8"/>
    <w:rsid w:val="0082048D"/>
    <w:rsid w:val="00836B29"/>
    <w:rsid w:val="00846E18"/>
    <w:rsid w:val="00851E0D"/>
    <w:rsid w:val="00853271"/>
    <w:rsid w:val="0085362E"/>
    <w:rsid w:val="00856CCC"/>
    <w:rsid w:val="00862EB0"/>
    <w:rsid w:val="00864A0A"/>
    <w:rsid w:val="00882099"/>
    <w:rsid w:val="00885715"/>
    <w:rsid w:val="00896210"/>
    <w:rsid w:val="008A178C"/>
    <w:rsid w:val="008A6BF5"/>
    <w:rsid w:val="008C66E6"/>
    <w:rsid w:val="008D2B96"/>
    <w:rsid w:val="008D6C69"/>
    <w:rsid w:val="008E54F9"/>
    <w:rsid w:val="008F420A"/>
    <w:rsid w:val="00902B22"/>
    <w:rsid w:val="00910179"/>
    <w:rsid w:val="00914EB1"/>
    <w:rsid w:val="00914FED"/>
    <w:rsid w:val="009157C2"/>
    <w:rsid w:val="00924A75"/>
    <w:rsid w:val="00924CA1"/>
    <w:rsid w:val="00926080"/>
    <w:rsid w:val="00933C61"/>
    <w:rsid w:val="0093776A"/>
    <w:rsid w:val="009723A0"/>
    <w:rsid w:val="00973325"/>
    <w:rsid w:val="009820AE"/>
    <w:rsid w:val="00996300"/>
    <w:rsid w:val="009A0538"/>
    <w:rsid w:val="009A7FBB"/>
    <w:rsid w:val="009B2786"/>
    <w:rsid w:val="009B2D2A"/>
    <w:rsid w:val="009C18A0"/>
    <w:rsid w:val="009C1B27"/>
    <w:rsid w:val="009D0557"/>
    <w:rsid w:val="009D284C"/>
    <w:rsid w:val="009D2C76"/>
    <w:rsid w:val="009F4796"/>
    <w:rsid w:val="00A068BE"/>
    <w:rsid w:val="00A14D18"/>
    <w:rsid w:val="00A2339D"/>
    <w:rsid w:val="00A3107A"/>
    <w:rsid w:val="00A33907"/>
    <w:rsid w:val="00A54FEB"/>
    <w:rsid w:val="00A56B87"/>
    <w:rsid w:val="00A56C3A"/>
    <w:rsid w:val="00A703AD"/>
    <w:rsid w:val="00A75726"/>
    <w:rsid w:val="00A91D26"/>
    <w:rsid w:val="00A95964"/>
    <w:rsid w:val="00AA536E"/>
    <w:rsid w:val="00AA7A9E"/>
    <w:rsid w:val="00AB074D"/>
    <w:rsid w:val="00AB43B7"/>
    <w:rsid w:val="00AC00D4"/>
    <w:rsid w:val="00AC21E6"/>
    <w:rsid w:val="00AC60ED"/>
    <w:rsid w:val="00AD0292"/>
    <w:rsid w:val="00AD02B4"/>
    <w:rsid w:val="00AD6509"/>
    <w:rsid w:val="00AE6EE6"/>
    <w:rsid w:val="00B0693B"/>
    <w:rsid w:val="00B32B69"/>
    <w:rsid w:val="00B365E0"/>
    <w:rsid w:val="00B562C0"/>
    <w:rsid w:val="00B74E67"/>
    <w:rsid w:val="00B85C7A"/>
    <w:rsid w:val="00B90190"/>
    <w:rsid w:val="00BA051A"/>
    <w:rsid w:val="00BA1361"/>
    <w:rsid w:val="00BB6A9A"/>
    <w:rsid w:val="00BB71D7"/>
    <w:rsid w:val="00BB7848"/>
    <w:rsid w:val="00BC3D43"/>
    <w:rsid w:val="00BC4FE2"/>
    <w:rsid w:val="00BD4AC7"/>
    <w:rsid w:val="00BE7E7B"/>
    <w:rsid w:val="00BF1FAF"/>
    <w:rsid w:val="00BF2776"/>
    <w:rsid w:val="00BF6D84"/>
    <w:rsid w:val="00C01873"/>
    <w:rsid w:val="00C02D3E"/>
    <w:rsid w:val="00C05074"/>
    <w:rsid w:val="00C26A28"/>
    <w:rsid w:val="00C401DF"/>
    <w:rsid w:val="00C426D7"/>
    <w:rsid w:val="00C50048"/>
    <w:rsid w:val="00C63789"/>
    <w:rsid w:val="00C75F52"/>
    <w:rsid w:val="00C86530"/>
    <w:rsid w:val="00C96CC7"/>
    <w:rsid w:val="00C96CEF"/>
    <w:rsid w:val="00CC108C"/>
    <w:rsid w:val="00CC37EA"/>
    <w:rsid w:val="00CC582C"/>
    <w:rsid w:val="00CC7F32"/>
    <w:rsid w:val="00CD1E9E"/>
    <w:rsid w:val="00CE5691"/>
    <w:rsid w:val="00CF4CBD"/>
    <w:rsid w:val="00CF7086"/>
    <w:rsid w:val="00D046C6"/>
    <w:rsid w:val="00D163E4"/>
    <w:rsid w:val="00D32D46"/>
    <w:rsid w:val="00D40362"/>
    <w:rsid w:val="00D73558"/>
    <w:rsid w:val="00D77F75"/>
    <w:rsid w:val="00D80A1B"/>
    <w:rsid w:val="00D86938"/>
    <w:rsid w:val="00D9051E"/>
    <w:rsid w:val="00DA0FB2"/>
    <w:rsid w:val="00DB1CDE"/>
    <w:rsid w:val="00DC14C5"/>
    <w:rsid w:val="00DC6794"/>
    <w:rsid w:val="00DF0EF4"/>
    <w:rsid w:val="00E03A53"/>
    <w:rsid w:val="00E07360"/>
    <w:rsid w:val="00E16A1E"/>
    <w:rsid w:val="00E214AC"/>
    <w:rsid w:val="00E23EDC"/>
    <w:rsid w:val="00E2453B"/>
    <w:rsid w:val="00E30245"/>
    <w:rsid w:val="00E50906"/>
    <w:rsid w:val="00E532DD"/>
    <w:rsid w:val="00E62478"/>
    <w:rsid w:val="00E64B19"/>
    <w:rsid w:val="00E655D2"/>
    <w:rsid w:val="00E758B7"/>
    <w:rsid w:val="00E86622"/>
    <w:rsid w:val="00E86F72"/>
    <w:rsid w:val="00EA0996"/>
    <w:rsid w:val="00EA56DE"/>
    <w:rsid w:val="00ED019F"/>
    <w:rsid w:val="00ED558C"/>
    <w:rsid w:val="00F1248D"/>
    <w:rsid w:val="00F16875"/>
    <w:rsid w:val="00F171D4"/>
    <w:rsid w:val="00F20A22"/>
    <w:rsid w:val="00F25ECD"/>
    <w:rsid w:val="00F41FED"/>
    <w:rsid w:val="00F4390A"/>
    <w:rsid w:val="00F4541E"/>
    <w:rsid w:val="00F605FD"/>
    <w:rsid w:val="00F62F9F"/>
    <w:rsid w:val="00F66262"/>
    <w:rsid w:val="00F833DC"/>
    <w:rsid w:val="00F86E98"/>
    <w:rsid w:val="00F96775"/>
    <w:rsid w:val="00FA14C4"/>
    <w:rsid w:val="00FA1FAE"/>
    <w:rsid w:val="00FA2CDA"/>
    <w:rsid w:val="00FA6C08"/>
    <w:rsid w:val="00FC3AF3"/>
    <w:rsid w:val="00FD779C"/>
    <w:rsid w:val="00FD7F3A"/>
    <w:rsid w:val="00FE421F"/>
    <w:rsid w:val="00FF0CA4"/>
    <w:rsid w:val="00FF2FDB"/>
    <w:rsid w:val="00FF727B"/>
    <w:rsid w:val="013E1165"/>
    <w:rsid w:val="036F4D79"/>
    <w:rsid w:val="03D47ADC"/>
    <w:rsid w:val="054E7429"/>
    <w:rsid w:val="06431F2D"/>
    <w:rsid w:val="07DE071F"/>
    <w:rsid w:val="09AB6527"/>
    <w:rsid w:val="0EF43E45"/>
    <w:rsid w:val="0F2033CB"/>
    <w:rsid w:val="0F405D45"/>
    <w:rsid w:val="156D4E90"/>
    <w:rsid w:val="167A4BA7"/>
    <w:rsid w:val="1B7E7DF7"/>
    <w:rsid w:val="1D061E52"/>
    <w:rsid w:val="2006272A"/>
    <w:rsid w:val="21186CA9"/>
    <w:rsid w:val="227635D6"/>
    <w:rsid w:val="25F74A2E"/>
    <w:rsid w:val="27C052F3"/>
    <w:rsid w:val="27E9484A"/>
    <w:rsid w:val="29944C99"/>
    <w:rsid w:val="2A13446C"/>
    <w:rsid w:val="2D5A0AD1"/>
    <w:rsid w:val="352E08AC"/>
    <w:rsid w:val="359A2479"/>
    <w:rsid w:val="36407D2B"/>
    <w:rsid w:val="36B30278"/>
    <w:rsid w:val="39A700C1"/>
    <w:rsid w:val="3A563FC1"/>
    <w:rsid w:val="3CB925E5"/>
    <w:rsid w:val="3DFD4754"/>
    <w:rsid w:val="409E221E"/>
    <w:rsid w:val="409E3FCC"/>
    <w:rsid w:val="40E63BC5"/>
    <w:rsid w:val="42B31B3F"/>
    <w:rsid w:val="44354C47"/>
    <w:rsid w:val="46C422B2"/>
    <w:rsid w:val="471C3E9C"/>
    <w:rsid w:val="487B2E45"/>
    <w:rsid w:val="49611C85"/>
    <w:rsid w:val="49A87C69"/>
    <w:rsid w:val="4A1D0657"/>
    <w:rsid w:val="4A2F50C6"/>
    <w:rsid w:val="4BAA50B4"/>
    <w:rsid w:val="50890CD9"/>
    <w:rsid w:val="53177BEE"/>
    <w:rsid w:val="53587FCB"/>
    <w:rsid w:val="53B3216B"/>
    <w:rsid w:val="542425E2"/>
    <w:rsid w:val="565F5B54"/>
    <w:rsid w:val="58713B13"/>
    <w:rsid w:val="5A91632C"/>
    <w:rsid w:val="5AB913F8"/>
    <w:rsid w:val="5B53091F"/>
    <w:rsid w:val="5E187E81"/>
    <w:rsid w:val="5E3D49CC"/>
    <w:rsid w:val="5E8C14B0"/>
    <w:rsid w:val="5EDE0F23"/>
    <w:rsid w:val="612B1C62"/>
    <w:rsid w:val="632223E3"/>
    <w:rsid w:val="648669A1"/>
    <w:rsid w:val="648E511B"/>
    <w:rsid w:val="651D567F"/>
    <w:rsid w:val="66B005A3"/>
    <w:rsid w:val="66F916AD"/>
    <w:rsid w:val="677242FB"/>
    <w:rsid w:val="6F520DC7"/>
    <w:rsid w:val="723C4DAF"/>
    <w:rsid w:val="738F46F1"/>
    <w:rsid w:val="747131CA"/>
    <w:rsid w:val="75616D9B"/>
    <w:rsid w:val="7A762ED8"/>
    <w:rsid w:val="7CE02C9B"/>
    <w:rsid w:val="7FC921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line="560" w:lineRule="exact"/>
      <w:ind w:firstLine="200" w:firstLineChars="200"/>
      <w:outlineLvl w:val="0"/>
    </w:pPr>
    <w:rPr>
      <w:rFonts w:eastAsia="黑体"/>
      <w:bCs/>
      <w:kern w:val="44"/>
      <w:sz w:val="32"/>
      <w:szCs w:val="44"/>
    </w:rPr>
  </w:style>
  <w:style w:type="paragraph" w:styleId="3">
    <w:name w:val="heading 2"/>
    <w:basedOn w:val="1"/>
    <w:next w:val="1"/>
    <w:link w:val="23"/>
    <w:unhideWhenUsed/>
    <w:qFormat/>
    <w:uiPriority w:val="9"/>
    <w:pPr>
      <w:keepNext/>
      <w:keepLines/>
      <w:spacing w:line="560" w:lineRule="exact"/>
      <w:ind w:firstLine="200" w:firstLineChars="200"/>
      <w:outlineLvl w:val="1"/>
    </w:pPr>
    <w:rPr>
      <w:rFonts w:eastAsia="楷体_GB2312" w:asciiTheme="majorHAnsi" w:hAnsiTheme="majorHAnsi" w:cstheme="majorBidi"/>
      <w:bCs/>
      <w:sz w:val="32"/>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21"/>
    <w:semiHidden/>
    <w:unhideWhenUsed/>
    <w:qFormat/>
    <w:uiPriority w:val="99"/>
    <w:pPr>
      <w:ind w:left="100" w:leftChars="2500"/>
    </w:pPr>
  </w:style>
  <w:style w:type="paragraph" w:styleId="5">
    <w:name w:val="Balloon Text"/>
    <w:basedOn w:val="1"/>
    <w:link w:val="25"/>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footnote text"/>
    <w:basedOn w:val="1"/>
    <w:semiHidden/>
    <w:unhideWhenUsed/>
    <w:qFormat/>
    <w:uiPriority w:val="99"/>
    <w:pPr>
      <w:snapToGrid w:val="0"/>
      <w:jc w:val="left"/>
    </w:pPr>
    <w:rPr>
      <w:sz w:val="18"/>
    </w:rPr>
  </w:style>
  <w:style w:type="paragraph" w:styleId="10">
    <w:name w:val="toc 2"/>
    <w:basedOn w:val="1"/>
    <w:next w:val="1"/>
    <w:unhideWhenUsed/>
    <w:qFormat/>
    <w:uiPriority w:val="39"/>
    <w:pPr>
      <w:tabs>
        <w:tab w:val="right" w:leader="dot" w:pos="8296"/>
      </w:tabs>
      <w:spacing w:line="560" w:lineRule="exact"/>
      <w:ind w:left="420" w:leftChars="200"/>
    </w:p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character" w:styleId="14">
    <w:name w:val="FollowedHyperlink"/>
    <w:basedOn w:val="13"/>
    <w:semiHidden/>
    <w:unhideWhenUsed/>
    <w:uiPriority w:val="99"/>
    <w:rPr>
      <w:color w:val="771CAA"/>
      <w:sz w:val="19"/>
      <w:szCs w:val="19"/>
      <w:u w:val="none"/>
    </w:rPr>
  </w:style>
  <w:style w:type="character" w:styleId="15">
    <w:name w:val="Emphasis"/>
    <w:basedOn w:val="13"/>
    <w:qFormat/>
    <w:uiPriority w:val="20"/>
    <w:rPr>
      <w:color w:val="F73131"/>
      <w:shd w:val="clear" w:color="auto" w:fill="FFFFFF"/>
    </w:rPr>
  </w:style>
  <w:style w:type="character" w:styleId="16">
    <w:name w:val="Hyperlink"/>
    <w:basedOn w:val="13"/>
    <w:unhideWhenUsed/>
    <w:qFormat/>
    <w:uiPriority w:val="99"/>
    <w:rPr>
      <w:color w:val="0000FF" w:themeColor="hyperlink"/>
      <w:u w:val="single"/>
    </w:rPr>
  </w:style>
  <w:style w:type="character" w:styleId="17">
    <w:name w:val="HTML Cite"/>
    <w:basedOn w:val="13"/>
    <w:semiHidden/>
    <w:unhideWhenUsed/>
    <w:uiPriority w:val="99"/>
    <w:rPr>
      <w:color w:val="008000"/>
    </w:rPr>
  </w:style>
  <w:style w:type="character" w:styleId="18">
    <w:name w:val="footnote reference"/>
    <w:basedOn w:val="13"/>
    <w:semiHidden/>
    <w:unhideWhenUsed/>
    <w:qFormat/>
    <w:uiPriority w:val="99"/>
    <w:rPr>
      <w:vertAlign w:val="superscript"/>
    </w:rPr>
  </w:style>
  <w:style w:type="character" w:customStyle="1" w:styleId="19">
    <w:name w:val="页眉 Char"/>
    <w:basedOn w:val="13"/>
    <w:link w:val="7"/>
    <w:semiHidden/>
    <w:qFormat/>
    <w:uiPriority w:val="99"/>
    <w:rPr>
      <w:sz w:val="18"/>
      <w:szCs w:val="18"/>
    </w:rPr>
  </w:style>
  <w:style w:type="character" w:customStyle="1" w:styleId="20">
    <w:name w:val="页脚 Char"/>
    <w:basedOn w:val="13"/>
    <w:link w:val="6"/>
    <w:qFormat/>
    <w:uiPriority w:val="99"/>
    <w:rPr>
      <w:sz w:val="18"/>
      <w:szCs w:val="18"/>
    </w:rPr>
  </w:style>
  <w:style w:type="character" w:customStyle="1" w:styleId="21">
    <w:name w:val="日期 Char"/>
    <w:basedOn w:val="13"/>
    <w:link w:val="4"/>
    <w:semiHidden/>
    <w:qFormat/>
    <w:uiPriority w:val="99"/>
  </w:style>
  <w:style w:type="character" w:customStyle="1" w:styleId="22">
    <w:name w:val="标题 1 Char"/>
    <w:basedOn w:val="13"/>
    <w:link w:val="2"/>
    <w:qFormat/>
    <w:uiPriority w:val="9"/>
    <w:rPr>
      <w:rFonts w:eastAsia="黑体"/>
      <w:bCs/>
      <w:kern w:val="44"/>
      <w:sz w:val="32"/>
      <w:szCs w:val="44"/>
    </w:rPr>
  </w:style>
  <w:style w:type="character" w:customStyle="1" w:styleId="23">
    <w:name w:val="标题 2 Char"/>
    <w:basedOn w:val="13"/>
    <w:link w:val="3"/>
    <w:qFormat/>
    <w:uiPriority w:val="9"/>
    <w:rPr>
      <w:rFonts w:eastAsia="楷体_GB2312" w:asciiTheme="majorHAnsi" w:hAnsiTheme="majorHAnsi" w:cstheme="majorBidi"/>
      <w:bCs/>
      <w:sz w:val="32"/>
      <w:szCs w:val="32"/>
    </w:rPr>
  </w:style>
  <w:style w:type="paragraph" w:customStyle="1" w:styleId="24">
    <w:name w:val="TOC 标题1"/>
    <w:basedOn w:val="2"/>
    <w:next w:val="1"/>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66091" w:themeColor="accent1" w:themeShade="BF"/>
      <w:kern w:val="0"/>
      <w:sz w:val="28"/>
      <w:szCs w:val="28"/>
    </w:rPr>
  </w:style>
  <w:style w:type="character" w:customStyle="1" w:styleId="25">
    <w:name w:val="批注框文本 Char"/>
    <w:basedOn w:val="13"/>
    <w:link w:val="5"/>
    <w:semiHidden/>
    <w:qFormat/>
    <w:uiPriority w:val="99"/>
    <w:rPr>
      <w:sz w:val="18"/>
      <w:szCs w:val="18"/>
    </w:rPr>
  </w:style>
  <w:style w:type="character" w:customStyle="1" w:styleId="26">
    <w:name w:val="c-icon"/>
    <w:basedOn w:val="13"/>
    <w:uiPriority w:val="0"/>
  </w:style>
  <w:style w:type="character" w:customStyle="1" w:styleId="27">
    <w:name w:val="hover24"/>
    <w:basedOn w:val="13"/>
    <w:uiPriority w:val="0"/>
    <w:rPr>
      <w:color w:val="315EFB"/>
    </w:rPr>
  </w:style>
  <w:style w:type="character" w:customStyle="1" w:styleId="28">
    <w:name w:val="hover25"/>
    <w:basedOn w:val="13"/>
    <w:uiPriority w:val="0"/>
  </w:style>
  <w:style w:type="character" w:customStyle="1" w:styleId="29">
    <w:name w:val="hover26"/>
    <w:basedOn w:val="13"/>
    <w:uiPriority w:val="0"/>
    <w:rPr>
      <w:color w:val="315EFB"/>
    </w:rPr>
  </w:style>
  <w:style w:type="character" w:customStyle="1" w:styleId="30">
    <w:name w:val="hover27"/>
    <w:basedOn w:val="13"/>
    <w:uiPriority w:val="0"/>
    <w:rPr>
      <w:color w:val="315EFB"/>
      <w:shd w:val="clear" w:color="auto" w:fill="F0F3F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76BC1-1A77-4E53-9AB9-0086CC2C60C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14731</Words>
  <Characters>15631</Characters>
  <Lines>129</Lines>
  <Paragraphs>36</Paragraphs>
  <TotalTime>7</TotalTime>
  <ScaleCrop>false</ScaleCrop>
  <LinksUpToDate>false</LinksUpToDate>
  <CharactersWithSpaces>15746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2023-07-24T02:27:00Z</dcterms:created>
  <dc:creator>李天乐</dc:creator>
  <cp:lastModifiedBy>紫砂萱</cp:lastModifiedBy>
  <cp:lastPrinted>2023-09-15T09:00:00Z</cp:lastPrinted>
  <dcterms:modified xsi:type="dcterms:W3CDTF">2024-09-18T06:51:57Z</dcterms:modified>
  <cp:revision>241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4090B5AA5E94489EBF28F673ABB4A9A4_12</vt:lpwstr>
  </property>
</Properties>
</file>