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54E90">
      <w:pPr>
        <w:spacing w:line="247" w:lineRule="auto"/>
        <w:jc w:val="left"/>
        <w:rPr>
          <w:rFonts w:ascii="方正小标宋简体" w:eastAsia="方正小标宋简体"/>
          <w:sz w:val="18"/>
          <w:szCs w:val="18"/>
        </w:rPr>
      </w:pPr>
    </w:p>
    <w:p w14:paraId="087F5565">
      <w:pPr>
        <w:spacing w:line="247" w:lineRule="auto"/>
        <w:jc w:val="left"/>
        <w:rPr>
          <w:rFonts w:ascii="方正小标宋简体" w:eastAsia="方正小标宋简体"/>
          <w:sz w:val="18"/>
          <w:szCs w:val="18"/>
        </w:rPr>
      </w:pPr>
    </w:p>
    <w:p w14:paraId="3921B423">
      <w:pPr>
        <w:spacing w:line="247" w:lineRule="auto"/>
        <w:jc w:val="left"/>
        <w:rPr>
          <w:rFonts w:ascii="方正小标宋简体" w:eastAsia="方正小标宋简体"/>
          <w:sz w:val="18"/>
          <w:szCs w:val="18"/>
        </w:rPr>
      </w:pPr>
    </w:p>
    <w:p w14:paraId="496E4995">
      <w:pPr>
        <w:spacing w:line="247" w:lineRule="auto"/>
        <w:jc w:val="left"/>
        <w:rPr>
          <w:rFonts w:ascii="方正小标宋简体" w:eastAsia="方正小标宋简体"/>
          <w:sz w:val="18"/>
          <w:szCs w:val="18"/>
        </w:rPr>
      </w:pPr>
    </w:p>
    <w:p w14:paraId="39629A70">
      <w:pPr>
        <w:spacing w:line="247" w:lineRule="auto"/>
        <w:jc w:val="left"/>
        <w:rPr>
          <w:rFonts w:ascii="方正小标宋简体" w:eastAsia="方正小标宋简体"/>
          <w:sz w:val="18"/>
          <w:szCs w:val="18"/>
        </w:rPr>
      </w:pPr>
    </w:p>
    <w:p w14:paraId="54207A98">
      <w:pPr>
        <w:spacing w:line="247" w:lineRule="auto"/>
        <w:jc w:val="left"/>
        <w:rPr>
          <w:rFonts w:ascii="方正小标宋简体" w:eastAsia="方正小标宋简体"/>
          <w:sz w:val="18"/>
          <w:szCs w:val="18"/>
        </w:rPr>
      </w:pPr>
    </w:p>
    <w:p w14:paraId="40D6BA27">
      <w:pPr>
        <w:spacing w:line="247" w:lineRule="auto"/>
        <w:jc w:val="left"/>
        <w:rPr>
          <w:rFonts w:ascii="方正小标宋简体" w:eastAsia="方正小标宋简体"/>
          <w:sz w:val="18"/>
          <w:szCs w:val="18"/>
        </w:rPr>
      </w:pPr>
    </w:p>
    <w:p w14:paraId="11C72658">
      <w:pPr>
        <w:spacing w:line="247" w:lineRule="auto"/>
        <w:jc w:val="left"/>
        <w:rPr>
          <w:rFonts w:ascii="方正小标宋简体" w:eastAsia="方正小标宋简体"/>
          <w:sz w:val="18"/>
          <w:szCs w:val="18"/>
        </w:rPr>
      </w:pPr>
    </w:p>
    <w:p w14:paraId="5D8792C1">
      <w:pPr>
        <w:spacing w:line="247" w:lineRule="auto"/>
        <w:jc w:val="left"/>
        <w:rPr>
          <w:rFonts w:ascii="方正小标宋简体" w:eastAsia="方正小标宋简体"/>
          <w:sz w:val="18"/>
          <w:szCs w:val="18"/>
        </w:rPr>
      </w:pPr>
    </w:p>
    <w:p w14:paraId="3515ECA3">
      <w:pPr>
        <w:spacing w:line="247" w:lineRule="auto"/>
        <w:jc w:val="left"/>
        <w:rPr>
          <w:rFonts w:ascii="方正小标宋简体" w:eastAsia="方正小标宋简体"/>
          <w:sz w:val="18"/>
          <w:szCs w:val="18"/>
        </w:rPr>
      </w:pPr>
    </w:p>
    <w:p w14:paraId="001A0BB8">
      <w:pPr>
        <w:spacing w:line="247" w:lineRule="auto"/>
        <w:jc w:val="left"/>
        <w:rPr>
          <w:rFonts w:ascii="方正小标宋简体" w:eastAsia="方正小标宋简体"/>
          <w:sz w:val="18"/>
          <w:szCs w:val="18"/>
        </w:rPr>
      </w:pPr>
    </w:p>
    <w:p w14:paraId="4E2A81D2">
      <w:pPr>
        <w:spacing w:line="247" w:lineRule="auto"/>
        <w:jc w:val="left"/>
        <w:rPr>
          <w:rFonts w:ascii="方正小标宋简体" w:eastAsia="方正小标宋简体"/>
          <w:sz w:val="18"/>
          <w:szCs w:val="18"/>
        </w:rPr>
      </w:pPr>
    </w:p>
    <w:p w14:paraId="5C71FA1A">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乌尔禾百口泉克拉玛依宝胜商贸有限</w:t>
      </w:r>
    </w:p>
    <w:p w14:paraId="0B765B74">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公司“11·4”一般车辆伤害事故</w:t>
      </w:r>
    </w:p>
    <w:p w14:paraId="4B7992F5">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调查报告</w:t>
      </w:r>
    </w:p>
    <w:p w14:paraId="6C045E48">
      <w:pPr>
        <w:spacing w:line="247" w:lineRule="auto"/>
        <w:jc w:val="left"/>
        <w:rPr>
          <w:rFonts w:ascii="方正小标宋简体" w:eastAsia="方正小标宋简体"/>
          <w:sz w:val="18"/>
          <w:szCs w:val="18"/>
        </w:rPr>
      </w:pPr>
    </w:p>
    <w:p w14:paraId="0ED940C1">
      <w:pPr>
        <w:spacing w:line="247" w:lineRule="auto"/>
        <w:jc w:val="left"/>
        <w:rPr>
          <w:rFonts w:ascii="方正小标宋简体" w:eastAsia="方正小标宋简体"/>
          <w:sz w:val="18"/>
          <w:szCs w:val="18"/>
        </w:rPr>
      </w:pPr>
    </w:p>
    <w:p w14:paraId="02EE8A6A">
      <w:pPr>
        <w:spacing w:line="247" w:lineRule="auto"/>
        <w:jc w:val="left"/>
        <w:rPr>
          <w:rFonts w:ascii="方正小标宋简体" w:eastAsia="方正小标宋简体"/>
          <w:sz w:val="18"/>
          <w:szCs w:val="18"/>
        </w:rPr>
      </w:pPr>
    </w:p>
    <w:p w14:paraId="0935F0D3">
      <w:pPr>
        <w:spacing w:line="247" w:lineRule="auto"/>
        <w:jc w:val="left"/>
        <w:rPr>
          <w:rFonts w:ascii="方正小标宋简体" w:eastAsia="方正小标宋简体"/>
          <w:sz w:val="18"/>
          <w:szCs w:val="18"/>
        </w:rPr>
      </w:pPr>
    </w:p>
    <w:p w14:paraId="6EC3FF33">
      <w:pPr>
        <w:spacing w:line="247" w:lineRule="auto"/>
        <w:jc w:val="left"/>
        <w:rPr>
          <w:rFonts w:ascii="方正小标宋简体" w:eastAsia="方正小标宋简体"/>
          <w:sz w:val="18"/>
          <w:szCs w:val="18"/>
        </w:rPr>
      </w:pPr>
    </w:p>
    <w:p w14:paraId="2D64CB78">
      <w:pPr>
        <w:spacing w:line="247" w:lineRule="auto"/>
        <w:jc w:val="left"/>
        <w:rPr>
          <w:rFonts w:ascii="方正小标宋简体" w:eastAsia="方正小标宋简体"/>
          <w:sz w:val="18"/>
          <w:szCs w:val="18"/>
        </w:rPr>
      </w:pPr>
    </w:p>
    <w:p w14:paraId="63C9FEA2">
      <w:pPr>
        <w:spacing w:line="247" w:lineRule="auto"/>
        <w:jc w:val="left"/>
        <w:rPr>
          <w:rFonts w:ascii="方正小标宋简体" w:eastAsia="方正小标宋简体"/>
          <w:sz w:val="18"/>
          <w:szCs w:val="18"/>
        </w:rPr>
      </w:pPr>
    </w:p>
    <w:p w14:paraId="4A6D79EF">
      <w:pPr>
        <w:spacing w:line="247" w:lineRule="auto"/>
        <w:jc w:val="left"/>
        <w:rPr>
          <w:rFonts w:ascii="方正小标宋简体" w:eastAsia="方正小标宋简体"/>
          <w:sz w:val="18"/>
          <w:szCs w:val="18"/>
        </w:rPr>
      </w:pPr>
    </w:p>
    <w:p w14:paraId="0B92FD13">
      <w:pPr>
        <w:spacing w:line="247" w:lineRule="auto"/>
        <w:jc w:val="left"/>
        <w:rPr>
          <w:rFonts w:ascii="方正小标宋简体" w:eastAsia="方正小标宋简体"/>
          <w:sz w:val="18"/>
          <w:szCs w:val="18"/>
        </w:rPr>
      </w:pPr>
    </w:p>
    <w:p w14:paraId="3667AF84">
      <w:pPr>
        <w:spacing w:line="247" w:lineRule="auto"/>
        <w:jc w:val="left"/>
        <w:rPr>
          <w:rFonts w:ascii="方正小标宋简体" w:eastAsia="方正小标宋简体"/>
          <w:sz w:val="18"/>
          <w:szCs w:val="18"/>
        </w:rPr>
      </w:pPr>
    </w:p>
    <w:p w14:paraId="44912A7C">
      <w:pPr>
        <w:spacing w:line="247" w:lineRule="auto"/>
        <w:jc w:val="left"/>
        <w:rPr>
          <w:rFonts w:ascii="方正小标宋简体" w:eastAsia="方正小标宋简体"/>
          <w:sz w:val="18"/>
          <w:szCs w:val="18"/>
        </w:rPr>
      </w:pPr>
    </w:p>
    <w:p w14:paraId="0B42D935">
      <w:pPr>
        <w:spacing w:line="247" w:lineRule="auto"/>
        <w:jc w:val="left"/>
        <w:rPr>
          <w:rFonts w:ascii="方正小标宋简体" w:eastAsia="方正小标宋简体"/>
          <w:sz w:val="18"/>
          <w:szCs w:val="18"/>
        </w:rPr>
      </w:pPr>
    </w:p>
    <w:p w14:paraId="2735D4AC">
      <w:pPr>
        <w:spacing w:line="247" w:lineRule="auto"/>
        <w:jc w:val="left"/>
        <w:rPr>
          <w:rFonts w:ascii="方正小标宋简体" w:eastAsia="方正小标宋简体"/>
          <w:sz w:val="18"/>
          <w:szCs w:val="18"/>
        </w:rPr>
      </w:pPr>
    </w:p>
    <w:p w14:paraId="48A38F61">
      <w:pPr>
        <w:spacing w:line="247" w:lineRule="auto"/>
        <w:jc w:val="left"/>
        <w:rPr>
          <w:rFonts w:ascii="方正小标宋简体" w:eastAsia="方正小标宋简体"/>
          <w:sz w:val="18"/>
          <w:szCs w:val="18"/>
        </w:rPr>
      </w:pPr>
    </w:p>
    <w:p w14:paraId="22F8D193">
      <w:pPr>
        <w:spacing w:line="247" w:lineRule="auto"/>
        <w:jc w:val="left"/>
        <w:rPr>
          <w:rFonts w:ascii="方正小标宋简体" w:eastAsia="方正小标宋简体"/>
          <w:sz w:val="18"/>
          <w:szCs w:val="18"/>
        </w:rPr>
      </w:pPr>
    </w:p>
    <w:p w14:paraId="3423FB0B">
      <w:pPr>
        <w:spacing w:line="247" w:lineRule="auto"/>
        <w:jc w:val="left"/>
        <w:rPr>
          <w:rFonts w:ascii="方正小标宋简体" w:eastAsia="方正小标宋简体"/>
          <w:sz w:val="18"/>
          <w:szCs w:val="18"/>
        </w:rPr>
      </w:pPr>
    </w:p>
    <w:p w14:paraId="39064230">
      <w:pPr>
        <w:spacing w:line="247" w:lineRule="auto"/>
        <w:jc w:val="left"/>
        <w:rPr>
          <w:rFonts w:ascii="方正小标宋简体" w:eastAsia="方正小标宋简体"/>
          <w:sz w:val="18"/>
          <w:szCs w:val="18"/>
        </w:rPr>
      </w:pPr>
    </w:p>
    <w:p w14:paraId="5B2A7A62">
      <w:pPr>
        <w:spacing w:line="560" w:lineRule="exact"/>
        <w:jc w:val="center"/>
        <w:rPr>
          <w:rFonts w:ascii="仿宋_GB2312" w:eastAsia="仿宋_GB2312"/>
          <w:sz w:val="32"/>
          <w:szCs w:val="32"/>
        </w:rPr>
      </w:pPr>
      <w:r>
        <w:rPr>
          <w:rFonts w:hint="eastAsia" w:ascii="仿宋_GB2312" w:eastAsia="仿宋_GB2312"/>
          <w:sz w:val="32"/>
          <w:szCs w:val="32"/>
        </w:rPr>
        <w:t>乌尔禾区政府事故调查组</w:t>
      </w:r>
    </w:p>
    <w:p w14:paraId="0F0A90E2">
      <w:pPr>
        <w:spacing w:line="560" w:lineRule="exact"/>
        <w:jc w:val="center"/>
        <w:rPr>
          <w:rFonts w:ascii="仿宋_GB2312" w:eastAsia="仿宋_GB2312"/>
          <w:sz w:val="32"/>
          <w:szCs w:val="32"/>
        </w:rPr>
        <w:sectPr>
          <w:footerReference r:id="rId4" w:type="default"/>
          <w:pgSz w:w="11906" w:h="16838"/>
          <w:pgMar w:top="2098" w:right="1474" w:bottom="1985" w:left="1588" w:header="851" w:footer="992" w:gutter="0"/>
          <w:cols w:space="425" w:num="1"/>
          <w:docGrid w:type="lines" w:linePitch="312" w:charSpace="0"/>
        </w:sectPr>
      </w:pPr>
      <w:r>
        <w:rPr>
          <w:rFonts w:hint="eastAsia" w:ascii="仿宋_GB2312" w:eastAsia="仿宋_GB2312"/>
          <w:sz w:val="32"/>
          <w:szCs w:val="32"/>
        </w:rPr>
        <w:t>2024年4月18日</w:t>
      </w:r>
    </w:p>
    <w:sdt>
      <w:sdtPr>
        <w:rPr>
          <w:rFonts w:asciiTheme="minorHAnsi" w:hAnsiTheme="minorHAnsi" w:eastAsiaTheme="minorEastAsia" w:cstheme="minorBidi"/>
          <w:b w:val="0"/>
          <w:bCs w:val="0"/>
          <w:color w:val="auto"/>
          <w:kern w:val="2"/>
          <w:sz w:val="21"/>
          <w:szCs w:val="22"/>
          <w:lang w:val="zh-CN"/>
        </w:rPr>
        <w:id w:val="22891197"/>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14:paraId="313ECD4E">
          <w:pPr>
            <w:pStyle w:val="22"/>
            <w:jc w:val="center"/>
            <w:rPr>
              <w:b w:val="0"/>
              <w:color w:val="auto"/>
              <w:sz w:val="32"/>
              <w:szCs w:val="32"/>
            </w:rPr>
          </w:pPr>
          <w:r>
            <w:rPr>
              <w:b w:val="0"/>
              <w:color w:val="auto"/>
              <w:sz w:val="32"/>
              <w:szCs w:val="32"/>
              <w:lang w:val="zh-CN"/>
            </w:rPr>
            <w:t>目</w:t>
          </w:r>
          <w:r>
            <w:rPr>
              <w:rFonts w:hint="eastAsia"/>
              <w:b w:val="0"/>
              <w:color w:val="auto"/>
              <w:sz w:val="32"/>
              <w:szCs w:val="32"/>
              <w:lang w:val="zh-CN"/>
            </w:rPr>
            <w:t xml:space="preserve"> </w:t>
          </w:r>
          <w:r>
            <w:rPr>
              <w:b w:val="0"/>
              <w:color w:val="auto"/>
              <w:sz w:val="32"/>
              <w:szCs w:val="32"/>
              <w:lang w:val="zh-CN"/>
            </w:rPr>
            <w:t>录</w:t>
          </w:r>
        </w:p>
        <w:p w14:paraId="0A27F980">
          <w:pPr>
            <w:pStyle w:val="8"/>
          </w:pPr>
          <w:r>
            <w:fldChar w:fldCharType="begin"/>
          </w:r>
          <w:r>
            <w:instrText xml:space="preserve"> TOC \o "1-3" \h \z \u </w:instrText>
          </w:r>
          <w:r>
            <w:fldChar w:fldCharType="separate"/>
          </w:r>
          <w:r>
            <w:fldChar w:fldCharType="begin"/>
          </w:r>
          <w:r>
            <w:instrText xml:space="preserve"> HYPERLINK \l "_Toc166600184" </w:instrText>
          </w:r>
          <w:r>
            <w:fldChar w:fldCharType="separate"/>
          </w:r>
          <w:r>
            <w:rPr>
              <w:rStyle w:val="14"/>
              <w:rFonts w:hint="eastAsia" w:ascii="黑体" w:hAnsi="黑体" w:eastAsia="黑体"/>
              <w:sz w:val="24"/>
              <w:szCs w:val="24"/>
            </w:rPr>
            <w:t>一、基本情况</w:t>
          </w:r>
          <w:r>
            <w:tab/>
          </w:r>
          <w:r>
            <w:fldChar w:fldCharType="begin"/>
          </w:r>
          <w:r>
            <w:instrText xml:space="preserve"> PAGEREF _Toc166600184 \h </w:instrText>
          </w:r>
          <w:r>
            <w:fldChar w:fldCharType="separate"/>
          </w:r>
          <w:r>
            <w:t>2</w:t>
          </w:r>
          <w:r>
            <w:fldChar w:fldCharType="end"/>
          </w:r>
          <w:r>
            <w:fldChar w:fldCharType="end"/>
          </w:r>
        </w:p>
        <w:p w14:paraId="62B60BA5">
          <w:pPr>
            <w:pStyle w:val="10"/>
          </w:pPr>
          <w:r>
            <w:fldChar w:fldCharType="begin"/>
          </w:r>
          <w:r>
            <w:instrText xml:space="preserve"> HYPERLINK \l "_Toc166600185" </w:instrText>
          </w:r>
          <w:r>
            <w:fldChar w:fldCharType="separate"/>
          </w:r>
          <w:r>
            <w:rPr>
              <w:rStyle w:val="14"/>
              <w:rFonts w:hint="eastAsia" w:asciiTheme="minorEastAsia" w:hAnsiTheme="minorEastAsia"/>
              <w:sz w:val="24"/>
              <w:szCs w:val="24"/>
            </w:rPr>
            <w:t>（一）事故发生单位及相关单位的基本情况</w:t>
          </w:r>
          <w:r>
            <w:tab/>
          </w:r>
          <w:r>
            <w:fldChar w:fldCharType="begin"/>
          </w:r>
          <w:r>
            <w:instrText xml:space="preserve"> PAGEREF _Toc166600185 \h </w:instrText>
          </w:r>
          <w:r>
            <w:fldChar w:fldCharType="separate"/>
          </w:r>
          <w:r>
            <w:t>2</w:t>
          </w:r>
          <w:r>
            <w:fldChar w:fldCharType="end"/>
          </w:r>
          <w:r>
            <w:fldChar w:fldCharType="end"/>
          </w:r>
        </w:p>
        <w:p w14:paraId="2805790F">
          <w:pPr>
            <w:pStyle w:val="10"/>
          </w:pPr>
          <w:r>
            <w:fldChar w:fldCharType="begin"/>
          </w:r>
          <w:r>
            <w:instrText xml:space="preserve"> HYPERLINK \l "_Toc166600186" </w:instrText>
          </w:r>
          <w:r>
            <w:fldChar w:fldCharType="separate"/>
          </w:r>
          <w:r>
            <w:rPr>
              <w:rStyle w:val="14"/>
              <w:rFonts w:hint="eastAsia" w:asciiTheme="minorEastAsia" w:hAnsiTheme="minorEastAsia"/>
              <w:sz w:val="24"/>
              <w:szCs w:val="24"/>
            </w:rPr>
            <w:t>（二）合同签订情况</w:t>
          </w:r>
          <w:r>
            <w:tab/>
          </w:r>
          <w:r>
            <w:fldChar w:fldCharType="begin"/>
          </w:r>
          <w:r>
            <w:instrText xml:space="preserve"> PAGEREF _Toc166600186 \h </w:instrText>
          </w:r>
          <w:r>
            <w:fldChar w:fldCharType="separate"/>
          </w:r>
          <w:r>
            <w:t>3</w:t>
          </w:r>
          <w:r>
            <w:fldChar w:fldCharType="end"/>
          </w:r>
          <w:r>
            <w:fldChar w:fldCharType="end"/>
          </w:r>
        </w:p>
        <w:p w14:paraId="437C9109">
          <w:pPr>
            <w:pStyle w:val="10"/>
          </w:pPr>
          <w:r>
            <w:fldChar w:fldCharType="begin"/>
          </w:r>
          <w:r>
            <w:instrText xml:space="preserve"> HYPERLINK \l "_Toc166600187" </w:instrText>
          </w:r>
          <w:r>
            <w:fldChar w:fldCharType="separate"/>
          </w:r>
          <w:r>
            <w:rPr>
              <w:rStyle w:val="14"/>
              <w:rFonts w:hint="eastAsia" w:asciiTheme="minorEastAsia" w:hAnsiTheme="minorEastAsia"/>
              <w:sz w:val="24"/>
              <w:szCs w:val="24"/>
            </w:rPr>
            <w:t>（三）事故车辆与驾驶人员基本情况</w:t>
          </w:r>
          <w:r>
            <w:tab/>
          </w:r>
          <w:r>
            <w:fldChar w:fldCharType="begin"/>
          </w:r>
          <w:r>
            <w:instrText xml:space="preserve"> PAGEREF _Toc166600187 \h </w:instrText>
          </w:r>
          <w:r>
            <w:fldChar w:fldCharType="separate"/>
          </w:r>
          <w:r>
            <w:t>4</w:t>
          </w:r>
          <w:r>
            <w:fldChar w:fldCharType="end"/>
          </w:r>
          <w:r>
            <w:fldChar w:fldCharType="end"/>
          </w:r>
        </w:p>
        <w:p w14:paraId="23770EC5">
          <w:pPr>
            <w:pStyle w:val="10"/>
          </w:pPr>
          <w:r>
            <w:fldChar w:fldCharType="begin"/>
          </w:r>
          <w:r>
            <w:instrText xml:space="preserve"> HYPERLINK \l "_Toc166600188" </w:instrText>
          </w:r>
          <w:r>
            <w:fldChar w:fldCharType="separate"/>
          </w:r>
          <w:r>
            <w:rPr>
              <w:rStyle w:val="14"/>
              <w:rFonts w:hint="eastAsia" w:asciiTheme="minorEastAsia" w:hAnsiTheme="minorEastAsia"/>
              <w:sz w:val="24"/>
              <w:szCs w:val="24"/>
            </w:rPr>
            <w:t>（四）事故相关单位安全管理情况</w:t>
          </w:r>
          <w:r>
            <w:tab/>
          </w:r>
          <w:r>
            <w:fldChar w:fldCharType="begin"/>
          </w:r>
          <w:r>
            <w:instrText xml:space="preserve"> PAGEREF _Toc166600188 \h </w:instrText>
          </w:r>
          <w:r>
            <w:fldChar w:fldCharType="separate"/>
          </w:r>
          <w:r>
            <w:t>4</w:t>
          </w:r>
          <w:r>
            <w:fldChar w:fldCharType="end"/>
          </w:r>
          <w:r>
            <w:fldChar w:fldCharType="end"/>
          </w:r>
        </w:p>
        <w:p w14:paraId="6F0D88B1">
          <w:pPr>
            <w:pStyle w:val="10"/>
          </w:pPr>
          <w:r>
            <w:fldChar w:fldCharType="begin"/>
          </w:r>
          <w:r>
            <w:instrText xml:space="preserve"> HYPERLINK \l "_Toc166600189" </w:instrText>
          </w:r>
          <w:r>
            <w:fldChar w:fldCharType="separate"/>
          </w:r>
          <w:r>
            <w:rPr>
              <w:rStyle w:val="14"/>
              <w:rFonts w:hint="eastAsia"/>
              <w:sz w:val="24"/>
              <w:szCs w:val="24"/>
            </w:rPr>
            <w:t>（五）监管部门履职情况</w:t>
          </w:r>
          <w:r>
            <w:tab/>
          </w:r>
          <w:r>
            <w:fldChar w:fldCharType="begin"/>
          </w:r>
          <w:r>
            <w:instrText xml:space="preserve"> PAGEREF _Toc166600189 \h </w:instrText>
          </w:r>
          <w:r>
            <w:fldChar w:fldCharType="separate"/>
          </w:r>
          <w:r>
            <w:t>6</w:t>
          </w:r>
          <w:r>
            <w:fldChar w:fldCharType="end"/>
          </w:r>
          <w:r>
            <w:fldChar w:fldCharType="end"/>
          </w:r>
        </w:p>
        <w:p w14:paraId="6C43BE6A">
          <w:pPr>
            <w:pStyle w:val="10"/>
          </w:pPr>
          <w:r>
            <w:fldChar w:fldCharType="begin"/>
          </w:r>
          <w:r>
            <w:instrText xml:space="preserve"> HYPERLINK \l "_Toc166600190" </w:instrText>
          </w:r>
          <w:r>
            <w:fldChar w:fldCharType="separate"/>
          </w:r>
          <w:r>
            <w:rPr>
              <w:rStyle w:val="14"/>
              <w:rFonts w:hint="eastAsia"/>
              <w:sz w:val="24"/>
              <w:szCs w:val="24"/>
            </w:rPr>
            <w:t>（六）其他情况</w:t>
          </w:r>
          <w:r>
            <w:tab/>
          </w:r>
          <w:r>
            <w:fldChar w:fldCharType="begin"/>
          </w:r>
          <w:r>
            <w:instrText xml:space="preserve"> PAGEREF _Toc166600190 \h </w:instrText>
          </w:r>
          <w:r>
            <w:fldChar w:fldCharType="separate"/>
          </w:r>
          <w:r>
            <w:t>6</w:t>
          </w:r>
          <w:r>
            <w:fldChar w:fldCharType="end"/>
          </w:r>
          <w:r>
            <w:fldChar w:fldCharType="end"/>
          </w:r>
        </w:p>
        <w:p w14:paraId="229758D1">
          <w:pPr>
            <w:pStyle w:val="8"/>
          </w:pPr>
          <w:r>
            <w:fldChar w:fldCharType="begin"/>
          </w:r>
          <w:r>
            <w:instrText xml:space="preserve"> HYPERLINK \l "_Toc166600191" </w:instrText>
          </w:r>
          <w:r>
            <w:fldChar w:fldCharType="separate"/>
          </w:r>
          <w:r>
            <w:rPr>
              <w:rStyle w:val="14"/>
              <w:rFonts w:hint="eastAsia" w:ascii="黑体" w:hAnsi="黑体" w:eastAsia="黑体"/>
              <w:sz w:val="24"/>
              <w:szCs w:val="24"/>
            </w:rPr>
            <w:t>二、事故发生经过和事故应急救援情况</w:t>
          </w:r>
          <w:r>
            <w:tab/>
          </w:r>
          <w:r>
            <w:fldChar w:fldCharType="begin"/>
          </w:r>
          <w:r>
            <w:instrText xml:space="preserve"> PAGEREF _Toc166600191 \h </w:instrText>
          </w:r>
          <w:r>
            <w:fldChar w:fldCharType="separate"/>
          </w:r>
          <w:r>
            <w:t>7</w:t>
          </w:r>
          <w:r>
            <w:fldChar w:fldCharType="end"/>
          </w:r>
          <w:r>
            <w:fldChar w:fldCharType="end"/>
          </w:r>
        </w:p>
        <w:p w14:paraId="152D7A5F">
          <w:pPr>
            <w:pStyle w:val="10"/>
          </w:pPr>
          <w:r>
            <w:fldChar w:fldCharType="begin"/>
          </w:r>
          <w:r>
            <w:instrText xml:space="preserve"> HYPERLINK \l "_Toc166600192" </w:instrText>
          </w:r>
          <w:r>
            <w:fldChar w:fldCharType="separate"/>
          </w:r>
          <w:r>
            <w:rPr>
              <w:rStyle w:val="14"/>
              <w:rFonts w:hint="eastAsia"/>
              <w:sz w:val="24"/>
              <w:szCs w:val="24"/>
            </w:rPr>
            <w:t>（一）事故发生经过</w:t>
          </w:r>
          <w:r>
            <w:tab/>
          </w:r>
          <w:r>
            <w:fldChar w:fldCharType="begin"/>
          </w:r>
          <w:r>
            <w:instrText xml:space="preserve"> PAGEREF _Toc166600192 \h </w:instrText>
          </w:r>
          <w:r>
            <w:fldChar w:fldCharType="separate"/>
          </w:r>
          <w:r>
            <w:t>7</w:t>
          </w:r>
          <w:r>
            <w:fldChar w:fldCharType="end"/>
          </w:r>
          <w:r>
            <w:fldChar w:fldCharType="end"/>
          </w:r>
        </w:p>
        <w:p w14:paraId="0AD6C01E">
          <w:pPr>
            <w:pStyle w:val="10"/>
          </w:pPr>
          <w:r>
            <w:fldChar w:fldCharType="begin"/>
          </w:r>
          <w:r>
            <w:instrText xml:space="preserve"> HYPERLINK \l "_Toc166600193" </w:instrText>
          </w:r>
          <w:r>
            <w:fldChar w:fldCharType="separate"/>
          </w:r>
          <w:r>
            <w:rPr>
              <w:rStyle w:val="14"/>
              <w:rFonts w:hint="eastAsia"/>
              <w:sz w:val="24"/>
              <w:szCs w:val="24"/>
            </w:rPr>
            <w:t>（二）事故信息报送情况</w:t>
          </w:r>
          <w:r>
            <w:tab/>
          </w:r>
          <w:r>
            <w:fldChar w:fldCharType="begin"/>
          </w:r>
          <w:r>
            <w:instrText xml:space="preserve"> PAGEREF _Toc166600193 \h </w:instrText>
          </w:r>
          <w:r>
            <w:fldChar w:fldCharType="separate"/>
          </w:r>
          <w:r>
            <w:t>8</w:t>
          </w:r>
          <w:r>
            <w:fldChar w:fldCharType="end"/>
          </w:r>
          <w:r>
            <w:fldChar w:fldCharType="end"/>
          </w:r>
        </w:p>
        <w:p w14:paraId="72561DD6">
          <w:pPr>
            <w:pStyle w:val="10"/>
          </w:pPr>
          <w:r>
            <w:fldChar w:fldCharType="begin"/>
          </w:r>
          <w:r>
            <w:instrText xml:space="preserve"> HYPERLINK \l "_Toc166600194" </w:instrText>
          </w:r>
          <w:r>
            <w:fldChar w:fldCharType="separate"/>
          </w:r>
          <w:r>
            <w:rPr>
              <w:rStyle w:val="14"/>
              <w:rFonts w:hint="eastAsia"/>
              <w:sz w:val="24"/>
              <w:szCs w:val="24"/>
            </w:rPr>
            <w:t>（三）事故应急救援情况</w:t>
          </w:r>
          <w:r>
            <w:tab/>
          </w:r>
          <w:r>
            <w:fldChar w:fldCharType="begin"/>
          </w:r>
          <w:r>
            <w:instrText xml:space="preserve"> PAGEREF _Toc166600194 \h </w:instrText>
          </w:r>
          <w:r>
            <w:fldChar w:fldCharType="separate"/>
          </w:r>
          <w:r>
            <w:t>9</w:t>
          </w:r>
          <w:r>
            <w:fldChar w:fldCharType="end"/>
          </w:r>
          <w:r>
            <w:fldChar w:fldCharType="end"/>
          </w:r>
        </w:p>
        <w:p w14:paraId="15E30670">
          <w:pPr>
            <w:pStyle w:val="10"/>
          </w:pPr>
          <w:r>
            <w:fldChar w:fldCharType="begin"/>
          </w:r>
          <w:r>
            <w:instrText xml:space="preserve"> HYPERLINK \l "_Toc166600195" </w:instrText>
          </w:r>
          <w:r>
            <w:fldChar w:fldCharType="separate"/>
          </w:r>
          <w:r>
            <w:rPr>
              <w:rStyle w:val="14"/>
              <w:rFonts w:hint="eastAsia"/>
              <w:sz w:val="24"/>
              <w:szCs w:val="24"/>
            </w:rPr>
            <w:t>（四）事故应急处置评估</w:t>
          </w:r>
          <w:r>
            <w:tab/>
          </w:r>
          <w:r>
            <w:fldChar w:fldCharType="begin"/>
          </w:r>
          <w:r>
            <w:instrText xml:space="preserve"> PAGEREF _Toc166600195 \h </w:instrText>
          </w:r>
          <w:r>
            <w:fldChar w:fldCharType="separate"/>
          </w:r>
          <w:r>
            <w:t>9</w:t>
          </w:r>
          <w:r>
            <w:fldChar w:fldCharType="end"/>
          </w:r>
          <w:r>
            <w:fldChar w:fldCharType="end"/>
          </w:r>
        </w:p>
        <w:p w14:paraId="32351251">
          <w:pPr>
            <w:pStyle w:val="8"/>
          </w:pPr>
          <w:r>
            <w:fldChar w:fldCharType="begin"/>
          </w:r>
          <w:r>
            <w:instrText xml:space="preserve"> HYPERLINK \l "_Toc166600196" </w:instrText>
          </w:r>
          <w:r>
            <w:fldChar w:fldCharType="separate"/>
          </w:r>
          <w:r>
            <w:rPr>
              <w:rStyle w:val="14"/>
              <w:rFonts w:hint="eastAsia" w:ascii="黑体" w:hAnsi="黑体" w:eastAsia="黑体"/>
              <w:sz w:val="24"/>
              <w:szCs w:val="24"/>
            </w:rPr>
            <w:t>三、人员伤亡和直接经济损失</w:t>
          </w:r>
          <w:r>
            <w:tab/>
          </w:r>
          <w:r>
            <w:fldChar w:fldCharType="begin"/>
          </w:r>
          <w:r>
            <w:instrText xml:space="preserve"> PAGEREF _Toc166600196 \h </w:instrText>
          </w:r>
          <w:r>
            <w:fldChar w:fldCharType="separate"/>
          </w:r>
          <w:r>
            <w:t>10</w:t>
          </w:r>
          <w:r>
            <w:fldChar w:fldCharType="end"/>
          </w:r>
          <w:r>
            <w:fldChar w:fldCharType="end"/>
          </w:r>
        </w:p>
        <w:p w14:paraId="6BC2EA74">
          <w:pPr>
            <w:pStyle w:val="10"/>
          </w:pPr>
          <w:r>
            <w:fldChar w:fldCharType="begin"/>
          </w:r>
          <w:r>
            <w:instrText xml:space="preserve"> HYPERLINK \l "_Toc166600197" </w:instrText>
          </w:r>
          <w:r>
            <w:fldChar w:fldCharType="separate"/>
          </w:r>
          <w:r>
            <w:rPr>
              <w:rStyle w:val="14"/>
              <w:rFonts w:hint="eastAsia"/>
              <w:sz w:val="24"/>
              <w:szCs w:val="24"/>
            </w:rPr>
            <w:t>（一）伤亡人员情况</w:t>
          </w:r>
          <w:r>
            <w:tab/>
          </w:r>
          <w:r>
            <w:fldChar w:fldCharType="begin"/>
          </w:r>
          <w:r>
            <w:instrText xml:space="preserve"> PAGEREF _Toc166600197 \h </w:instrText>
          </w:r>
          <w:r>
            <w:fldChar w:fldCharType="separate"/>
          </w:r>
          <w:r>
            <w:t>10</w:t>
          </w:r>
          <w:r>
            <w:fldChar w:fldCharType="end"/>
          </w:r>
          <w:r>
            <w:fldChar w:fldCharType="end"/>
          </w:r>
        </w:p>
        <w:p w14:paraId="0DAAF779">
          <w:pPr>
            <w:pStyle w:val="10"/>
          </w:pPr>
          <w:r>
            <w:fldChar w:fldCharType="begin"/>
          </w:r>
          <w:r>
            <w:instrText xml:space="preserve"> HYPERLINK \l "_Toc166600198" </w:instrText>
          </w:r>
          <w:r>
            <w:fldChar w:fldCharType="separate"/>
          </w:r>
          <w:r>
            <w:rPr>
              <w:rStyle w:val="14"/>
              <w:rFonts w:hint="eastAsia"/>
              <w:sz w:val="24"/>
              <w:szCs w:val="24"/>
            </w:rPr>
            <w:t>（二）直接经济损失</w:t>
          </w:r>
          <w:r>
            <w:tab/>
          </w:r>
          <w:r>
            <w:fldChar w:fldCharType="begin"/>
          </w:r>
          <w:r>
            <w:instrText xml:space="preserve"> PAGEREF _Toc166600198 \h </w:instrText>
          </w:r>
          <w:r>
            <w:fldChar w:fldCharType="separate"/>
          </w:r>
          <w:r>
            <w:t>10</w:t>
          </w:r>
          <w:r>
            <w:fldChar w:fldCharType="end"/>
          </w:r>
          <w:r>
            <w:fldChar w:fldCharType="end"/>
          </w:r>
        </w:p>
        <w:p w14:paraId="4D28092B">
          <w:pPr>
            <w:pStyle w:val="8"/>
          </w:pPr>
          <w:r>
            <w:fldChar w:fldCharType="begin"/>
          </w:r>
          <w:r>
            <w:instrText xml:space="preserve"> HYPERLINK \l "_Toc166600199" </w:instrText>
          </w:r>
          <w:r>
            <w:fldChar w:fldCharType="separate"/>
          </w:r>
          <w:r>
            <w:rPr>
              <w:rStyle w:val="14"/>
              <w:rFonts w:hint="eastAsia" w:ascii="黑体" w:hAnsi="黑体" w:eastAsia="黑体"/>
              <w:sz w:val="24"/>
              <w:szCs w:val="24"/>
            </w:rPr>
            <w:t>四、现场勘验和技术鉴定</w:t>
          </w:r>
          <w:r>
            <w:tab/>
          </w:r>
          <w:r>
            <w:fldChar w:fldCharType="begin"/>
          </w:r>
          <w:r>
            <w:instrText xml:space="preserve"> PAGEREF _Toc166600199 \h </w:instrText>
          </w:r>
          <w:r>
            <w:fldChar w:fldCharType="separate"/>
          </w:r>
          <w:r>
            <w:t>10</w:t>
          </w:r>
          <w:r>
            <w:fldChar w:fldCharType="end"/>
          </w:r>
          <w:r>
            <w:fldChar w:fldCharType="end"/>
          </w:r>
        </w:p>
        <w:p w14:paraId="5368999B">
          <w:pPr>
            <w:pStyle w:val="10"/>
          </w:pPr>
          <w:r>
            <w:fldChar w:fldCharType="begin"/>
          </w:r>
          <w:r>
            <w:instrText xml:space="preserve"> HYPERLINK \l "_Toc166600200" </w:instrText>
          </w:r>
          <w:r>
            <w:fldChar w:fldCharType="separate"/>
          </w:r>
          <w:r>
            <w:rPr>
              <w:rStyle w:val="14"/>
              <w:rFonts w:hint="eastAsia"/>
              <w:sz w:val="24"/>
              <w:szCs w:val="24"/>
            </w:rPr>
            <w:t>（一）现场勘验情况</w:t>
          </w:r>
          <w:r>
            <w:tab/>
          </w:r>
          <w:r>
            <w:fldChar w:fldCharType="begin"/>
          </w:r>
          <w:r>
            <w:instrText xml:space="preserve"> PAGEREF _Toc166600200 \h </w:instrText>
          </w:r>
          <w:r>
            <w:fldChar w:fldCharType="separate"/>
          </w:r>
          <w:r>
            <w:t>10</w:t>
          </w:r>
          <w:r>
            <w:fldChar w:fldCharType="end"/>
          </w:r>
          <w:r>
            <w:fldChar w:fldCharType="end"/>
          </w:r>
        </w:p>
        <w:p w14:paraId="507E9829">
          <w:pPr>
            <w:pStyle w:val="10"/>
          </w:pPr>
          <w:r>
            <w:fldChar w:fldCharType="begin"/>
          </w:r>
          <w:r>
            <w:instrText xml:space="preserve"> HYPERLINK \l "_Toc166600201" </w:instrText>
          </w:r>
          <w:r>
            <w:fldChar w:fldCharType="separate"/>
          </w:r>
          <w:r>
            <w:rPr>
              <w:rStyle w:val="14"/>
              <w:rFonts w:hint="eastAsia"/>
              <w:sz w:val="24"/>
              <w:szCs w:val="24"/>
            </w:rPr>
            <w:t>（二）技术鉴定情况</w:t>
          </w:r>
          <w:r>
            <w:tab/>
          </w:r>
          <w:r>
            <w:fldChar w:fldCharType="begin"/>
          </w:r>
          <w:r>
            <w:instrText xml:space="preserve"> PAGEREF _Toc166600201 \h </w:instrText>
          </w:r>
          <w:r>
            <w:fldChar w:fldCharType="separate"/>
          </w:r>
          <w:r>
            <w:t>11</w:t>
          </w:r>
          <w:r>
            <w:fldChar w:fldCharType="end"/>
          </w:r>
          <w:r>
            <w:fldChar w:fldCharType="end"/>
          </w:r>
        </w:p>
        <w:p w14:paraId="4A393F61">
          <w:pPr>
            <w:pStyle w:val="8"/>
          </w:pPr>
          <w:r>
            <w:fldChar w:fldCharType="begin"/>
          </w:r>
          <w:r>
            <w:instrText xml:space="preserve"> HYPERLINK \l "_Toc166600202" </w:instrText>
          </w:r>
          <w:r>
            <w:fldChar w:fldCharType="separate"/>
          </w:r>
          <w:r>
            <w:rPr>
              <w:rStyle w:val="14"/>
              <w:rFonts w:hint="eastAsia" w:ascii="黑体" w:hAnsi="黑体" w:eastAsia="黑体"/>
              <w:sz w:val="24"/>
              <w:szCs w:val="24"/>
            </w:rPr>
            <w:t>五、事故原因</w:t>
          </w:r>
          <w:r>
            <w:tab/>
          </w:r>
          <w:r>
            <w:fldChar w:fldCharType="begin"/>
          </w:r>
          <w:r>
            <w:instrText xml:space="preserve"> PAGEREF _Toc166600202 \h </w:instrText>
          </w:r>
          <w:r>
            <w:fldChar w:fldCharType="separate"/>
          </w:r>
          <w:r>
            <w:t>11</w:t>
          </w:r>
          <w:r>
            <w:fldChar w:fldCharType="end"/>
          </w:r>
          <w:r>
            <w:fldChar w:fldCharType="end"/>
          </w:r>
        </w:p>
        <w:p w14:paraId="008435A6">
          <w:pPr>
            <w:pStyle w:val="10"/>
          </w:pPr>
          <w:r>
            <w:fldChar w:fldCharType="begin"/>
          </w:r>
          <w:r>
            <w:instrText xml:space="preserve"> HYPERLINK \l "_Toc166600203" </w:instrText>
          </w:r>
          <w:r>
            <w:fldChar w:fldCharType="separate"/>
          </w:r>
          <w:r>
            <w:rPr>
              <w:rStyle w:val="14"/>
              <w:rFonts w:hint="eastAsia"/>
              <w:sz w:val="24"/>
              <w:szCs w:val="24"/>
            </w:rPr>
            <w:t>（一）事故直接原因</w:t>
          </w:r>
          <w:r>
            <w:tab/>
          </w:r>
          <w:r>
            <w:fldChar w:fldCharType="begin"/>
          </w:r>
          <w:r>
            <w:instrText xml:space="preserve"> PAGEREF _Toc166600203 \h </w:instrText>
          </w:r>
          <w:r>
            <w:fldChar w:fldCharType="separate"/>
          </w:r>
          <w:r>
            <w:t>11</w:t>
          </w:r>
          <w:r>
            <w:fldChar w:fldCharType="end"/>
          </w:r>
          <w:r>
            <w:fldChar w:fldCharType="end"/>
          </w:r>
        </w:p>
        <w:p w14:paraId="3DE63B83">
          <w:pPr>
            <w:pStyle w:val="10"/>
          </w:pPr>
          <w:r>
            <w:fldChar w:fldCharType="begin"/>
          </w:r>
          <w:r>
            <w:instrText xml:space="preserve"> HYPERLINK \l "_Toc166600204" </w:instrText>
          </w:r>
          <w:r>
            <w:fldChar w:fldCharType="separate"/>
          </w:r>
          <w:r>
            <w:rPr>
              <w:rStyle w:val="14"/>
              <w:rFonts w:hint="eastAsia"/>
              <w:sz w:val="24"/>
              <w:szCs w:val="24"/>
            </w:rPr>
            <w:t>（二）事故间接原因</w:t>
          </w:r>
          <w:r>
            <w:tab/>
          </w:r>
          <w:r>
            <w:fldChar w:fldCharType="begin"/>
          </w:r>
          <w:r>
            <w:instrText xml:space="preserve"> PAGEREF _Toc166600204 \h </w:instrText>
          </w:r>
          <w:r>
            <w:fldChar w:fldCharType="separate"/>
          </w:r>
          <w:r>
            <w:t>12</w:t>
          </w:r>
          <w:r>
            <w:fldChar w:fldCharType="end"/>
          </w:r>
          <w:r>
            <w:fldChar w:fldCharType="end"/>
          </w:r>
        </w:p>
        <w:p w14:paraId="0FD02FF0">
          <w:pPr>
            <w:pStyle w:val="8"/>
          </w:pPr>
          <w:r>
            <w:fldChar w:fldCharType="begin"/>
          </w:r>
          <w:r>
            <w:instrText xml:space="preserve"> HYPERLINK \l "_Toc166600205" </w:instrText>
          </w:r>
          <w:r>
            <w:fldChar w:fldCharType="separate"/>
          </w:r>
          <w:r>
            <w:rPr>
              <w:rStyle w:val="14"/>
              <w:rFonts w:hint="eastAsia" w:ascii="黑体" w:hAnsi="黑体" w:eastAsia="黑体"/>
              <w:sz w:val="24"/>
              <w:szCs w:val="24"/>
            </w:rPr>
            <w:t>六、有关责任单位存在的主要问题</w:t>
          </w:r>
          <w:r>
            <w:tab/>
          </w:r>
          <w:r>
            <w:fldChar w:fldCharType="begin"/>
          </w:r>
          <w:r>
            <w:instrText xml:space="preserve"> PAGEREF _Toc166600205 \h </w:instrText>
          </w:r>
          <w:r>
            <w:fldChar w:fldCharType="separate"/>
          </w:r>
          <w:r>
            <w:t>12</w:t>
          </w:r>
          <w:r>
            <w:fldChar w:fldCharType="end"/>
          </w:r>
          <w:r>
            <w:fldChar w:fldCharType="end"/>
          </w:r>
        </w:p>
        <w:p w14:paraId="009AF07C">
          <w:pPr>
            <w:pStyle w:val="10"/>
          </w:pPr>
          <w:r>
            <w:fldChar w:fldCharType="begin"/>
          </w:r>
          <w:r>
            <w:instrText xml:space="preserve"> HYPERLINK \l "_Toc166600206" </w:instrText>
          </w:r>
          <w:r>
            <w:fldChar w:fldCharType="separate"/>
          </w:r>
          <w:r>
            <w:rPr>
              <w:rStyle w:val="14"/>
              <w:rFonts w:hint="eastAsia"/>
              <w:sz w:val="24"/>
              <w:szCs w:val="24"/>
            </w:rPr>
            <w:t>（一）克拉玛依宝胜商贸有限公司</w:t>
          </w:r>
          <w:r>
            <w:tab/>
          </w:r>
          <w:r>
            <w:fldChar w:fldCharType="begin"/>
          </w:r>
          <w:r>
            <w:instrText xml:space="preserve"> PAGEREF _Toc166600206 \h </w:instrText>
          </w:r>
          <w:r>
            <w:fldChar w:fldCharType="separate"/>
          </w:r>
          <w:r>
            <w:t>12</w:t>
          </w:r>
          <w:r>
            <w:fldChar w:fldCharType="end"/>
          </w:r>
          <w:r>
            <w:fldChar w:fldCharType="end"/>
          </w:r>
        </w:p>
        <w:p w14:paraId="36FDC0E6">
          <w:pPr>
            <w:pStyle w:val="10"/>
          </w:pPr>
          <w:r>
            <w:fldChar w:fldCharType="begin"/>
          </w:r>
          <w:r>
            <w:instrText xml:space="preserve"> HYPERLINK \l "_Toc166600207" </w:instrText>
          </w:r>
          <w:r>
            <w:fldChar w:fldCharType="separate"/>
          </w:r>
          <w:r>
            <w:rPr>
              <w:rStyle w:val="14"/>
              <w:rFonts w:hint="eastAsia"/>
              <w:sz w:val="24"/>
              <w:szCs w:val="24"/>
            </w:rPr>
            <w:t>（二）中国石油集团西部钻探工程有限公司克拉玛依钻井公司</w:t>
          </w:r>
          <w:r>
            <w:tab/>
          </w:r>
          <w:r>
            <w:fldChar w:fldCharType="begin"/>
          </w:r>
          <w:r>
            <w:instrText xml:space="preserve"> PAGEREF _Toc166600207 \h </w:instrText>
          </w:r>
          <w:r>
            <w:fldChar w:fldCharType="separate"/>
          </w:r>
          <w:r>
            <w:t>13</w:t>
          </w:r>
          <w:r>
            <w:fldChar w:fldCharType="end"/>
          </w:r>
          <w:r>
            <w:fldChar w:fldCharType="end"/>
          </w:r>
        </w:p>
        <w:p w14:paraId="1D78C058">
          <w:pPr>
            <w:pStyle w:val="10"/>
          </w:pPr>
          <w:r>
            <w:fldChar w:fldCharType="begin"/>
          </w:r>
          <w:r>
            <w:instrText xml:space="preserve"> HYPERLINK \l "_Toc166600208" </w:instrText>
          </w:r>
          <w:r>
            <w:fldChar w:fldCharType="separate"/>
          </w:r>
          <w:r>
            <w:rPr>
              <w:rStyle w:val="14"/>
              <w:rFonts w:hint="eastAsia"/>
              <w:sz w:val="24"/>
              <w:szCs w:val="24"/>
            </w:rPr>
            <w:t>（三）克拉玛依市乌尔禾区应急管理局</w:t>
          </w:r>
          <w:r>
            <w:tab/>
          </w:r>
          <w:r>
            <w:fldChar w:fldCharType="begin"/>
          </w:r>
          <w:r>
            <w:instrText xml:space="preserve"> PAGEREF _Toc166600208 \h </w:instrText>
          </w:r>
          <w:r>
            <w:fldChar w:fldCharType="separate"/>
          </w:r>
          <w:r>
            <w:t>13</w:t>
          </w:r>
          <w:r>
            <w:fldChar w:fldCharType="end"/>
          </w:r>
          <w:r>
            <w:fldChar w:fldCharType="end"/>
          </w:r>
        </w:p>
        <w:p w14:paraId="563C0C69">
          <w:pPr>
            <w:pStyle w:val="8"/>
          </w:pPr>
          <w:r>
            <w:fldChar w:fldCharType="begin"/>
          </w:r>
          <w:r>
            <w:instrText xml:space="preserve"> HYPERLINK \l "_Toc166600209" </w:instrText>
          </w:r>
          <w:r>
            <w:fldChar w:fldCharType="separate"/>
          </w:r>
          <w:r>
            <w:rPr>
              <w:rStyle w:val="14"/>
              <w:rFonts w:hint="eastAsia" w:ascii="黑体" w:hAnsi="黑体" w:eastAsia="黑体"/>
              <w:sz w:val="24"/>
              <w:szCs w:val="24"/>
            </w:rPr>
            <w:t>七、对有关责任人员和责任单位的处理意见</w:t>
          </w:r>
          <w:r>
            <w:tab/>
          </w:r>
          <w:r>
            <w:fldChar w:fldCharType="begin"/>
          </w:r>
          <w:r>
            <w:instrText xml:space="preserve"> PAGEREF _Toc166600209 \h </w:instrText>
          </w:r>
          <w:r>
            <w:fldChar w:fldCharType="separate"/>
          </w:r>
          <w:r>
            <w:t>14</w:t>
          </w:r>
          <w:r>
            <w:fldChar w:fldCharType="end"/>
          </w:r>
          <w:r>
            <w:fldChar w:fldCharType="end"/>
          </w:r>
        </w:p>
        <w:p w14:paraId="0D434BD1">
          <w:pPr>
            <w:pStyle w:val="10"/>
          </w:pPr>
          <w:r>
            <w:fldChar w:fldCharType="begin"/>
          </w:r>
          <w:r>
            <w:instrText xml:space="preserve"> HYPERLINK \l "_Toc166600210" </w:instrText>
          </w:r>
          <w:r>
            <w:fldChar w:fldCharType="separate"/>
          </w:r>
          <w:r>
            <w:rPr>
              <w:rStyle w:val="14"/>
              <w:rFonts w:hint="eastAsia"/>
              <w:sz w:val="24"/>
              <w:szCs w:val="24"/>
            </w:rPr>
            <w:t>（一）建议移送司法机关处理的人员</w:t>
          </w:r>
          <w:r>
            <w:tab/>
          </w:r>
          <w:r>
            <w:fldChar w:fldCharType="begin"/>
          </w:r>
          <w:r>
            <w:instrText xml:space="preserve"> PAGEREF _Toc166600210 \h </w:instrText>
          </w:r>
          <w:r>
            <w:fldChar w:fldCharType="separate"/>
          </w:r>
          <w:r>
            <w:t>14</w:t>
          </w:r>
          <w:r>
            <w:fldChar w:fldCharType="end"/>
          </w:r>
          <w:r>
            <w:fldChar w:fldCharType="end"/>
          </w:r>
        </w:p>
        <w:p w14:paraId="778FB68A">
          <w:pPr>
            <w:pStyle w:val="10"/>
          </w:pPr>
          <w:r>
            <w:fldChar w:fldCharType="begin"/>
          </w:r>
          <w:r>
            <w:instrText xml:space="preserve"> HYPERLINK \l "_Toc166600211" </w:instrText>
          </w:r>
          <w:r>
            <w:fldChar w:fldCharType="separate"/>
          </w:r>
          <w:r>
            <w:rPr>
              <w:rStyle w:val="14"/>
              <w:rFonts w:hint="eastAsia"/>
              <w:sz w:val="24"/>
              <w:szCs w:val="24"/>
            </w:rPr>
            <w:t>（二）建议组织处理的人员</w:t>
          </w:r>
          <w:r>
            <w:tab/>
          </w:r>
          <w:r>
            <w:fldChar w:fldCharType="begin"/>
          </w:r>
          <w:r>
            <w:instrText xml:space="preserve"> PAGEREF _Toc166600211 \h </w:instrText>
          </w:r>
          <w:r>
            <w:fldChar w:fldCharType="separate"/>
          </w:r>
          <w:r>
            <w:t>14</w:t>
          </w:r>
          <w:r>
            <w:fldChar w:fldCharType="end"/>
          </w:r>
          <w:r>
            <w:fldChar w:fldCharType="end"/>
          </w:r>
        </w:p>
        <w:p w14:paraId="7B2D0DD9">
          <w:pPr>
            <w:pStyle w:val="10"/>
          </w:pPr>
          <w:r>
            <w:fldChar w:fldCharType="begin"/>
          </w:r>
          <w:r>
            <w:instrText xml:space="preserve"> HYPERLINK \l "_Toc166600212" </w:instrText>
          </w:r>
          <w:r>
            <w:fldChar w:fldCharType="separate"/>
          </w:r>
          <w:r>
            <w:rPr>
              <w:rStyle w:val="14"/>
              <w:rFonts w:hint="eastAsia"/>
              <w:sz w:val="24"/>
              <w:szCs w:val="24"/>
            </w:rPr>
            <w:t>（三）建议给予行政处罚的人员</w:t>
          </w:r>
          <w:r>
            <w:tab/>
          </w:r>
          <w:r>
            <w:fldChar w:fldCharType="begin"/>
          </w:r>
          <w:r>
            <w:instrText xml:space="preserve"> PAGEREF _Toc166600212 \h </w:instrText>
          </w:r>
          <w:r>
            <w:fldChar w:fldCharType="separate"/>
          </w:r>
          <w:r>
            <w:t>14</w:t>
          </w:r>
          <w:r>
            <w:fldChar w:fldCharType="end"/>
          </w:r>
          <w:r>
            <w:fldChar w:fldCharType="end"/>
          </w:r>
        </w:p>
        <w:p w14:paraId="30BA5B69">
          <w:pPr>
            <w:pStyle w:val="10"/>
          </w:pPr>
          <w:r>
            <w:fldChar w:fldCharType="begin"/>
          </w:r>
          <w:r>
            <w:instrText xml:space="preserve"> HYPERLINK \l "_Toc166600213" </w:instrText>
          </w:r>
          <w:r>
            <w:fldChar w:fldCharType="separate"/>
          </w:r>
          <w:r>
            <w:rPr>
              <w:rStyle w:val="14"/>
              <w:rFonts w:hint="eastAsia"/>
              <w:sz w:val="24"/>
              <w:szCs w:val="24"/>
            </w:rPr>
            <w:t>（三）对事故责任单位的处理意见</w:t>
          </w:r>
          <w:r>
            <w:tab/>
          </w:r>
          <w:r>
            <w:fldChar w:fldCharType="begin"/>
          </w:r>
          <w:r>
            <w:instrText xml:space="preserve"> PAGEREF _Toc166600213 \h </w:instrText>
          </w:r>
          <w:r>
            <w:fldChar w:fldCharType="separate"/>
          </w:r>
          <w:r>
            <w:t>16</w:t>
          </w:r>
          <w:r>
            <w:fldChar w:fldCharType="end"/>
          </w:r>
          <w:r>
            <w:fldChar w:fldCharType="end"/>
          </w:r>
        </w:p>
        <w:p w14:paraId="16C82D3C">
          <w:pPr>
            <w:pStyle w:val="10"/>
          </w:pPr>
          <w:r>
            <w:fldChar w:fldCharType="begin"/>
          </w:r>
          <w:r>
            <w:instrText xml:space="preserve"> HYPERLINK \l "_Toc166600214" </w:instrText>
          </w:r>
          <w:r>
            <w:fldChar w:fldCharType="separate"/>
          </w:r>
          <w:r>
            <w:rPr>
              <w:rStyle w:val="14"/>
              <w:rFonts w:hint="eastAsia"/>
              <w:sz w:val="24"/>
              <w:szCs w:val="24"/>
            </w:rPr>
            <w:t>（四）其他处理意见</w:t>
          </w:r>
          <w:r>
            <w:tab/>
          </w:r>
          <w:r>
            <w:fldChar w:fldCharType="begin"/>
          </w:r>
          <w:r>
            <w:instrText xml:space="preserve"> PAGEREF _Toc166600214 \h </w:instrText>
          </w:r>
          <w:r>
            <w:fldChar w:fldCharType="separate"/>
          </w:r>
          <w:r>
            <w:t>17</w:t>
          </w:r>
          <w:r>
            <w:fldChar w:fldCharType="end"/>
          </w:r>
          <w:r>
            <w:fldChar w:fldCharType="end"/>
          </w:r>
        </w:p>
        <w:p w14:paraId="5E0D948B">
          <w:pPr>
            <w:pStyle w:val="8"/>
          </w:pPr>
          <w:r>
            <w:fldChar w:fldCharType="begin"/>
          </w:r>
          <w:r>
            <w:instrText xml:space="preserve"> HYPERLINK \l "_Toc166600215" </w:instrText>
          </w:r>
          <w:r>
            <w:fldChar w:fldCharType="separate"/>
          </w:r>
          <w:r>
            <w:rPr>
              <w:rStyle w:val="14"/>
              <w:rFonts w:hint="eastAsia" w:ascii="黑体" w:hAnsi="黑体" w:eastAsia="黑体"/>
              <w:sz w:val="24"/>
              <w:szCs w:val="24"/>
            </w:rPr>
            <w:t>八、事故主要教训</w:t>
          </w:r>
          <w:r>
            <w:tab/>
          </w:r>
          <w:r>
            <w:fldChar w:fldCharType="begin"/>
          </w:r>
          <w:r>
            <w:instrText xml:space="preserve"> PAGEREF _Toc166600215 \h </w:instrText>
          </w:r>
          <w:r>
            <w:fldChar w:fldCharType="separate"/>
          </w:r>
          <w:r>
            <w:t>18</w:t>
          </w:r>
          <w:r>
            <w:fldChar w:fldCharType="end"/>
          </w:r>
          <w:r>
            <w:fldChar w:fldCharType="end"/>
          </w:r>
        </w:p>
        <w:p w14:paraId="00D0BD99">
          <w:pPr>
            <w:pStyle w:val="10"/>
          </w:pPr>
          <w:r>
            <w:fldChar w:fldCharType="begin"/>
          </w:r>
          <w:r>
            <w:instrText xml:space="preserve"> HYPERLINK \l "_Toc166600216" </w:instrText>
          </w:r>
          <w:r>
            <w:fldChar w:fldCharType="separate"/>
          </w:r>
          <w:r>
            <w:rPr>
              <w:rStyle w:val="14"/>
              <w:rFonts w:hint="eastAsia"/>
              <w:sz w:val="24"/>
              <w:szCs w:val="24"/>
            </w:rPr>
            <w:t>（一）安全生产主体职责落实不到位</w:t>
          </w:r>
          <w:r>
            <w:tab/>
          </w:r>
          <w:r>
            <w:fldChar w:fldCharType="begin"/>
          </w:r>
          <w:r>
            <w:instrText xml:space="preserve"> PAGEREF _Toc166600216 \h </w:instrText>
          </w:r>
          <w:r>
            <w:fldChar w:fldCharType="separate"/>
          </w:r>
          <w:r>
            <w:t>18</w:t>
          </w:r>
          <w:r>
            <w:fldChar w:fldCharType="end"/>
          </w:r>
          <w:r>
            <w:fldChar w:fldCharType="end"/>
          </w:r>
        </w:p>
        <w:p w14:paraId="1312A67C">
          <w:pPr>
            <w:pStyle w:val="10"/>
          </w:pPr>
          <w:r>
            <w:fldChar w:fldCharType="begin"/>
          </w:r>
          <w:r>
            <w:instrText xml:space="preserve"> HYPERLINK \l "_Toc166600217" </w:instrText>
          </w:r>
          <w:r>
            <w:fldChar w:fldCharType="separate"/>
          </w:r>
          <w:r>
            <w:rPr>
              <w:rStyle w:val="14"/>
              <w:rFonts w:hint="eastAsia"/>
              <w:sz w:val="24"/>
              <w:szCs w:val="24"/>
            </w:rPr>
            <w:t>（二）监督检查职责落实不到位</w:t>
          </w:r>
          <w:r>
            <w:tab/>
          </w:r>
          <w:r>
            <w:fldChar w:fldCharType="begin"/>
          </w:r>
          <w:r>
            <w:instrText xml:space="preserve"> PAGEREF _Toc166600217 \h </w:instrText>
          </w:r>
          <w:r>
            <w:fldChar w:fldCharType="separate"/>
          </w:r>
          <w:r>
            <w:t>18</w:t>
          </w:r>
          <w:r>
            <w:fldChar w:fldCharType="end"/>
          </w:r>
          <w:r>
            <w:fldChar w:fldCharType="end"/>
          </w:r>
        </w:p>
        <w:p w14:paraId="13C402B4">
          <w:pPr>
            <w:pStyle w:val="10"/>
          </w:pPr>
          <w:r>
            <w:fldChar w:fldCharType="begin"/>
          </w:r>
          <w:r>
            <w:instrText xml:space="preserve"> HYPERLINK \l "_Toc166600218" </w:instrText>
          </w:r>
          <w:r>
            <w:fldChar w:fldCharType="separate"/>
          </w:r>
          <w:r>
            <w:rPr>
              <w:rStyle w:val="14"/>
              <w:rFonts w:hint="eastAsia"/>
              <w:sz w:val="24"/>
              <w:szCs w:val="24"/>
            </w:rPr>
            <w:t>（三）承包商管理不到位</w:t>
          </w:r>
          <w:r>
            <w:tab/>
          </w:r>
          <w:r>
            <w:fldChar w:fldCharType="begin"/>
          </w:r>
          <w:r>
            <w:instrText xml:space="preserve"> PAGEREF _Toc166600218 \h </w:instrText>
          </w:r>
          <w:r>
            <w:fldChar w:fldCharType="separate"/>
          </w:r>
          <w:r>
            <w:t>18</w:t>
          </w:r>
          <w:r>
            <w:fldChar w:fldCharType="end"/>
          </w:r>
          <w:r>
            <w:fldChar w:fldCharType="end"/>
          </w:r>
        </w:p>
        <w:p w14:paraId="09049531">
          <w:pPr>
            <w:pStyle w:val="8"/>
          </w:pPr>
          <w:r>
            <w:fldChar w:fldCharType="begin"/>
          </w:r>
          <w:r>
            <w:instrText xml:space="preserve"> HYPERLINK \l "_Toc166600219" </w:instrText>
          </w:r>
          <w:r>
            <w:fldChar w:fldCharType="separate"/>
          </w:r>
          <w:r>
            <w:rPr>
              <w:rStyle w:val="14"/>
              <w:rFonts w:hint="eastAsia" w:ascii="黑体" w:hAnsi="黑体" w:eastAsia="黑体"/>
              <w:sz w:val="24"/>
              <w:szCs w:val="24"/>
            </w:rPr>
            <w:t>九、事故整改和防范措施</w:t>
          </w:r>
          <w:r>
            <w:tab/>
          </w:r>
          <w:r>
            <w:fldChar w:fldCharType="begin"/>
          </w:r>
          <w:r>
            <w:instrText xml:space="preserve"> PAGEREF _Toc166600219 \h </w:instrText>
          </w:r>
          <w:r>
            <w:fldChar w:fldCharType="separate"/>
          </w:r>
          <w:r>
            <w:t>18</w:t>
          </w:r>
          <w:r>
            <w:fldChar w:fldCharType="end"/>
          </w:r>
          <w:r>
            <w:fldChar w:fldCharType="end"/>
          </w:r>
        </w:p>
        <w:p w14:paraId="3D9D030E">
          <w:pPr>
            <w:pStyle w:val="10"/>
          </w:pPr>
          <w:r>
            <w:fldChar w:fldCharType="begin"/>
          </w:r>
          <w:r>
            <w:instrText xml:space="preserve"> HYPERLINK \l "_Toc166600220" </w:instrText>
          </w:r>
          <w:r>
            <w:fldChar w:fldCharType="separate"/>
          </w:r>
          <w:r>
            <w:rPr>
              <w:rStyle w:val="14"/>
              <w:rFonts w:hint="eastAsia"/>
              <w:sz w:val="24"/>
              <w:szCs w:val="24"/>
            </w:rPr>
            <w:t>（一）汲取教训，全面落实企业安全生产主体责任</w:t>
          </w:r>
          <w:r>
            <w:tab/>
          </w:r>
          <w:r>
            <w:fldChar w:fldCharType="begin"/>
          </w:r>
          <w:r>
            <w:instrText xml:space="preserve"> PAGEREF _Toc166600220 \h </w:instrText>
          </w:r>
          <w:r>
            <w:fldChar w:fldCharType="separate"/>
          </w:r>
          <w:r>
            <w:t>18</w:t>
          </w:r>
          <w:r>
            <w:fldChar w:fldCharType="end"/>
          </w:r>
          <w:r>
            <w:fldChar w:fldCharType="end"/>
          </w:r>
        </w:p>
        <w:p w14:paraId="182653BA">
          <w:pPr>
            <w:pStyle w:val="10"/>
          </w:pPr>
          <w:r>
            <w:fldChar w:fldCharType="begin"/>
          </w:r>
          <w:r>
            <w:instrText xml:space="preserve"> HYPERLINK \l "_Toc166600221" </w:instrText>
          </w:r>
          <w:r>
            <w:fldChar w:fldCharType="separate"/>
          </w:r>
          <w:r>
            <w:rPr>
              <w:rStyle w:val="14"/>
              <w:rFonts w:hint="eastAsia"/>
              <w:sz w:val="24"/>
              <w:szCs w:val="24"/>
            </w:rPr>
            <w:t>（二）加强监管，强化石油天然气开采安全管理</w:t>
          </w:r>
          <w:r>
            <w:tab/>
          </w:r>
          <w:r>
            <w:fldChar w:fldCharType="begin"/>
          </w:r>
          <w:r>
            <w:instrText xml:space="preserve"> PAGEREF _Toc166600221 \h </w:instrText>
          </w:r>
          <w:r>
            <w:fldChar w:fldCharType="separate"/>
          </w:r>
          <w:r>
            <w:t>19</w:t>
          </w:r>
          <w:r>
            <w:fldChar w:fldCharType="end"/>
          </w:r>
          <w:r>
            <w:fldChar w:fldCharType="end"/>
          </w:r>
        </w:p>
        <w:p w14:paraId="497EA745">
          <w:pPr>
            <w:pStyle w:val="10"/>
          </w:pPr>
          <w:r>
            <w:fldChar w:fldCharType="begin"/>
          </w:r>
          <w:r>
            <w:instrText xml:space="preserve"> HYPERLINK \l "_Toc166600222" </w:instrText>
          </w:r>
          <w:r>
            <w:fldChar w:fldCharType="separate"/>
          </w:r>
          <w:r>
            <w:rPr>
              <w:rStyle w:val="14"/>
              <w:rFonts w:hint="eastAsia"/>
              <w:sz w:val="24"/>
              <w:szCs w:val="24"/>
            </w:rPr>
            <w:t>（三）举一反三，牢固树立安全红线意识和底线思维</w:t>
          </w:r>
          <w:r>
            <w:tab/>
          </w:r>
          <w:r>
            <w:fldChar w:fldCharType="begin"/>
          </w:r>
          <w:r>
            <w:instrText xml:space="preserve"> PAGEREF _Toc166600222 \h </w:instrText>
          </w:r>
          <w:r>
            <w:fldChar w:fldCharType="separate"/>
          </w:r>
          <w:r>
            <w:t>19</w:t>
          </w:r>
          <w:r>
            <w:fldChar w:fldCharType="end"/>
          </w:r>
          <w:r>
            <w:fldChar w:fldCharType="end"/>
          </w:r>
        </w:p>
        <w:p w14:paraId="30E16DED">
          <w:r>
            <w:fldChar w:fldCharType="end"/>
          </w:r>
        </w:p>
      </w:sdtContent>
    </w:sdt>
    <w:p w14:paraId="42001713">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 xml:space="preserve"> </w:t>
      </w:r>
    </w:p>
    <w:p w14:paraId="460E9DFF">
      <w:pPr>
        <w:spacing w:line="560" w:lineRule="exact"/>
        <w:jc w:val="center"/>
        <w:rPr>
          <w:rFonts w:ascii="方正小标宋简体" w:eastAsia="方正小标宋简体"/>
          <w:sz w:val="44"/>
          <w:szCs w:val="44"/>
        </w:rPr>
      </w:pPr>
    </w:p>
    <w:p w14:paraId="29BA35EA">
      <w:pPr>
        <w:spacing w:line="560" w:lineRule="exact"/>
        <w:jc w:val="center"/>
        <w:rPr>
          <w:rFonts w:ascii="方正小标宋简体" w:eastAsia="方正小标宋简体"/>
          <w:sz w:val="44"/>
          <w:szCs w:val="44"/>
        </w:rPr>
        <w:sectPr>
          <w:pgSz w:w="11906" w:h="16838"/>
          <w:pgMar w:top="2098" w:right="1474" w:bottom="1985" w:left="1588" w:header="851" w:footer="992" w:gutter="0"/>
          <w:pgNumType w:fmt="upperRoman" w:start="1"/>
          <w:cols w:space="425" w:num="1"/>
          <w:docGrid w:type="lines" w:linePitch="312" w:charSpace="0"/>
        </w:sectPr>
      </w:pPr>
    </w:p>
    <w:p w14:paraId="34678C83">
      <w:pPr>
        <w:spacing w:line="560" w:lineRule="exact"/>
        <w:ind w:firstLine="640" w:firstLineChars="200"/>
        <w:rPr>
          <w:rFonts w:ascii="Times New Roman" w:hAnsi="Times New Roman" w:eastAsia="仿宋_GB2312" w:cs="Times New Roman"/>
          <w:sz w:val="32"/>
          <w:szCs w:val="32"/>
        </w:rPr>
      </w:pPr>
    </w:p>
    <w:p w14:paraId="5E955263">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乌尔禾百口泉克拉玛依宝胜商贸有限公司“11·4”一般车辆伤害事故调查报告</w:t>
      </w:r>
    </w:p>
    <w:p w14:paraId="73FCF127">
      <w:pPr>
        <w:spacing w:line="560" w:lineRule="exact"/>
        <w:ind w:firstLine="640" w:firstLineChars="200"/>
        <w:rPr>
          <w:rFonts w:ascii="Times New Roman" w:hAnsi="Times New Roman" w:eastAsia="仿宋_GB2312" w:cs="Times New Roman"/>
          <w:sz w:val="32"/>
          <w:szCs w:val="32"/>
        </w:rPr>
      </w:pPr>
    </w:p>
    <w:p w14:paraId="69AA6BE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1月28日，我区接克拉玛依市应急管理局通报：“2020年11月4日14时42分许，百口泉采油厂百21井区bDT10082井厂发生一起车辆伤害事故，造成1人死亡”，我区立即成立事故核查组，开展核查工作，经核查该车辆伤害事故是一起一般生产安全事故，事发当时由区公安部门按照《中华人民共和国刑事诉讼法》第一百一十二条规定立案侦查后，移交区人民检察院审查起诉。</w:t>
      </w:r>
    </w:p>
    <w:p w14:paraId="1557497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事故核查结束后，</w:t>
      </w:r>
      <w:r>
        <w:rPr>
          <w:rFonts w:hint="eastAsia" w:ascii="Times New Roman" w:hAnsi="Times New Roman" w:eastAsia="仿宋_GB2312" w:cs="Times New Roman"/>
          <w:sz w:val="32"/>
          <w:szCs w:val="32"/>
          <w:lang w:eastAsia="zh-CN"/>
        </w:rPr>
        <w:t>区委、区政府</w:t>
      </w:r>
      <w:r>
        <w:rPr>
          <w:rFonts w:ascii="Times New Roman" w:hAnsi="Times New Roman" w:eastAsia="仿宋_GB2312" w:cs="Times New Roman"/>
          <w:sz w:val="32"/>
          <w:szCs w:val="32"/>
        </w:rPr>
        <w:t>高度重视，根据《中华人民共和国安全生产法》《生产安全事故报告和调查处理条例》（国务院令第493号）等法律法规，按照克拉玛依市安委办《关于对百口泉产业园“11</w:t>
      </w:r>
      <w:r>
        <w:rPr>
          <w:rFonts w:ascii="Times New Roman" w:hAnsi="Times New Roman" w:eastAsia="宋体" w:cs="Times New Roman"/>
          <w:sz w:val="32"/>
          <w:szCs w:val="32"/>
        </w:rPr>
        <w:t>·</w:t>
      </w:r>
      <w:r>
        <w:rPr>
          <w:rFonts w:ascii="Times New Roman" w:hAnsi="Times New Roman" w:eastAsia="仿宋_GB2312" w:cs="Times New Roman"/>
          <w:sz w:val="32"/>
          <w:szCs w:val="32"/>
        </w:rPr>
        <w:t>4”车辆伤害事故挂牌督办的通知》要求，成立了以乌尔禾区人民政府副区长为组长，百口泉产业园区筹委会、区应急管理局、公安分局、司法局、总工会等相关单位分管负责同志为成员的乌尔禾百口泉克拉玛依宝胜商贸有限公司“11</w:t>
      </w:r>
      <w:r>
        <w:rPr>
          <w:rFonts w:ascii="Times New Roman" w:hAnsi="Times New Roman" w:eastAsia="宋体" w:cs="Times New Roman"/>
          <w:sz w:val="32"/>
          <w:szCs w:val="32"/>
        </w:rPr>
        <w:t>·</w:t>
      </w:r>
      <w:r>
        <w:rPr>
          <w:rFonts w:ascii="Times New Roman" w:hAnsi="Times New Roman" w:eastAsia="仿宋_GB2312" w:cs="Times New Roman"/>
          <w:sz w:val="32"/>
          <w:szCs w:val="32"/>
        </w:rPr>
        <w:t>4”一般车辆伤害事故调查组（以下简称“事故调查组”）。并邀请区纪委监委、区检察院派人员参加。</w:t>
      </w:r>
    </w:p>
    <w:p w14:paraId="4B61BE0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调查组按照“科学严谨、依法依规、实事求是、注重实效”和“四不放过”的原则，认真开展调查工作。通过调查取证、综合分析和询问有关人员，查明了事故发生的经过、原因、应急处置、人员伤亡情况及直接经济损失，认定事故的性质和事故责任，查清了相关单位存在的问题，提出了对有关责任单位和责任人员的处理建议，并针对事故原因及暴露出的突出问题，提出了事故防范措施建议。</w:t>
      </w:r>
    </w:p>
    <w:p w14:paraId="2ACF92D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经事故调查组认定，乌尔禾百口泉克拉玛依宝胜商贸有限公司“11</w:t>
      </w:r>
      <w:r>
        <w:rPr>
          <w:rFonts w:ascii="Times New Roman" w:hAnsi="Times New Roman" w:eastAsia="宋体" w:cs="Times New Roman"/>
          <w:sz w:val="32"/>
          <w:szCs w:val="32"/>
        </w:rPr>
        <w:t>·</w:t>
      </w:r>
      <w:r>
        <w:rPr>
          <w:rFonts w:ascii="Times New Roman" w:hAnsi="Times New Roman" w:eastAsia="仿宋_GB2312" w:cs="Times New Roman"/>
          <w:sz w:val="32"/>
          <w:szCs w:val="32"/>
        </w:rPr>
        <w:t>4”一般车辆伤害事故，是一起由于克拉玛依钻井公司、宝胜商贸有限公司和区公安分局相关人员由于对生产安全事故信息上报工作业务不精、学习不到位，导致信息未报送有关部门，按照过失致人死亡追究刑事责任的一般生产安全责任事故。</w:t>
      </w:r>
    </w:p>
    <w:p w14:paraId="28888981">
      <w:pPr>
        <w:pStyle w:val="2"/>
        <w:ind w:firstLine="640"/>
        <w:rPr>
          <w:rFonts w:ascii="Times New Roman" w:hAnsi="Times New Roman" w:cs="Times New Roman"/>
        </w:rPr>
      </w:pPr>
      <w:bookmarkStart w:id="0" w:name="_Toc166600184"/>
      <w:r>
        <w:rPr>
          <w:rFonts w:ascii="Times New Roman" w:cs="Times New Roman"/>
        </w:rPr>
        <w:t>一、基本情况</w:t>
      </w:r>
      <w:bookmarkEnd w:id="0"/>
    </w:p>
    <w:p w14:paraId="1A01C065">
      <w:pPr>
        <w:pStyle w:val="3"/>
        <w:ind w:firstLine="640"/>
        <w:rPr>
          <w:rFonts w:ascii="Times New Roman" w:hAnsi="Times New Roman" w:cs="Times New Roman"/>
        </w:rPr>
      </w:pPr>
      <w:bookmarkStart w:id="1" w:name="_Toc166600185"/>
      <w:r>
        <w:rPr>
          <w:rFonts w:ascii="Times New Roman" w:cs="Times New Roman"/>
        </w:rPr>
        <w:t>（一）事故发生单位及相关单位的基本情况</w:t>
      </w:r>
      <w:bookmarkEnd w:id="1"/>
    </w:p>
    <w:p w14:paraId="12696A6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1.克拉玛依宝胜商贸有限公司（以下简称宝胜公司），统一社会信用代码：916502000655******，成立于2013年4月9日，类型：有限责任公司（自然人投资或控股），注册地址</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新疆克拉玛依市克拉玛依区胜利路*******号，负责人：彭*，经营范围：道路货物运输（不含危险货物）（依法须经批准的项目，经相关部门批准后方可开展经营活动，具体经营项目以相关部门批</w:t>
      </w:r>
      <w:r>
        <w:rPr>
          <w:rFonts w:hint="eastAsia" w:ascii="Times New Roman" w:hAnsi="Times New Roman" w:eastAsia="仿宋_GB2312" w:cs="Times New Roman"/>
          <w:sz w:val="32"/>
          <w:szCs w:val="32"/>
          <w:lang w:eastAsia="zh-CN"/>
        </w:rPr>
        <w:t>准</w:t>
      </w:r>
      <w:r>
        <w:rPr>
          <w:rFonts w:ascii="Times New Roman" w:hAnsi="Times New Roman" w:eastAsia="仿宋_GB2312" w:cs="Times New Roman"/>
          <w:sz w:val="32"/>
          <w:szCs w:val="32"/>
        </w:rPr>
        <w:t>文件或许可证为准）。机械设备租赁；石油制品销售（不含危险化学品）；装卸搬运；普通货物仓储服务（不含危险化学品等需许可审批的项目）；小微型客车租赁经营服务等（除依法须经批准的项目外，凭营业执照依法自主开展经营活动）。道路运输经营许可证编号：新 交运管许可 克市 字 650201******号，经营范围：道路普通货物运输，大型物件运输；有效期：2023年4月4日至2027年4月3日。</w:t>
      </w:r>
    </w:p>
    <w:p w14:paraId="75605AA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国石油集团西部钻探工程有限公司克拉玛依钻井公司（以下简称克拉玛依钻井公司），法定代表人：张*春，统一社会信用代码：916502049289******；注册地址：新疆克拉玛依市白碱滩区中兴路**号，成立日期：2008年11月3日。经营范围：道路普通货物运输、货物专用运输（罐式容器）大型物件运输（一类）大型物件运输（二类）大型物件运输（四类），石油、天然气勘探开发和生产建设：提供地质勘探、钻井、固井、井下作业等工程作业；工艺技术研究与应用开发；石油专用设备、器材制造、销售；工程技术服务相关产品加工制造与销售、物资仓储、供应与销售等（依法须经批准的项目，经相关部门批准后方可开展经营活动）；安全许可证编号：（新）FM安许证字（2021）**号，许可范围：钻井，有效期：2021年3月19日至2024年3月18日。</w:t>
      </w:r>
    </w:p>
    <w:p w14:paraId="0F2C804D">
      <w:pPr>
        <w:pStyle w:val="3"/>
        <w:ind w:firstLine="640"/>
        <w:rPr>
          <w:rFonts w:ascii="Times New Roman" w:hAnsi="Times New Roman" w:cs="Times New Roman"/>
        </w:rPr>
      </w:pPr>
      <w:bookmarkStart w:id="2" w:name="_Toc166600186"/>
      <w:r>
        <w:rPr>
          <w:rFonts w:ascii="Times New Roman" w:cs="Times New Roman"/>
        </w:rPr>
        <w:t>（二）合同签订情况</w:t>
      </w:r>
      <w:bookmarkEnd w:id="2"/>
    </w:p>
    <w:p w14:paraId="0616C50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sz w:val="32"/>
          <w:szCs w:val="32"/>
        </w:rPr>
        <w:t>1.2020年5月19日，</w:t>
      </w:r>
      <w:r>
        <w:rPr>
          <w:rFonts w:ascii="Times New Roman" w:hAnsi="Times New Roman" w:eastAsia="仿宋_GB2312" w:cs="Times New Roman"/>
          <w:sz w:val="32"/>
          <w:szCs w:val="32"/>
        </w:rPr>
        <w:t>克拉玛依钻井公司（甲方）与宝胜公司（乙方）签订《克拉玛依钻井公司吊卡车运输服务（克拉玛依地区标段5）》合同，合同编号：XBZTGC-klmyzjgs-2020-YS-129，自2020年1月1日起至2020年12月31日止，甲方使用乙方吊车、平板、大挂、管子拖车、卡车、自备吊车辆用于钻井设备搬迁、零星生产用车及合同料、化工材料供送等用车，车辆数量根据甲方需求确定，费用按照吨位*单价*路程（工作小时）确定。同时签订专门安全生产管理协议，约定克拉玛依钻井公司（甲方）与宝胜公司（乙方）在履行《技术服务合同》过程中各自安全生产职责。</w:t>
      </w:r>
    </w:p>
    <w:p w14:paraId="33FBACE1">
      <w:pPr>
        <w:pStyle w:val="3"/>
        <w:ind w:firstLine="640"/>
        <w:rPr>
          <w:rFonts w:ascii="Times New Roman" w:hAnsi="Times New Roman" w:cs="Times New Roman"/>
        </w:rPr>
      </w:pPr>
      <w:bookmarkStart w:id="3" w:name="_Toc166600187"/>
      <w:r>
        <w:rPr>
          <w:rFonts w:ascii="Times New Roman" w:cs="Times New Roman"/>
        </w:rPr>
        <w:t>（三）事故车辆与驾驶人员基本情况</w:t>
      </w:r>
      <w:bookmarkEnd w:id="3"/>
    </w:p>
    <w:p w14:paraId="6EE159B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新G0****重型半挂牵引车（牵引新A****），中文品牌：陕汽牌，所有人：额敏县富源汽车运输有限责任公司，登记住址：新疆维吾尔自治区额敏县建安路，登记日期：2010年7月8日，检验有效期至：2021年1月31日，车辆使用性质：货运，机动车状态正常。新A****挂车所有人：乌鲁木齐万顺鑫运输有限公司，登记日期：2006年6月27日，检验有效期至：2021年6月27日。购有交通事故强制责任保险，投保公司：中华联合财产保险股份有限公司，保险终止日期：2021年5月13日。</w:t>
      </w:r>
    </w:p>
    <w:p w14:paraId="68EF06F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周*林，新G0****重型半挂牵引车（牵引新A****）驾驶人，男，驾驶证号：412928196206******，准驾车型：A2，登记住址：河南省郑州市二七区大学中路**号院*号楼**号，领证日期：1988年10月6日，有效期至：2015年10月6日，驾驶状态：正常，累计记分0分。</w:t>
      </w:r>
    </w:p>
    <w:p w14:paraId="5060CE16">
      <w:pPr>
        <w:pStyle w:val="3"/>
        <w:ind w:firstLine="640"/>
        <w:rPr>
          <w:rFonts w:ascii="Times New Roman" w:hAnsi="Times New Roman" w:cs="Times New Roman"/>
        </w:rPr>
      </w:pPr>
      <w:bookmarkStart w:id="4" w:name="_Toc166600188"/>
      <w:r>
        <w:rPr>
          <w:rFonts w:ascii="Times New Roman" w:cs="Times New Roman"/>
        </w:rPr>
        <w:t>（四）事故相关单位安全管理情况</w:t>
      </w:r>
      <w:bookmarkEnd w:id="4"/>
    </w:p>
    <w:p w14:paraId="7DD3F0E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1.克拉玛依宝胜商贸有限公司</w:t>
      </w:r>
    </w:p>
    <w:p w14:paraId="093AC00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宝胜商贸有限公司2020年安全培训教育、隐患排查治理等工作印证资料均已丢失，公司安全管理制度和操作规程2022年5月10日修订，2020年未设置专职安全管理机构或者设置专职安全管理人员，2021年11月25日取得道路交通运输企业主要负责人、安全管理人员资格证书，与周*林个人，周*林实际所有车辆注册公司均未签订合同，自2019年10月以来雇佣周*林及其个人实际所有车辆从事货运业务。</w:t>
      </w:r>
    </w:p>
    <w:p w14:paraId="6B2FA5E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2.中国石油集团西部钻探工程有限公司克拉玛依钻井公司</w:t>
      </w:r>
    </w:p>
    <w:p w14:paraId="6ED62CF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钻井公司成立了由主要负责人为组长的安全生产委员会，制定了钻井公司QHSE岗位职责，明确了各部门和各岗位人员的安全生产职责，设置了安全生产机构，现有专职安全管理人员41人，专职安全监督管理人员107人，200人取得非煤矿山安全管理资格证书，制定了事故隐患管理、钻井队设备拆卸、拉运安全管理规程、安全环保工作考核管理规程、风险管理及要害部位承包管理规程等安全管理制度和操作规程，下设四个项目经理部对公司业务按照属地管理。2020年3月组织开展运输企业承包商安全培训，以交通警示教育、公司风险警示及管控措施、油田公司重点整治隐患目录等为主要内容，宝胜运输公司、克拉玛依三祥工贸、克拉玛依鹏须工贸公司等7家承包商主要负责人及安全管理人员参加。2020年3月8日印发钻井公司钻井搬迁设备运输风险提示，明确要求严禁碾压井场意外植被和严格执行属地管理。公司每周对各项目经理部井队开展安全检查，形成督导检查通报，2020年8月24对第四项目经理部40531井队开展安全检查，发现安全隐患5项，均按要求整改完毕。</w:t>
      </w:r>
    </w:p>
    <w:p w14:paraId="7F14BC5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克拉玛依钻井公司第四项目经理部成立了安全生产领导小组，由耿*雷为组长，其他项目部人员为成员，编制明确了各岗位的QHSE管理职责。项目部结合钻井队生产工况，不定期</w:t>
      </w:r>
      <w:r>
        <w:rPr>
          <w:rFonts w:hint="eastAsia" w:ascii="Times New Roman" w:hAnsi="Times New Roman" w:eastAsia="仿宋_GB2312" w:cs="Times New Roman"/>
          <w:sz w:val="32"/>
          <w:szCs w:val="32"/>
          <w:lang w:eastAsia="zh-CN"/>
        </w:rPr>
        <w:t>对</w:t>
      </w:r>
      <w:r>
        <w:rPr>
          <w:rFonts w:ascii="Times New Roman" w:hAnsi="Times New Roman" w:eastAsia="仿宋_GB2312" w:cs="Times New Roman"/>
          <w:sz w:val="32"/>
          <w:szCs w:val="32"/>
        </w:rPr>
        <w:t>施工现场进行安全检查，2020年11月2日至4日期间，未对搬家运输单位宝胜公司进行风险交底及安全提升，未安排专人进行现场旁站监护，未组织开展安全检查。</w:t>
      </w:r>
    </w:p>
    <w:p w14:paraId="1FA8D3F1">
      <w:pPr>
        <w:pStyle w:val="3"/>
        <w:ind w:firstLine="640"/>
        <w:rPr>
          <w:rFonts w:ascii="Times New Roman" w:hAnsi="Times New Roman" w:cs="Times New Roman"/>
        </w:rPr>
      </w:pPr>
      <w:bookmarkStart w:id="5" w:name="_Toc166600189"/>
      <w:r>
        <w:rPr>
          <w:rFonts w:ascii="Times New Roman" w:cs="Times New Roman"/>
        </w:rPr>
        <w:t>（五）监管部门履职情况</w:t>
      </w:r>
      <w:bookmarkEnd w:id="5"/>
    </w:p>
    <w:p w14:paraId="6544A7B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2020年，乌尔禾区应急管理局按照区安委会《乌尔禾区建立健全安全生产大检查长效机制实施方案的通知》（克乌安发〔2019〕9号）要求，每月组织危险化学品、非煤矿山领域月研判、月调度会议，分析辖区危化品、非煤矿山领域安全风险，有针对性开展安全检查。2020年5月28日对克拉玛依钻井公司第四项目部70003队开展安全检查，发现一般安全隐患5项，5月29日下发限期整改指令书，6月1日复查合格下发整改复查意见书。11月8日对拉玛依钻井公司第四项目部40531队、40678队开展安全检查，发现一般安全隐患6项，11月8日下发限期整改指令书，11月23日复查合格下发整改复查意见书。2020年6月18日组织开展辖区企业主要负责人、安全管理人员专题培训，共60人参加。</w:t>
      </w:r>
    </w:p>
    <w:p w14:paraId="3C52F113">
      <w:pPr>
        <w:pStyle w:val="3"/>
        <w:ind w:firstLine="640"/>
        <w:rPr>
          <w:rFonts w:ascii="Times New Roman" w:hAnsi="Times New Roman" w:cs="Times New Roman"/>
        </w:rPr>
      </w:pPr>
      <w:bookmarkStart w:id="6" w:name="_Toc166600190"/>
      <w:r>
        <w:rPr>
          <w:rFonts w:ascii="Times New Roman" w:cs="Times New Roman"/>
        </w:rPr>
        <w:t>（六）其他情况</w:t>
      </w:r>
      <w:bookmarkEnd w:id="6"/>
    </w:p>
    <w:p w14:paraId="6502704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查阅气象资料，当日乌尔禾区百口泉区域平均温度5.3</w:t>
      </w:r>
      <w:r>
        <w:rPr>
          <w:rFonts w:ascii="Times New Roman" w:hAnsi="宋体" w:eastAsia="宋体" w:cs="Times New Roman"/>
          <w:sz w:val="32"/>
          <w:szCs w:val="32"/>
        </w:rPr>
        <w:t>℃</w:t>
      </w:r>
      <w:r>
        <w:rPr>
          <w:rFonts w:ascii="Times New Roman" w:hAnsi="Times New Roman" w:eastAsia="仿宋_GB2312" w:cs="Times New Roman"/>
          <w:sz w:val="32"/>
          <w:szCs w:val="32"/>
        </w:rPr>
        <w:t>，最高气温12.3</w:t>
      </w:r>
      <w:r>
        <w:rPr>
          <w:rFonts w:ascii="Times New Roman" w:hAnsi="宋体" w:eastAsia="宋体" w:cs="Times New Roman"/>
          <w:sz w:val="32"/>
          <w:szCs w:val="32"/>
        </w:rPr>
        <w:t>℃</w:t>
      </w:r>
      <w:r>
        <w:rPr>
          <w:rFonts w:ascii="Times New Roman" w:hAnsi="Times New Roman" w:eastAsia="仿宋_GB2312" w:cs="Times New Roman"/>
          <w:sz w:val="32"/>
          <w:szCs w:val="32"/>
        </w:rPr>
        <w:t>，最低气温0.8</w:t>
      </w:r>
      <w:r>
        <w:rPr>
          <w:rFonts w:ascii="Times New Roman" w:hAnsi="Times New Roman" w:eastAsia="宋体" w:cs="Times New Roman"/>
          <w:sz w:val="32"/>
          <w:szCs w:val="32"/>
        </w:rPr>
        <w:t>℃</w:t>
      </w:r>
      <w:r>
        <w:rPr>
          <w:rFonts w:ascii="Times New Roman" w:hAnsi="Times New Roman" w:eastAsia="仿宋_GB2312" w:cs="Times New Roman"/>
          <w:sz w:val="32"/>
          <w:szCs w:val="32"/>
        </w:rPr>
        <w:t>，相对湿度46%，平均风速6.6米</w:t>
      </w:r>
      <w:r>
        <w:rPr>
          <w:rFonts w:ascii="Times New Roman" w:hAnsi="Times New Roman" w:eastAsia="宋体" w:cs="Times New Roman"/>
          <w:sz w:val="32"/>
          <w:szCs w:val="32"/>
        </w:rPr>
        <w:t>∕</w:t>
      </w:r>
      <w:r>
        <w:rPr>
          <w:rFonts w:ascii="Times New Roman" w:hAnsi="Times New Roman" w:eastAsia="仿宋_GB2312" w:cs="Times New Roman"/>
          <w:sz w:val="32"/>
          <w:szCs w:val="32"/>
        </w:rPr>
        <w:t>秒，极大风速20.0米</w:t>
      </w:r>
      <w:r>
        <w:rPr>
          <w:rFonts w:ascii="Times New Roman" w:hAnsi="Times New Roman" w:eastAsia="宋体" w:cs="Times New Roman"/>
          <w:sz w:val="32"/>
          <w:szCs w:val="32"/>
        </w:rPr>
        <w:t>∕</w:t>
      </w:r>
      <w:r>
        <w:rPr>
          <w:rFonts w:ascii="Times New Roman" w:hAnsi="Times New Roman" w:eastAsia="仿宋_GB2312" w:cs="Times New Roman"/>
          <w:sz w:val="32"/>
          <w:szCs w:val="32"/>
        </w:rPr>
        <w:t>秒。</w:t>
      </w:r>
    </w:p>
    <w:p w14:paraId="5501DE88">
      <w:pPr>
        <w:pStyle w:val="2"/>
        <w:ind w:firstLine="640"/>
        <w:rPr>
          <w:rFonts w:ascii="Times New Roman" w:hAnsi="Times New Roman" w:cs="Times New Roman"/>
        </w:rPr>
      </w:pPr>
      <w:bookmarkStart w:id="7" w:name="_Toc166600191"/>
      <w:r>
        <w:rPr>
          <w:rFonts w:ascii="Times New Roman" w:hAnsi="Times New Roman" w:cs="Times New Roman"/>
        </w:rPr>
        <w:t>二、事故发生经过和事故应急救援情况</w:t>
      </w:r>
      <w:bookmarkEnd w:id="7"/>
    </w:p>
    <w:p w14:paraId="4BCDA198">
      <w:pPr>
        <w:pStyle w:val="3"/>
        <w:ind w:firstLine="640"/>
        <w:rPr>
          <w:rFonts w:ascii="Times New Roman" w:hAnsi="Times New Roman" w:cs="Times New Roman"/>
        </w:rPr>
      </w:pPr>
      <w:bookmarkStart w:id="8" w:name="_Toc166600192"/>
      <w:r>
        <w:rPr>
          <w:rFonts w:ascii="Times New Roman" w:hAnsi="Times New Roman" w:cs="Times New Roman"/>
        </w:rPr>
        <w:t>（一）事故发生经过</w:t>
      </w:r>
      <w:bookmarkEnd w:id="8"/>
    </w:p>
    <w:p w14:paraId="7491E7F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2020年11月2日，克拉玛依钻井公司40531钻井队计划进行设备转运搬迁作业，由队长王*在公司网络系统中上报搬迁车辆计划</w:t>
      </w:r>
      <w:r>
        <w:rPr>
          <w:rFonts w:hint="eastAsia" w:ascii="Times New Roman" w:hAnsi="Times New Roman" w:eastAsia="仿宋_GB2312" w:cs="Times New Roman"/>
          <w:sz w:val="32"/>
          <w:szCs w:val="32"/>
          <w:lang w:eastAsia="zh-CN"/>
        </w:rPr>
        <w:t>，经</w:t>
      </w:r>
      <w:r>
        <w:rPr>
          <w:rFonts w:ascii="Times New Roman" w:hAnsi="Times New Roman" w:eastAsia="仿宋_GB2312" w:cs="Times New Roman"/>
          <w:sz w:val="32"/>
          <w:szCs w:val="32"/>
        </w:rPr>
        <w:t>生产协调科调度肖*华审核后，安排由宝胜公司组织安排车辆进行现场服务，将该井队设备由艾湖2井区AHHW2045拉运至百口泉百21井区bDT10082井。</w:t>
      </w:r>
    </w:p>
    <w:p w14:paraId="2B150E1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11月3日，克拉玛依宝胜商贸有限公司组织14台货车，3台吊车进行搬家作业，并安排本单位调度员廖*军全程在（艾湖AHHW2045井区）施工现场进行车辆协调监督，将钻机主体设备、外围营房等转运至新井场区域。</w:t>
      </w:r>
    </w:p>
    <w:p w14:paraId="7BFFC02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11月4日10时30分许，宝胜公司外雇司机周*林驾驶新G-06263高低挂车，从艾湖AHHW2045井装车完成后驶离。</w:t>
      </w:r>
    </w:p>
    <w:p w14:paraId="2D7E653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13时10分许，周*林驾驶车辆抵达百口泉bDT10082井区。</w:t>
      </w:r>
    </w:p>
    <w:p w14:paraId="2BCCED1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13时45分许，克拉玛依钻井公司40531井队队长王*安排司钻董*山、钻工刘*名、谭**开始卸车作业，使用吊车将车上泥浆罐、离心机、坐岗房卸下。</w:t>
      </w:r>
    </w:p>
    <w:p w14:paraId="71BC7A4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14时20分许，卸车完毕后，周*林将车辆倒车至克拉玛依钻井公司40531井队发电房区域，因驶入路线左右被2台吊车阻挡，周*林随即停车待命。</w:t>
      </w:r>
    </w:p>
    <w:p w14:paraId="761A918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14时42分许，周*林驾驶车辆前方右侧吊车在作业结束后驶离，随即周*林观察了车辆左右后视镜后，开始倒车，造成*****</w:t>
      </w:r>
      <w:r>
        <w:rPr>
          <w:rFonts w:ascii="Times New Roman" w:hAnsi="Times New Roman" w:eastAsia="宋体" w:cs="Times New Roman"/>
          <w:sz w:val="32"/>
          <w:szCs w:val="32"/>
        </w:rPr>
        <w:t>·</w:t>
      </w:r>
      <w:r>
        <w:rPr>
          <w:rFonts w:ascii="Times New Roman" w:hAnsi="Times New Roman" w:eastAsia="仿宋_GB2312" w:cs="Times New Roman"/>
          <w:sz w:val="32"/>
          <w:szCs w:val="32"/>
        </w:rPr>
        <w:t>吐林迪受伤。</w:t>
      </w:r>
    </w:p>
    <w:p w14:paraId="5454BD42">
      <w:pPr>
        <w:pStyle w:val="3"/>
        <w:ind w:firstLine="640"/>
        <w:rPr>
          <w:rFonts w:ascii="Times New Roman" w:hAnsi="Times New Roman" w:cs="Times New Roman"/>
        </w:rPr>
      </w:pPr>
      <w:bookmarkStart w:id="9" w:name="_Toc166600193"/>
      <w:r>
        <w:rPr>
          <w:rFonts w:ascii="Times New Roman" w:hAnsi="Times New Roman" w:cs="Times New Roman"/>
        </w:rPr>
        <w:t>（二）事故信息报送情况</w:t>
      </w:r>
      <w:bookmarkEnd w:id="9"/>
    </w:p>
    <w:p w14:paraId="646F971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2020年11月4日14时45分许，井队工人****·阿汉从配电房出来看见事故车辆正在倒车，车辆后侧右前轮处躺着一个人，随即大喊让司机停车，司机停车后，****</w:t>
      </w:r>
      <w:r>
        <w:rPr>
          <w:rFonts w:ascii="Times New Roman" w:hAnsi="Times New Roman" w:eastAsia="宋体" w:cs="Times New Roman"/>
          <w:sz w:val="32"/>
          <w:szCs w:val="32"/>
        </w:rPr>
        <w:t>·</w:t>
      </w:r>
      <w:r>
        <w:rPr>
          <w:rFonts w:ascii="Times New Roman" w:hAnsi="Times New Roman" w:eastAsia="仿宋_GB2312" w:cs="Times New Roman"/>
          <w:sz w:val="32"/>
          <w:szCs w:val="32"/>
        </w:rPr>
        <w:t>阿汉和司机一起前往伤者处查看情况，随即司机周*林拨打120电话。</w:t>
      </w:r>
    </w:p>
    <w:p w14:paraId="51988C8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45分许，王*在井区发电房处听见有人呼喊，随即前往事发地点查看情况，和现场工人查看受伤人员情况，听见司机给120打电话，说不清现场具体位置，便接过电话说明了具体位置信息，随后电话向项目经理耿清雷汇报。</w:t>
      </w:r>
    </w:p>
    <w:p w14:paraId="77C324C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14时55分许，耿*雷给在事发现场附近的项目部工作人员郭*磊打电话，让值班车前往事故现场，并安排队长王*和副队长叶尔****乘车将伤者****</w:t>
      </w:r>
      <w:r>
        <w:rPr>
          <w:rFonts w:ascii="Times New Roman" w:hAnsi="Times New Roman" w:eastAsia="宋体" w:cs="Times New Roman"/>
          <w:sz w:val="32"/>
          <w:szCs w:val="32"/>
        </w:rPr>
        <w:t>·</w:t>
      </w:r>
      <w:r>
        <w:rPr>
          <w:rFonts w:ascii="Times New Roman" w:hAnsi="Times New Roman" w:eastAsia="仿宋_GB2312" w:cs="Times New Roman"/>
          <w:sz w:val="32"/>
          <w:szCs w:val="32"/>
        </w:rPr>
        <w:t>吐林迪送往克拉玛依市第二人民医院。</w:t>
      </w:r>
    </w:p>
    <w:p w14:paraId="365E8BB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10分许，耿*雷电话向克拉玛依钻井公司安全副总监王*（当时在克拉美丽气田进行安全检查）汇报现场情况，随后向克拉玛依钻井公司常务副经理李*林汇报（当时执行董事、党委书记张*春在北京参加脱产培训，由李*林全面主持工作），并立即赶赴事故现场。</w:t>
      </w:r>
    </w:p>
    <w:p w14:paraId="47161CF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15时15分许，王*向克拉玛依钻井公司安全总监杨*电话汇报现场情况。</w:t>
      </w:r>
    </w:p>
    <w:p w14:paraId="6861728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15时43分许，司机周*林拨打110电话报警。</w:t>
      </w:r>
    </w:p>
    <w:p w14:paraId="6C21167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16时40分许，耿*雷电话告知王*，此次事故公安拟以刑事案件调查。</w:t>
      </w:r>
    </w:p>
    <w:p w14:paraId="1CFE770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16时45分许，王*电话向李*林</w:t>
      </w:r>
      <w:r>
        <w:rPr>
          <w:rFonts w:hint="eastAsia" w:ascii="Times New Roman" w:hAnsi="Times New Roman" w:eastAsia="仿宋_GB2312" w:cs="Times New Roman"/>
          <w:sz w:val="32"/>
          <w:szCs w:val="32"/>
          <w:lang w:eastAsia="zh-CN"/>
        </w:rPr>
        <w:t>汇报</w:t>
      </w:r>
      <w:r>
        <w:rPr>
          <w:rFonts w:ascii="Times New Roman" w:hAnsi="Times New Roman" w:eastAsia="仿宋_GB2312" w:cs="Times New Roman"/>
          <w:sz w:val="32"/>
          <w:szCs w:val="32"/>
        </w:rPr>
        <w:t>事故情况，说明公安拟按照刑事案件立案，不属于生产安全事故，不用向行业监管部门报送，并要求做好事故善后工作。</w:t>
      </w:r>
    </w:p>
    <w:p w14:paraId="4A01B20B">
      <w:pPr>
        <w:pStyle w:val="3"/>
        <w:ind w:firstLine="640"/>
        <w:rPr>
          <w:rFonts w:ascii="Times New Roman" w:hAnsi="Times New Roman" w:cs="Times New Roman"/>
        </w:rPr>
      </w:pPr>
      <w:bookmarkStart w:id="10" w:name="_Toc166600194"/>
      <w:r>
        <w:rPr>
          <w:rFonts w:ascii="Times New Roman" w:hAnsi="Times New Roman" w:cs="Times New Roman"/>
        </w:rPr>
        <w:t>（三）事故应急救援情况</w:t>
      </w:r>
      <w:bookmarkEnd w:id="10"/>
    </w:p>
    <w:p w14:paraId="50688FE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14时47分许，驾驶员周*林拨打120报警，井队队长王*组织现场人员查看伤者情况，并告知120车辆具体事故位置。</w:t>
      </w:r>
    </w:p>
    <w:p w14:paraId="09ED154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14时55分许，耿*雷给在事发现场附近的郭*磊打电话，让值班车前往事故现场，并安排队长王*和副队长叶尔****乘车将伤者*****</w:t>
      </w:r>
      <w:r>
        <w:rPr>
          <w:rFonts w:ascii="Times New Roman" w:hAnsi="Times New Roman" w:eastAsia="宋体" w:cs="Times New Roman"/>
          <w:sz w:val="32"/>
          <w:szCs w:val="32"/>
        </w:rPr>
        <w:t>·</w:t>
      </w:r>
      <w:r>
        <w:rPr>
          <w:rFonts w:ascii="Times New Roman" w:hAnsi="Times New Roman" w:eastAsia="仿宋_GB2312" w:cs="Times New Roman"/>
          <w:sz w:val="32"/>
          <w:szCs w:val="32"/>
        </w:rPr>
        <w:t>吐林迪送往克拉玛依市第二人民医院。</w:t>
      </w:r>
    </w:p>
    <w:p w14:paraId="1F6A547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15时25分许，在217国道乌尔禾检查站往白碱滩方向4公里处，克拉玛依钻井公司值班车和120急救车碰头，伤者被转移到急救车上送往克拉玛依市第二人民医院抢救。</w:t>
      </w:r>
    </w:p>
    <w:p w14:paraId="08C829E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16时25分许，克拉玛依市第二人民医院宣布，伤者因伤势过重</w:t>
      </w:r>
      <w:r>
        <w:rPr>
          <w:rFonts w:hint="eastAsia" w:ascii="Times New Roman" w:hAnsi="Times New Roman" w:eastAsia="仿宋_GB2312" w:cs="Times New Roman"/>
          <w:sz w:val="32"/>
          <w:szCs w:val="32"/>
          <w:lang w:eastAsia="zh-CN"/>
        </w:rPr>
        <w:t>，经</w:t>
      </w:r>
      <w:r>
        <w:rPr>
          <w:rFonts w:ascii="Times New Roman" w:hAnsi="Times New Roman" w:eastAsia="仿宋_GB2312" w:cs="Times New Roman"/>
          <w:sz w:val="32"/>
          <w:szCs w:val="32"/>
        </w:rPr>
        <w:t>抢救无效死亡。</w:t>
      </w:r>
    </w:p>
    <w:p w14:paraId="66CF8EC0">
      <w:pPr>
        <w:pStyle w:val="3"/>
        <w:ind w:firstLine="640"/>
        <w:rPr>
          <w:rFonts w:ascii="Times New Roman" w:hAnsi="Times New Roman" w:cs="Times New Roman"/>
        </w:rPr>
      </w:pPr>
      <w:bookmarkStart w:id="11" w:name="_Toc166600195"/>
      <w:r>
        <w:rPr>
          <w:rFonts w:ascii="Times New Roman" w:hAnsi="Times New Roman" w:cs="Times New Roman"/>
        </w:rPr>
        <w:t>（四）事故应急处置评估</w:t>
      </w:r>
      <w:bookmarkEnd w:id="11"/>
    </w:p>
    <w:p w14:paraId="22F582D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事故发生后，克拉玛依钻井公司第四经理项目部有序开展现场救援，处置正确、有效，善后处理得当，未造成不良社会影响。</w:t>
      </w:r>
    </w:p>
    <w:p w14:paraId="79F04D75">
      <w:pPr>
        <w:pStyle w:val="2"/>
        <w:ind w:firstLine="640"/>
        <w:rPr>
          <w:rFonts w:ascii="Times New Roman" w:hAnsi="Times New Roman" w:cs="Times New Roman"/>
        </w:rPr>
      </w:pPr>
      <w:bookmarkStart w:id="12" w:name="_Toc166600196"/>
      <w:r>
        <w:rPr>
          <w:rFonts w:ascii="Times New Roman" w:hAnsi="Times New Roman" w:cs="Times New Roman"/>
        </w:rPr>
        <w:t>三、人员伤亡和直接经济损失</w:t>
      </w:r>
      <w:bookmarkEnd w:id="12"/>
    </w:p>
    <w:p w14:paraId="64AFA054">
      <w:pPr>
        <w:spacing w:line="560" w:lineRule="exact"/>
        <w:ind w:firstLine="640" w:firstLineChars="200"/>
        <w:rPr>
          <w:rFonts w:ascii="Times New Roman" w:hAnsi="Times New Roman" w:eastAsia="仿宋_GB2312" w:cs="Times New Roman"/>
          <w:sz w:val="32"/>
          <w:szCs w:val="32"/>
        </w:rPr>
      </w:pPr>
      <w:bookmarkStart w:id="13" w:name="_Toc166600197"/>
      <w:r>
        <w:rPr>
          <w:rStyle w:val="21"/>
          <w:rFonts w:ascii="Times New Roman" w:hAnsi="Times New Roman" w:cs="Times New Roman"/>
        </w:rPr>
        <w:t>（一）伤亡人员情况</w:t>
      </w:r>
      <w:bookmarkEnd w:id="13"/>
      <w:r>
        <w:rPr>
          <w:rFonts w:ascii="Times New Roman" w:hAnsi="Times New Roman" w:eastAsia="仿宋_GB2312" w:cs="Times New Roman"/>
          <w:sz w:val="32"/>
          <w:szCs w:val="32"/>
        </w:rPr>
        <w:t>：事故造成1人死亡。</w:t>
      </w:r>
    </w:p>
    <w:p w14:paraId="60E61C3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宋体" w:cs="Times New Roman"/>
          <w:sz w:val="32"/>
          <w:szCs w:val="32"/>
        </w:rPr>
        <w:t>*****·</w:t>
      </w:r>
      <w:r>
        <w:rPr>
          <w:rFonts w:ascii="Times New Roman" w:hAnsi="Times New Roman" w:eastAsia="仿宋_GB2312" w:cs="Times New Roman"/>
          <w:sz w:val="32"/>
          <w:szCs w:val="32"/>
        </w:rPr>
        <w:t>吐林迪，男，50岁，哈萨克族，身份证号：650202197010******，克拉玛依钻井公司职工，克拉玛依钻井公司40531队净化工，家庭住址：克拉玛依风华小区**栋***室。</w:t>
      </w:r>
    </w:p>
    <w:p w14:paraId="20B4DEBB">
      <w:pPr>
        <w:spacing w:line="560" w:lineRule="exact"/>
        <w:ind w:firstLine="640" w:firstLineChars="200"/>
        <w:rPr>
          <w:rFonts w:ascii="Times New Roman" w:hAnsi="Times New Roman" w:eastAsia="仿宋_GB2312" w:cs="Times New Roman"/>
          <w:sz w:val="32"/>
          <w:szCs w:val="32"/>
        </w:rPr>
      </w:pPr>
      <w:bookmarkStart w:id="14" w:name="_Toc166600198"/>
      <w:r>
        <w:rPr>
          <w:rStyle w:val="21"/>
          <w:rFonts w:ascii="Times New Roman" w:hAnsi="Times New Roman" w:cs="Times New Roman"/>
        </w:rPr>
        <w:t>（二）直接经济损失</w:t>
      </w:r>
      <w:bookmarkEnd w:id="14"/>
    </w:p>
    <w:p w14:paraId="106EECD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根据《工伤保险条例》初步估算90.</w:t>
      </w:r>
      <w:r>
        <w:rPr>
          <w:rFonts w:hint="eastAsia" w:ascii="Times New Roman" w:hAnsi="Times New Roman" w:eastAsia="仿宋_GB2312" w:cs="Times New Roman"/>
          <w:sz w:val="32"/>
          <w:szCs w:val="32"/>
        </w:rPr>
        <w:t>9028</w:t>
      </w:r>
      <w:r>
        <w:rPr>
          <w:rFonts w:ascii="Times New Roman" w:hAnsi="Times New Roman" w:eastAsia="仿宋_GB2312" w:cs="Times New Roman"/>
          <w:sz w:val="32"/>
          <w:szCs w:val="32"/>
        </w:rPr>
        <w:t>万元（丧葬、抚恤费5.2848万元，一次性工亡补助84.718万元，医疗费用</w:t>
      </w:r>
      <w:r>
        <w:rPr>
          <w:rFonts w:hint="eastAsia" w:ascii="Times New Roman" w:hAnsi="Times New Roman" w:eastAsia="仿宋_GB2312" w:cs="Times New Roman"/>
          <w:sz w:val="32"/>
          <w:szCs w:val="32"/>
        </w:rPr>
        <w:t>0.9万元</w:t>
      </w:r>
      <w:r>
        <w:rPr>
          <w:rFonts w:ascii="Times New Roman" w:hAnsi="Times New Roman" w:eastAsia="仿宋_GB2312" w:cs="Times New Roman"/>
          <w:sz w:val="32"/>
          <w:szCs w:val="32"/>
        </w:rPr>
        <w:t>）。</w:t>
      </w:r>
    </w:p>
    <w:p w14:paraId="3494B53B">
      <w:pPr>
        <w:pStyle w:val="2"/>
        <w:ind w:firstLine="640"/>
        <w:rPr>
          <w:rFonts w:ascii="Times New Roman" w:hAnsi="Times New Roman" w:cs="Times New Roman"/>
        </w:rPr>
      </w:pPr>
      <w:bookmarkStart w:id="15" w:name="_Toc166600199"/>
      <w:r>
        <w:rPr>
          <w:rFonts w:ascii="Times New Roman" w:hAnsi="Times New Roman" w:cs="Times New Roman"/>
        </w:rPr>
        <w:t>四、现场勘验和技术鉴定</w:t>
      </w:r>
      <w:bookmarkEnd w:id="15"/>
    </w:p>
    <w:p w14:paraId="25D18A7C">
      <w:pPr>
        <w:pStyle w:val="3"/>
        <w:ind w:firstLine="640"/>
        <w:rPr>
          <w:rFonts w:ascii="Times New Roman" w:hAnsi="Times New Roman" w:cs="Times New Roman"/>
        </w:rPr>
      </w:pPr>
      <w:bookmarkStart w:id="16" w:name="_Toc166600200"/>
      <w:r>
        <w:rPr>
          <w:rFonts w:ascii="Times New Roman" w:hAnsi="Times New Roman" w:cs="Times New Roman"/>
        </w:rPr>
        <w:t>（一）现场勘验情况</w:t>
      </w:r>
      <w:bookmarkEnd w:id="16"/>
    </w:p>
    <w:p w14:paraId="760CD34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经事故调查组调阅区公安分局周*林过失致人死亡</w:t>
      </w:r>
      <w:r>
        <w:rPr>
          <w:rFonts w:hint="eastAsia" w:ascii="Times New Roman" w:hAnsi="Times New Roman" w:eastAsia="仿宋_GB2312" w:cs="Times New Roman"/>
          <w:sz w:val="32"/>
          <w:szCs w:val="32"/>
          <w:lang w:eastAsia="zh-CN"/>
        </w:rPr>
        <w:t>案件</w:t>
      </w:r>
      <w:r>
        <w:rPr>
          <w:rFonts w:ascii="Times New Roman" w:hAnsi="Times New Roman" w:eastAsia="仿宋_GB2312" w:cs="Times New Roman"/>
          <w:sz w:val="32"/>
          <w:szCs w:val="32"/>
        </w:rPr>
        <w:t>现场勘验检查工作记录分析，以事发现场为中心，东侧为戈壁滩，南侧为百21景区便道，西侧为百21井区便道，北侧为戈壁滩，事故中心现场位于bDT0082井厂内新G0****车处，新G****车辆东侧为戈壁滩，南侧为油田作业区设备，西侧为油田作业车辆，北侧为油田作业设备，新G*****为红色陕汽牌重型半挂牵引车，车辆尾部挂着一重型平板半挂车，牌照为新A****挂，整车呈头西尾东摆放，在半挂车右后侧车轮上方平台侧面发现擦痕，在半挂车右后侧轮胎西侧地面上发现擦痕，现场其他未见异常。</w:t>
      </w:r>
    </w:p>
    <w:p w14:paraId="0A11F9A8">
      <w:pPr>
        <w:spacing w:line="560" w:lineRule="exact"/>
        <w:ind w:firstLine="560" w:firstLineChars="200"/>
        <w:jc w:val="center"/>
        <w:rPr>
          <w:rFonts w:ascii="Times New Roman" w:hAnsi="Times New Roman" w:cs="Times New Roman"/>
          <w:sz w:val="28"/>
          <w:szCs w:val="28"/>
        </w:rPr>
      </w:pPr>
      <w:r>
        <w:rPr>
          <w:rFonts w:hint="eastAsia" w:ascii="Times New Roman" w:hAnsi="Times New Roman" w:cs="Times New Roman"/>
          <w:sz w:val="28"/>
          <w:szCs w:val="28"/>
        </w:rPr>
        <w:t>图1 事故现场示意图</w:t>
      </w:r>
      <w:r>
        <w:rPr>
          <w:rFonts w:hint="eastAsia" w:ascii="Times New Roman" w:hAnsi="Times New Roman" w:cs="Times New Roman"/>
          <w:sz w:val="28"/>
          <w:szCs w:val="28"/>
        </w:rPr>
        <w:drawing>
          <wp:anchor distT="0" distB="0" distL="114300" distR="114300" simplePos="0" relativeHeight="251659264" behindDoc="0" locked="0" layoutInCell="1" allowOverlap="1">
            <wp:simplePos x="0" y="0"/>
            <wp:positionH relativeFrom="column">
              <wp:posOffset>144145</wp:posOffset>
            </wp:positionH>
            <wp:positionV relativeFrom="paragraph">
              <wp:posOffset>86995</wp:posOffset>
            </wp:positionV>
            <wp:extent cx="5457825" cy="3990975"/>
            <wp:effectExtent l="19050" t="0" r="9525" b="0"/>
            <wp:wrapSquare wrapText="bothSides"/>
            <wp:docPr id="2" name="图片 1" descr="微信截图_20240514184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微信截图_20240514184510.png"/>
                    <pic:cNvPicPr>
                      <a:picLocks noChangeAspect="1"/>
                    </pic:cNvPicPr>
                  </pic:nvPicPr>
                  <pic:blipFill>
                    <a:blip r:embed="rId6"/>
                    <a:stretch>
                      <a:fillRect/>
                    </a:stretch>
                  </pic:blipFill>
                  <pic:spPr>
                    <a:xfrm>
                      <a:off x="0" y="0"/>
                      <a:ext cx="5457825" cy="3990975"/>
                    </a:xfrm>
                    <a:prstGeom prst="rect">
                      <a:avLst/>
                    </a:prstGeom>
                  </pic:spPr>
                </pic:pic>
              </a:graphicData>
            </a:graphic>
          </wp:anchor>
        </w:drawing>
      </w:r>
    </w:p>
    <w:p w14:paraId="757759AF">
      <w:pPr>
        <w:pStyle w:val="3"/>
        <w:ind w:firstLine="640"/>
        <w:rPr>
          <w:rFonts w:ascii="Times New Roman" w:hAnsi="Times New Roman" w:cs="Times New Roman"/>
        </w:rPr>
      </w:pPr>
      <w:bookmarkStart w:id="17" w:name="_Toc166600201"/>
      <w:r>
        <w:rPr>
          <w:rFonts w:ascii="Times New Roman" w:hAnsi="Times New Roman" w:cs="Times New Roman"/>
        </w:rPr>
        <w:t>（二）技术鉴定情况</w:t>
      </w:r>
      <w:bookmarkEnd w:id="17"/>
    </w:p>
    <w:p w14:paraId="4353CA7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区公安分局委托克拉玛依市公安局刑事科学技术研究所对死者*****</w:t>
      </w:r>
      <w:r>
        <w:rPr>
          <w:rFonts w:ascii="Times New Roman" w:hAnsi="Times New Roman" w:eastAsia="宋体" w:cs="Times New Roman"/>
          <w:sz w:val="32"/>
          <w:szCs w:val="32"/>
        </w:rPr>
        <w:t>·</w:t>
      </w:r>
      <w:r>
        <w:rPr>
          <w:rFonts w:ascii="Times New Roman" w:hAnsi="Times New Roman" w:eastAsia="仿宋_GB2312" w:cs="Times New Roman"/>
          <w:sz w:val="32"/>
          <w:szCs w:val="32"/>
        </w:rPr>
        <w:t>吐林迪死亡原因进行鉴定。</w:t>
      </w:r>
    </w:p>
    <w:p w14:paraId="7FC515C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克拉玛依市公安局刑事科学技术研究所法医学尸体检验鉴定书（克公刑技（尸检）字〔2020〕**号）鉴定意见，死者*****</w:t>
      </w:r>
      <w:r>
        <w:rPr>
          <w:rFonts w:ascii="Times New Roman" w:hAnsi="Times New Roman" w:eastAsia="宋体" w:cs="Times New Roman"/>
          <w:sz w:val="32"/>
          <w:szCs w:val="32"/>
        </w:rPr>
        <w:t>·</w:t>
      </w:r>
      <w:r>
        <w:rPr>
          <w:rFonts w:ascii="Times New Roman" w:hAnsi="Times New Roman" w:eastAsia="仿宋_GB2312" w:cs="Times New Roman"/>
          <w:sz w:val="32"/>
          <w:szCs w:val="32"/>
        </w:rPr>
        <w:t>吐林迪受到巨大外力作用，造成胸腔脏器严重损伤导致死亡。</w:t>
      </w:r>
    </w:p>
    <w:p w14:paraId="5BDFE61D">
      <w:pPr>
        <w:pStyle w:val="2"/>
        <w:ind w:firstLine="640"/>
        <w:rPr>
          <w:rFonts w:ascii="Times New Roman" w:hAnsi="Times New Roman" w:cs="Times New Roman"/>
        </w:rPr>
      </w:pPr>
      <w:bookmarkStart w:id="18" w:name="_Toc166600202"/>
      <w:r>
        <w:rPr>
          <w:rFonts w:ascii="Times New Roman" w:hAnsi="Times New Roman" w:cs="Times New Roman"/>
        </w:rPr>
        <w:t>五、事故原因</w:t>
      </w:r>
      <w:bookmarkEnd w:id="18"/>
    </w:p>
    <w:p w14:paraId="28C86115">
      <w:pPr>
        <w:pStyle w:val="3"/>
        <w:ind w:firstLine="640"/>
        <w:rPr>
          <w:rFonts w:ascii="Times New Roman" w:hAnsi="Times New Roman" w:cs="Times New Roman"/>
        </w:rPr>
      </w:pPr>
      <w:bookmarkStart w:id="19" w:name="_Toc166600203"/>
      <w:r>
        <w:rPr>
          <w:rFonts w:ascii="Times New Roman" w:hAnsi="Times New Roman" w:cs="Times New Roman"/>
        </w:rPr>
        <w:t>（一）事故直接原因</w:t>
      </w:r>
      <w:bookmarkEnd w:id="19"/>
    </w:p>
    <w:p w14:paraId="512589C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肇事车辆驾驶员周*林在井场区域倒车时，未按宝胜公司《机动车安全操作规程》</w:t>
      </w:r>
      <w:r>
        <w:rPr>
          <w:rFonts w:hint="eastAsia" w:ascii="Times New Roman" w:hAnsi="Times New Roman" w:eastAsia="仿宋_GB2312" w:cs="Times New Roman"/>
          <w:sz w:val="32"/>
          <w:szCs w:val="32"/>
          <w:lang w:eastAsia="zh-CN"/>
        </w:rPr>
        <w:t>第五十一条</w:t>
      </w:r>
      <w:r>
        <w:rPr>
          <w:rFonts w:ascii="Times New Roman" w:hAnsi="Times New Roman" w:eastAsia="仿宋_GB2312" w:cs="Times New Roman"/>
          <w:sz w:val="32"/>
          <w:szCs w:val="32"/>
        </w:rPr>
        <w:t>“机动车进入井场进行拉运任务时，未经现场指挥人员指挥，严禁私自倒车，倒车时，先做好安全观察，注意视线盲区，倒车前先打喇叭2-3声，观察左右及后方倒车镜，确认安全再倒车”要求，未接到现场指挥人员倒车指令，未做好安全观察、未先打喇叭示警的情况下倒车，造成*****·吐林迪受伤。</w:t>
      </w:r>
    </w:p>
    <w:p w14:paraId="4D0BBE0D">
      <w:pPr>
        <w:pStyle w:val="3"/>
        <w:ind w:firstLine="640"/>
        <w:rPr>
          <w:rFonts w:ascii="Times New Roman" w:hAnsi="Times New Roman" w:eastAsia="黑体" w:cs="Times New Roman"/>
        </w:rPr>
      </w:pPr>
      <w:bookmarkStart w:id="20" w:name="_Toc166600204"/>
      <w:r>
        <w:rPr>
          <w:rFonts w:ascii="Times New Roman" w:hAnsi="Times New Roman" w:cs="Times New Roman"/>
        </w:rPr>
        <w:t>（二）事故间接原因</w:t>
      </w:r>
      <w:bookmarkEnd w:id="20"/>
    </w:p>
    <w:p w14:paraId="4FBE714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1.克拉玛依宝胜商贸有限公司对从业人员周*林安全生产教育和培训不到位，导致其缺乏必要的安全生产知识，不熟悉有关的安全生产</w:t>
      </w:r>
      <w:r>
        <w:rPr>
          <w:rFonts w:hint="eastAsia" w:ascii="Times New Roman" w:hAnsi="Times New Roman" w:eastAsia="仿宋_GB2312" w:cs="Times New Roman"/>
          <w:sz w:val="32"/>
          <w:szCs w:val="32"/>
          <w:lang w:eastAsia="zh-CN"/>
        </w:rPr>
        <w:t>规章制度</w:t>
      </w:r>
      <w:r>
        <w:rPr>
          <w:rFonts w:ascii="Times New Roman" w:hAnsi="Times New Roman" w:eastAsia="仿宋_GB2312" w:cs="Times New Roman"/>
          <w:sz w:val="32"/>
          <w:szCs w:val="32"/>
        </w:rPr>
        <w:t>和操作规程，对本岗位的安全操作技能掌握不全。</w:t>
      </w:r>
    </w:p>
    <w:p w14:paraId="713C90E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2.中国石油集团西部钻探工程有限公司克拉玛依钻井公司40531钻井队未将现场可能存在风险隐患与作业现场安全管理制度与标准对现场服务的承包商员工进行有效风险交底与安全提示。</w:t>
      </w:r>
    </w:p>
    <w:p w14:paraId="6793E65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3.中国石油集团西部钻探工程有限公司克拉玛依钻井公司第四项目经理部在日常管理工作中，监督管理职责落实不到位</w:t>
      </w:r>
      <w:r>
        <w:rPr>
          <w:rFonts w:hint="eastAsia" w:ascii="Times New Roman" w:hAnsi="Times New Roman" w:eastAsia="仿宋_GB2312" w:cs="Times New Roman"/>
          <w:sz w:val="32"/>
          <w:szCs w:val="32"/>
          <w:lang w:eastAsia="zh-CN"/>
        </w:rPr>
        <w:t>，在</w:t>
      </w:r>
      <w:r>
        <w:rPr>
          <w:rFonts w:ascii="Times New Roman" w:hAnsi="Times New Roman" w:eastAsia="仿宋_GB2312" w:cs="Times New Roman"/>
          <w:sz w:val="32"/>
          <w:szCs w:val="32"/>
        </w:rPr>
        <w:t>现场上报吊装作业过程中未安排人员进行现场监督监护，未督促钻井队落实承包商监管职责。</w:t>
      </w:r>
    </w:p>
    <w:p w14:paraId="446853C4">
      <w:pPr>
        <w:pStyle w:val="2"/>
        <w:ind w:firstLine="640"/>
        <w:rPr>
          <w:rFonts w:ascii="Times New Roman" w:hAnsi="Times New Roman" w:cs="Times New Roman"/>
        </w:rPr>
      </w:pPr>
      <w:bookmarkStart w:id="21" w:name="_Toc166600205"/>
      <w:r>
        <w:rPr>
          <w:rFonts w:ascii="Times New Roman" w:hAnsi="Times New Roman" w:cs="Times New Roman"/>
        </w:rPr>
        <w:t>六、有关责任单位存在的主要问题</w:t>
      </w:r>
      <w:bookmarkEnd w:id="21"/>
    </w:p>
    <w:p w14:paraId="33A3A31E">
      <w:pPr>
        <w:pStyle w:val="3"/>
        <w:ind w:firstLine="640"/>
        <w:rPr>
          <w:rFonts w:ascii="Times New Roman" w:hAnsi="Times New Roman" w:cs="Times New Roman"/>
        </w:rPr>
      </w:pPr>
      <w:bookmarkStart w:id="22" w:name="_Toc166600206"/>
      <w:r>
        <w:rPr>
          <w:rFonts w:ascii="Times New Roman" w:hAnsi="Times New Roman" w:cs="Times New Roman"/>
        </w:rPr>
        <w:t>（一）克拉玛依宝胜商贸有限公司</w:t>
      </w:r>
      <w:bookmarkEnd w:id="22"/>
    </w:p>
    <w:p w14:paraId="04768C5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宝胜商贸有限公司对驾驶员安全培训教育及管理工作方面存在严重不足。一是员工安全遵章守纪意识淡薄，宝胜公司员工周*林在现场作业过程中，未经现场指挥人员指挥，擅自驾驶车辆离开作业点，并驾驶车辆驶出井场作业区域，占压非生产征地区域，严重违反操作规程。二是宝胜公司教育培训工作不到位，安全生产教育培训工作流于形式，</w:t>
      </w:r>
      <w:r>
        <w:rPr>
          <w:rFonts w:hint="eastAsia" w:ascii="Times New Roman" w:hAnsi="Times New Roman" w:eastAsia="仿宋_GB2312" w:cs="Times New Roman"/>
          <w:sz w:val="32"/>
          <w:szCs w:val="32"/>
          <w:lang w:eastAsia="zh-CN"/>
        </w:rPr>
        <w:t>对</w:t>
      </w:r>
      <w:r>
        <w:rPr>
          <w:rFonts w:ascii="Times New Roman" w:hAnsi="Times New Roman" w:eastAsia="仿宋_GB2312" w:cs="Times New Roman"/>
          <w:sz w:val="32"/>
          <w:szCs w:val="32"/>
        </w:rPr>
        <w:t>员工对各项技术标准、操作规程理解掌握程度缺乏有效验证。三是自检自查不到位，员工未能按照安全管理规范要求，在出车前对车辆进行检查，导致事故车辆存在右侧第二排内侧轮胎气压明显不足。</w:t>
      </w:r>
    </w:p>
    <w:p w14:paraId="253578D9">
      <w:pPr>
        <w:pStyle w:val="3"/>
        <w:ind w:firstLine="640"/>
        <w:rPr>
          <w:rFonts w:ascii="Times New Roman" w:hAnsi="Times New Roman" w:cs="Times New Roman"/>
        </w:rPr>
      </w:pPr>
      <w:bookmarkStart w:id="23" w:name="_Toc166600207"/>
      <w:r>
        <w:rPr>
          <w:rFonts w:ascii="Times New Roman" w:hAnsi="Times New Roman" w:cs="Times New Roman"/>
        </w:rPr>
        <w:t>（二）中国石油集团西部钻探工程有限公司克拉玛依钻井公司</w:t>
      </w:r>
      <w:bookmarkEnd w:id="23"/>
    </w:p>
    <w:p w14:paraId="2CBE037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国石油集团西部钻探工程有限公司克拉玛依钻井公司对承包商单位日常安全监管存在疏漏，所属第四项目经理部对负责运输服务业务的克拉玛依宝胜商贸有限公司的安全生产工作统一协调、管理不到位，对承包单位员工教育培训情况掌握不全面，未认真督促和检查承包单位的安全工作，并及时发现和消除生产安全事故隐患。</w:t>
      </w:r>
    </w:p>
    <w:p w14:paraId="6C32936E">
      <w:pPr>
        <w:pStyle w:val="3"/>
        <w:ind w:firstLine="640"/>
        <w:rPr>
          <w:rFonts w:ascii="Times New Roman" w:hAnsi="Times New Roman" w:cs="Times New Roman"/>
        </w:rPr>
      </w:pPr>
      <w:bookmarkStart w:id="24" w:name="_Toc166600208"/>
      <w:r>
        <w:rPr>
          <w:rFonts w:ascii="Times New Roman" w:hAnsi="Times New Roman" w:cs="Times New Roman"/>
        </w:rPr>
        <w:t>（三）克拉玛依市乌尔禾区应急管理局</w:t>
      </w:r>
      <w:bookmarkEnd w:id="24"/>
    </w:p>
    <w:p w14:paraId="026D4D7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克拉玛依市乌尔禾区应急管理局未能有效督促克拉玛依钻井公司做好承包商安全管理工作，未能及时督促克拉玛依市钻井公司消除事故隐患。</w:t>
      </w:r>
    </w:p>
    <w:p w14:paraId="75E3ED58">
      <w:pPr>
        <w:pStyle w:val="2"/>
        <w:ind w:firstLine="640"/>
        <w:rPr>
          <w:rFonts w:ascii="Times New Roman" w:hAnsi="Times New Roman" w:cs="Times New Roman"/>
        </w:rPr>
      </w:pPr>
      <w:bookmarkStart w:id="25" w:name="_Toc166600209"/>
      <w:r>
        <w:rPr>
          <w:rFonts w:ascii="Times New Roman" w:hAnsi="Times New Roman" w:cs="Times New Roman"/>
        </w:rPr>
        <w:t>七、对有关责任人员和责任单位的处理意见</w:t>
      </w:r>
      <w:bookmarkEnd w:id="25"/>
    </w:p>
    <w:p w14:paraId="147A02E4">
      <w:pPr>
        <w:pStyle w:val="3"/>
        <w:ind w:firstLine="640"/>
        <w:rPr>
          <w:rFonts w:ascii="Times New Roman" w:hAnsi="Times New Roman" w:cs="Times New Roman"/>
        </w:rPr>
      </w:pPr>
      <w:bookmarkStart w:id="26" w:name="_Toc166600210"/>
      <w:r>
        <w:rPr>
          <w:rFonts w:ascii="Times New Roman" w:hAnsi="Times New Roman" w:cs="Times New Roman"/>
        </w:rPr>
        <w:t>（一）建议移送司法机关处理的人员</w:t>
      </w:r>
      <w:bookmarkEnd w:id="26"/>
    </w:p>
    <w:p w14:paraId="3389A89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周*林，男、汉族，新G*****重型半挂牵引车（牵引新A****）驾驶人，因涉嫌过失致人死亡罪，2020年11月4日被区公安分局立案侦查，2021年2月25日被区人民检察院起诉，2021年3月5日被区人民法院下达刑事判决书（2021）新0205刑初2号，判处有期徒刑二年，缓刑三年。</w:t>
      </w:r>
    </w:p>
    <w:p w14:paraId="53D253D3">
      <w:pPr>
        <w:pStyle w:val="3"/>
        <w:ind w:firstLine="640"/>
        <w:rPr>
          <w:rFonts w:ascii="Times New Roman" w:hAnsi="Times New Roman" w:cs="Times New Roman"/>
        </w:rPr>
      </w:pPr>
      <w:bookmarkStart w:id="27" w:name="_Toc166600211"/>
      <w:r>
        <w:rPr>
          <w:rFonts w:ascii="Times New Roman" w:hAnsi="Times New Roman" w:cs="Times New Roman"/>
        </w:rPr>
        <w:t>（二）建议组织处理的人员</w:t>
      </w:r>
      <w:bookmarkEnd w:id="27"/>
    </w:p>
    <w:p w14:paraId="509C415F">
      <w:pPr>
        <w:spacing w:line="560" w:lineRule="exact"/>
        <w:ind w:firstLine="640" w:firstLineChars="200"/>
        <w:rPr>
          <w:rFonts w:ascii="Times New Roman" w:hAnsi="Times New Roman" w:eastAsia="楷体_GB2312" w:cs="Times New Roman"/>
          <w:sz w:val="32"/>
          <w:szCs w:val="32"/>
        </w:rPr>
      </w:pPr>
      <w:r>
        <w:rPr>
          <w:rFonts w:ascii="Times New Roman" w:hAnsi="Times New Roman" w:eastAsia="仿宋_GB2312" w:cs="Times New Roman"/>
          <w:sz w:val="32"/>
          <w:szCs w:val="32"/>
        </w:rPr>
        <w:t>聂*昱，女，中共党员，区应急管理综合行政执法大队（安全生产应急指挥中心）大队长，负责辖区非煤矿山、工贸、烟花爆竹安全监管工作，未能有效督促克拉玛依钻井公司做好承包商安全管理工作，建议</w:t>
      </w:r>
      <w:r>
        <w:rPr>
          <w:rFonts w:hint="eastAsia" w:ascii="Times New Roman" w:hAnsi="Times New Roman" w:eastAsia="仿宋_GB2312" w:cs="Times New Roman"/>
          <w:sz w:val="32"/>
          <w:szCs w:val="32"/>
          <w:lang w:val="en-US" w:eastAsia="zh-CN"/>
        </w:rPr>
        <w:t>由</w:t>
      </w:r>
      <w:r>
        <w:rPr>
          <w:rFonts w:ascii="Times New Roman" w:hAnsi="Times New Roman" w:eastAsia="仿宋_GB2312" w:cs="Times New Roman"/>
          <w:sz w:val="32"/>
          <w:szCs w:val="32"/>
        </w:rPr>
        <w:t>区纪委监委</w:t>
      </w:r>
      <w:r>
        <w:rPr>
          <w:rFonts w:hint="eastAsia" w:ascii="Times New Roman" w:hAnsi="Times New Roman" w:eastAsia="仿宋_GB2312" w:cs="Times New Roman"/>
          <w:sz w:val="32"/>
          <w:szCs w:val="32"/>
          <w:lang w:val="en-US" w:eastAsia="zh-CN"/>
        </w:rPr>
        <w:t>处理</w:t>
      </w:r>
      <w:r>
        <w:rPr>
          <w:rFonts w:ascii="Times New Roman" w:hAnsi="Times New Roman" w:eastAsia="仿宋_GB2312" w:cs="Times New Roman"/>
          <w:sz w:val="32"/>
          <w:szCs w:val="32"/>
        </w:rPr>
        <w:t>。</w:t>
      </w:r>
    </w:p>
    <w:p w14:paraId="35969829">
      <w:pPr>
        <w:pStyle w:val="3"/>
        <w:ind w:firstLine="640"/>
        <w:rPr>
          <w:rFonts w:ascii="Times New Roman" w:hAnsi="Times New Roman" w:cs="Times New Roman"/>
        </w:rPr>
      </w:pPr>
      <w:bookmarkStart w:id="28" w:name="_Toc166600212"/>
      <w:r>
        <w:rPr>
          <w:rFonts w:ascii="Times New Roman" w:hAnsi="Times New Roman" w:cs="Times New Roman"/>
        </w:rPr>
        <w:t>（三）建议给予行政处罚的人员</w:t>
      </w:r>
      <w:bookmarkEnd w:id="28"/>
    </w:p>
    <w:p w14:paraId="6716F2E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赵*德，原克拉玛依宝胜商贸有限公司法人，负责公司整体安全管理与生产组织工作，作为公司安全生产第一责任人，对本单位安全生产及培训管理工作组织不到位，对本单位安全工作督查检查不到位，未能及时消除驾驶人员违章作业行为，违反《中华人民共和国安全生产法》（2014年修订）第十八条第四项、第七项</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0"/>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，对事故发生负主要领导责任，根据《中华人民共和国行政处罚法》（2021年修订）第三十七条</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1"/>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和《中华人民共和国安全生产法》（2014年修订）第九十二条第一项</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2"/>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规定，建议由区应急管理局处以上一年（2019年）年收入30%罚款的行政处罚，共计2.4万元。</w:t>
      </w:r>
    </w:p>
    <w:p w14:paraId="4113B00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耿*雷，中国石油集团西部钻探工程有限公司克拉玛依钻井公司第四项目经理部负责人，全面负责项目所属钻井队安全生产管理工作，对属地井队搬安施工作业督查检查不到位，未能及时消除事故隐患，对属地井队承包商宝胜公司驾驶人员培训教育不到位，未进行风险交底和安全提示，违反《中华人民共和国安全生产法》（2014年修订）第二十二条第二项、第五项</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3"/>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规定，对事故发生负主要领导责任，根据《中华人民共和国行政处罚法》（2021年修订）第三十七条《中华人民共和国安全生产法》（2014年修订）第一百条第二款</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4"/>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和《安全生产行政处罚自由裁量标准》（2018版）第一大项第二十九条</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5"/>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规定，建议由区应急管理局处0.</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万元罚款行政处罚。</w:t>
      </w:r>
    </w:p>
    <w:p w14:paraId="75AB3DA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王*，中国石油集团西部钻探工程有限公司克拉玛依钻井公司40531钻井队负责人，钻井队现场安全第一责任人，安全管理工作落实不到位，对承包商宝胜公司驾驶员培训教育不到位，未进行风险交底和安全提示，对井队搬安施工作业督查检查不到位，未及时发现并消除作业现场违章行为，违反《中华人民共和国安全生产法》（2014修订）第二十二条第二项、第五项，对事故发生负直接领导责任，根据《中华人民共和国行政处罚法》（2021年修订）第三十七条《中华人民共和国安全生产法》（2014年修订）第一百条第二款和《安全生产行政处罚自由裁量标准》（2018版）第一大项第二十九条规定，建议由区应急管理局处0.</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万元罚款行政处罚。</w:t>
      </w:r>
    </w:p>
    <w:p w14:paraId="4C45CD1E">
      <w:pPr>
        <w:pStyle w:val="3"/>
        <w:ind w:firstLine="640"/>
        <w:rPr>
          <w:rFonts w:ascii="Times New Roman" w:hAnsi="Times New Roman" w:cs="Times New Roman"/>
        </w:rPr>
      </w:pPr>
      <w:bookmarkStart w:id="29" w:name="_Toc166600213"/>
      <w:r>
        <w:rPr>
          <w:rFonts w:ascii="Times New Roman" w:hAnsi="Times New Roman" w:cs="Times New Roman"/>
        </w:rPr>
        <w:t>（三）对事故责任单位的处理意见</w:t>
      </w:r>
      <w:bookmarkEnd w:id="29"/>
    </w:p>
    <w:p w14:paraId="7D8DBB4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1.克拉玛依宝胜商贸有限公司</w:t>
      </w:r>
    </w:p>
    <w:p w14:paraId="21B42B2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宝胜商贸有限公司安全管理不到位，未按照要求设置安全管理机构或者配备专职安全管理人员；对从业人员安全生产规章制度、安全操作规程教育培训不扎实，未有效督促公司驾驶人员严格遵守公司安全管理规定，未严格履行现场监管职责，在进行搬安拉运设备作业时未设置现场监督人员，未对作业现场存在的风险隐患进行辨识并向驾驶人员告知</w:t>
      </w:r>
      <w:r>
        <w:rPr>
          <w:rFonts w:hint="eastAsia" w:ascii="Times New Roman" w:hAnsi="Times New Roman" w:eastAsia="仿宋_GB2312" w:cs="Times New Roman"/>
          <w:sz w:val="32"/>
          <w:szCs w:val="32"/>
          <w:lang w:eastAsia="zh-CN"/>
        </w:rPr>
        <w:t>，在</w:t>
      </w:r>
      <w:r>
        <w:rPr>
          <w:rFonts w:ascii="Times New Roman" w:hAnsi="Times New Roman" w:eastAsia="仿宋_GB2312" w:cs="Times New Roman"/>
          <w:sz w:val="32"/>
          <w:szCs w:val="32"/>
        </w:rPr>
        <w:t>作业过</w:t>
      </w:r>
      <w:r>
        <w:rPr>
          <w:rFonts w:hint="eastAsia" w:ascii="Times New Roman" w:hAnsi="Times New Roman" w:eastAsia="仿宋_GB2312" w:cs="Times New Roman"/>
          <w:sz w:val="32"/>
          <w:szCs w:val="32"/>
          <w:lang w:eastAsia="zh-CN"/>
        </w:rPr>
        <w:t>程中</w:t>
      </w:r>
      <w:r>
        <w:rPr>
          <w:rFonts w:ascii="Times New Roman" w:hAnsi="Times New Roman" w:eastAsia="仿宋_GB2312" w:cs="Times New Roman"/>
          <w:sz w:val="32"/>
          <w:szCs w:val="32"/>
        </w:rPr>
        <w:t>发生违反操作规程行为，导致事故发生，违反《中华人民共和国安全生产法》（2014年修订）第二十一条第二款</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6"/>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、第四十一条</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7"/>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之规定，对事故发生负主要责任，根据《中华人民共和国行政处罚法》（2021年修订）第三十七条和《中华人民共和国安全生产法》（2014年修订）第一百零九条第一项</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8"/>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规定，建议由区应急管理局处以20万元罚款的行政处罚；</w:t>
      </w:r>
    </w:p>
    <w:p w14:paraId="3BED171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2.中国石油集团西部钻探工程有限公司克拉玛依钻井公司</w:t>
      </w:r>
    </w:p>
    <w:p w14:paraId="06AB89D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国石油集团西部钻探工程有限公司克拉玛依钻井公司发包单位安全管理职责履职不到位，对承包商宝胜公司驾驶员培训教育不到位，未进行风险交底和安全提示，对属地井队搬安施工作业督查检查不到位，未及时发现并消除作业现场违章行为，违反《中华人民共和国安全生产法》（2014年修订）第四十六条第二款</w:t>
      </w:r>
      <w:r>
        <w:rPr>
          <w:rStyle w:val="16"/>
          <w:rFonts w:ascii="Times New Roman" w:hAnsi="Times New Roman" w:eastAsia="仿宋_GB2312" w:cs="Times New Roman"/>
          <w:sz w:val="32"/>
          <w:szCs w:val="32"/>
        </w:rPr>
        <w:t>[</w:t>
      </w:r>
      <w:r>
        <w:rPr>
          <w:rStyle w:val="16"/>
          <w:rFonts w:ascii="Times New Roman" w:hAnsi="Times New Roman" w:eastAsia="仿宋_GB2312" w:cs="Times New Roman"/>
          <w:sz w:val="32"/>
          <w:szCs w:val="32"/>
        </w:rPr>
        <w:footnoteReference w:id="9"/>
      </w:r>
      <w:r>
        <w:rPr>
          <w:rStyle w:val="16"/>
          <w:rFonts w:ascii="Times New Roman" w:hAnsi="Times New Roman" w:eastAsia="仿宋_GB2312" w:cs="Times New Roman"/>
          <w:sz w:val="32"/>
          <w:szCs w:val="32"/>
        </w:rPr>
        <w:t>]</w:t>
      </w:r>
      <w:r>
        <w:rPr>
          <w:rFonts w:ascii="Times New Roman" w:hAnsi="Times New Roman" w:eastAsia="仿宋_GB2312" w:cs="Times New Roman"/>
          <w:sz w:val="32"/>
          <w:szCs w:val="32"/>
        </w:rPr>
        <w:t>规定，对事故发生负有责任，根据《中华人民共和国行政处罚法》（2021年修订）第三十七条《中华人民共和国安全生产法》（2014年修订）第一百条第二款和《安全生产行政处罚自由裁量标准》（2018版）第一大项第二十九条规定，建议由区应急管理局处以2万元罚款行政处罚。</w:t>
      </w:r>
    </w:p>
    <w:p w14:paraId="48B47D31">
      <w:pPr>
        <w:pStyle w:val="3"/>
        <w:ind w:firstLine="640"/>
        <w:rPr>
          <w:rFonts w:ascii="Times New Roman" w:hAnsi="Times New Roman" w:cs="Times New Roman"/>
        </w:rPr>
      </w:pPr>
      <w:bookmarkStart w:id="30" w:name="_Toc166600214"/>
      <w:r>
        <w:rPr>
          <w:rFonts w:ascii="Times New Roman" w:hAnsi="Times New Roman" w:cs="Times New Roman"/>
        </w:rPr>
        <w:t>（四）其他处理意见</w:t>
      </w:r>
      <w:bookmarkEnd w:id="30"/>
    </w:p>
    <w:p w14:paraId="3F3C1BF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公安分局对辖区生产经营场所发生有人员伤亡的事故信息，未及时通报行业监管部门，仅按照所属行业违法行为处理，造成事故相关责任单位安全管理履职不到位行为未追究相关责任，建议区公安分局向区人民政府</w:t>
      </w:r>
      <w:r>
        <w:rPr>
          <w:rFonts w:hint="eastAsia" w:ascii="Times New Roman" w:hAnsi="Times New Roman" w:eastAsia="仿宋_GB2312" w:cs="Times New Roman"/>
          <w:sz w:val="32"/>
          <w:szCs w:val="32"/>
          <w:lang w:eastAsia="zh-CN"/>
        </w:rPr>
        <w:t>作</w:t>
      </w:r>
      <w:r>
        <w:rPr>
          <w:rFonts w:ascii="Times New Roman" w:hAnsi="Times New Roman" w:eastAsia="仿宋_GB2312" w:cs="Times New Roman"/>
          <w:sz w:val="32"/>
          <w:szCs w:val="32"/>
        </w:rPr>
        <w:t>书面检讨。</w:t>
      </w:r>
    </w:p>
    <w:p w14:paraId="1DC1D248">
      <w:pPr>
        <w:pStyle w:val="2"/>
        <w:ind w:firstLine="640"/>
        <w:rPr>
          <w:rFonts w:ascii="Times New Roman" w:hAnsi="Times New Roman" w:cs="Times New Roman"/>
        </w:rPr>
      </w:pPr>
      <w:bookmarkStart w:id="31" w:name="_Toc166600215"/>
      <w:r>
        <w:rPr>
          <w:rFonts w:ascii="Times New Roman" w:hAnsi="Times New Roman" w:cs="Times New Roman"/>
        </w:rPr>
        <w:t>八、事故主要教训</w:t>
      </w:r>
      <w:bookmarkEnd w:id="31"/>
    </w:p>
    <w:p w14:paraId="1F258FFB">
      <w:pPr>
        <w:spacing w:line="560" w:lineRule="exact"/>
        <w:ind w:firstLine="640" w:firstLineChars="200"/>
        <w:rPr>
          <w:rFonts w:ascii="Times New Roman" w:hAnsi="Times New Roman" w:eastAsia="仿宋_GB2312" w:cs="Times New Roman"/>
          <w:sz w:val="32"/>
          <w:szCs w:val="32"/>
        </w:rPr>
      </w:pPr>
      <w:bookmarkStart w:id="32" w:name="_Toc166600216"/>
      <w:r>
        <w:rPr>
          <w:rStyle w:val="21"/>
          <w:rFonts w:ascii="Times New Roman" w:hAnsi="Times New Roman" w:cs="Times New Roman"/>
        </w:rPr>
        <w:t>（一）安全生产主体职责落实不到位。</w:t>
      </w:r>
      <w:bookmarkEnd w:id="32"/>
      <w:r>
        <w:rPr>
          <w:rFonts w:ascii="Times New Roman" w:hAnsi="Times New Roman" w:eastAsia="仿宋_GB2312" w:cs="Times New Roman"/>
          <w:sz w:val="32"/>
          <w:szCs w:val="32"/>
        </w:rPr>
        <w:t>克拉玛依宝胜商贸有限公司未能从车辆安全管理、员工安全教育培训、企业隐患排查治理等方面，严格管控，认真查找存在安全管理缺陷，狠抓落实。未对员工安全生产技能、操作技能的掌握程度有效验证，未针对性</w:t>
      </w:r>
      <w:r>
        <w:rPr>
          <w:rFonts w:hint="eastAsia" w:ascii="Times New Roman" w:hAnsi="Times New Roman" w:eastAsia="仿宋_GB2312" w:cs="Times New Roman"/>
          <w:sz w:val="32"/>
          <w:szCs w:val="32"/>
          <w:lang w:eastAsia="zh-CN"/>
        </w:rPr>
        <w:t>地</w:t>
      </w:r>
      <w:r>
        <w:rPr>
          <w:rFonts w:ascii="Times New Roman" w:hAnsi="Times New Roman" w:eastAsia="仿宋_GB2312" w:cs="Times New Roman"/>
          <w:sz w:val="32"/>
          <w:szCs w:val="32"/>
        </w:rPr>
        <w:t>开展员工安全技能培训。</w:t>
      </w:r>
    </w:p>
    <w:p w14:paraId="0D66626B">
      <w:pPr>
        <w:spacing w:line="560" w:lineRule="exact"/>
        <w:ind w:firstLine="640" w:firstLineChars="200"/>
        <w:rPr>
          <w:rFonts w:ascii="Times New Roman" w:hAnsi="Times New Roman" w:eastAsia="仿宋_GB2312" w:cs="Times New Roman"/>
          <w:sz w:val="32"/>
          <w:szCs w:val="32"/>
        </w:rPr>
      </w:pPr>
      <w:bookmarkStart w:id="33" w:name="_Toc166600217"/>
      <w:r>
        <w:rPr>
          <w:rStyle w:val="21"/>
          <w:rFonts w:ascii="Times New Roman" w:hAnsi="Times New Roman" w:cs="Times New Roman"/>
        </w:rPr>
        <w:t>（二）监督检查职责落实不到位。</w:t>
      </w:r>
      <w:bookmarkEnd w:id="33"/>
      <w:r>
        <w:rPr>
          <w:rFonts w:ascii="Times New Roman" w:hAnsi="Times New Roman" w:eastAsia="仿宋_GB2312" w:cs="Times New Roman"/>
          <w:sz w:val="32"/>
          <w:szCs w:val="32"/>
        </w:rPr>
        <w:t>克拉玛依宝胜商贸有限公司未能严格按照公司制定的相关制度标准，按标准组织开展监督检查工作，确认本单位安全生产状况，未能督促员工认真开展隐患排查，及时发现并消除生产安全事故隐患。</w:t>
      </w:r>
    </w:p>
    <w:p w14:paraId="03FAE93A">
      <w:pPr>
        <w:spacing w:line="560" w:lineRule="exact"/>
        <w:ind w:firstLine="640" w:firstLineChars="200"/>
        <w:rPr>
          <w:rFonts w:ascii="Times New Roman" w:hAnsi="Times New Roman" w:eastAsia="仿宋_GB2312" w:cs="Times New Roman"/>
          <w:sz w:val="32"/>
          <w:szCs w:val="32"/>
        </w:rPr>
      </w:pPr>
      <w:bookmarkStart w:id="34" w:name="_Toc166600218"/>
      <w:r>
        <w:rPr>
          <w:rStyle w:val="21"/>
          <w:rFonts w:ascii="Times New Roman" w:hAnsi="Times New Roman" w:cs="Times New Roman"/>
        </w:rPr>
        <w:t>（三）承包商管理不到位。</w:t>
      </w:r>
      <w:bookmarkEnd w:id="34"/>
      <w:r>
        <w:rPr>
          <w:rFonts w:ascii="Times New Roman" w:hAnsi="Times New Roman" w:eastAsia="仿宋_GB2312" w:cs="Times New Roman"/>
          <w:sz w:val="32"/>
          <w:szCs w:val="32"/>
        </w:rPr>
        <w:t>中国石油集团西部钻探工程有限公司克拉玛依钻井公司对承包商关键性作业现场审核把关不严，未能就现场安全生产风险、安全管理要求对承包商员工进行风险提示，对人员违章行为未能及时发现并予以制止。</w:t>
      </w:r>
    </w:p>
    <w:p w14:paraId="53BF4A79">
      <w:pPr>
        <w:pStyle w:val="2"/>
        <w:ind w:firstLine="640"/>
        <w:rPr>
          <w:rFonts w:ascii="Times New Roman" w:hAnsi="Times New Roman" w:cs="Times New Roman"/>
        </w:rPr>
      </w:pPr>
      <w:bookmarkStart w:id="35" w:name="_Toc166600219"/>
      <w:r>
        <w:rPr>
          <w:rFonts w:ascii="Times New Roman" w:hAnsi="Times New Roman" w:cs="Times New Roman"/>
        </w:rPr>
        <w:t>九、事故整改和防范措施</w:t>
      </w:r>
      <w:bookmarkEnd w:id="35"/>
    </w:p>
    <w:p w14:paraId="112157B3">
      <w:pPr>
        <w:pStyle w:val="3"/>
        <w:ind w:firstLine="640"/>
        <w:rPr>
          <w:rFonts w:ascii="Times New Roman" w:hAnsi="Times New Roman" w:cs="Times New Roman"/>
        </w:rPr>
      </w:pPr>
      <w:bookmarkStart w:id="36" w:name="_Toc166600220"/>
      <w:r>
        <w:rPr>
          <w:rFonts w:ascii="Times New Roman" w:hAnsi="Times New Roman" w:cs="Times New Roman"/>
        </w:rPr>
        <w:t>（一）</w:t>
      </w:r>
      <w:r>
        <w:rPr>
          <w:rFonts w:hint="eastAsia" w:ascii="Times New Roman" w:hAnsi="Times New Roman" w:cs="Times New Roman"/>
          <w:lang w:eastAsia="zh-CN"/>
        </w:rPr>
        <w:t>吸取教训</w:t>
      </w:r>
      <w:r>
        <w:rPr>
          <w:rFonts w:ascii="Times New Roman" w:hAnsi="Times New Roman" w:cs="Times New Roman"/>
        </w:rPr>
        <w:t>，全面落实企业安全生产主体责任。</w:t>
      </w:r>
      <w:bookmarkEnd w:id="36"/>
    </w:p>
    <w:p w14:paraId="5891CB4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克拉玛依宝胜商贸有限公司要深刻汲取事故教训，从严从实抓好安全生产责任制和各项措施的执行落实。强化对岗位人员的安全培训教育，突出加大对作业车辆和人员的管理，严格各级安全生产责任制和各项安全生产管理制度、安全操作规程落实，及时排查消除各类事故隐患，严防类似事故的再发生。</w:t>
      </w:r>
    </w:p>
    <w:p w14:paraId="2C83436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国石油集团西部钻探工程有限公司克拉玛依钻井公司要切实加强外包单位安全管理，按照《非煤矿山外包工程安全管理暂行办法》（原国家安全监管总局令第62号），切实落实外包工程安全生产主体责任，对承包单位实施统一管理，做到管理、培训、检查、考核、奖惩“五统一”，严禁“以包代管、包而不管”，统筹考虑施工单位综合能力、安全业绩、关键人员专业资质及能力，对不满足要求的承包商队伍坚决不予选用。进一步加强作业现场监督管理，确保各项作业活动的工作前风险分析、高危作业许可现场办理审批、施工方案要求及安全措施确认、人员资格能力等重要环节得到有效把关落实，现场负责人、监护人员履职到位。</w:t>
      </w:r>
    </w:p>
    <w:p w14:paraId="511EFA4F">
      <w:pPr>
        <w:spacing w:line="560" w:lineRule="exact"/>
        <w:ind w:firstLine="640" w:firstLineChars="200"/>
        <w:rPr>
          <w:rFonts w:ascii="Times New Roman" w:hAnsi="Times New Roman" w:eastAsia="仿宋_GB2312" w:cs="Times New Roman"/>
          <w:sz w:val="32"/>
          <w:szCs w:val="32"/>
        </w:rPr>
      </w:pPr>
      <w:bookmarkStart w:id="37" w:name="_Toc166600221"/>
      <w:r>
        <w:rPr>
          <w:rStyle w:val="21"/>
          <w:rFonts w:ascii="Times New Roman" w:hAnsi="Times New Roman" w:cs="Times New Roman"/>
        </w:rPr>
        <w:t>（二）加强监管，强化石油天然气开采安全管理。</w:t>
      </w:r>
      <w:bookmarkEnd w:id="37"/>
      <w:r>
        <w:rPr>
          <w:rFonts w:ascii="Times New Roman" w:hAnsi="Times New Roman" w:eastAsia="仿宋_GB2312" w:cs="Times New Roman"/>
          <w:sz w:val="32"/>
          <w:szCs w:val="32"/>
        </w:rPr>
        <w:t>区应急管理局要充分认识当前辖区油气开采领域安全生产形势的复杂性，进一步强化行业监管责任，结合区委、区人民政府安全生产治本攻坚三年行动部署要求，精心组织，周密安排，深入开展辖区石油天然气开采行业安全生产隐患排查整治，督促油田建设单位和管理单位严格落实监管职责，加大对外包队伍的管理，严厉打击违法分包、转包等行为，切实督促企业落实主体责任。同时，全面排查企业安全生产和管理中的薄弱环节，真正把压力传导到基层，把工作落实到企业，有效控制各类安全风险，坚决防范各类生产安全事故的发生。</w:t>
      </w:r>
    </w:p>
    <w:p w14:paraId="091A2FC1">
      <w:pPr>
        <w:spacing w:line="560" w:lineRule="exact"/>
        <w:ind w:firstLine="640" w:firstLineChars="200"/>
        <w:rPr>
          <w:rFonts w:ascii="Times New Roman" w:hAnsi="Times New Roman" w:eastAsia="仿宋_GB2312" w:cs="Times New Roman"/>
          <w:sz w:val="32"/>
          <w:szCs w:val="32"/>
        </w:rPr>
      </w:pPr>
      <w:bookmarkStart w:id="38" w:name="_Toc166600222"/>
      <w:r>
        <w:rPr>
          <w:rStyle w:val="21"/>
          <w:rFonts w:ascii="Times New Roman" w:hAnsi="Times New Roman" w:cs="Times New Roman"/>
        </w:rPr>
        <w:t>（三）举一反三，牢固树立安全红线意识和底线思维。</w:t>
      </w:r>
      <w:bookmarkEnd w:id="38"/>
      <w:r>
        <w:rPr>
          <w:rFonts w:ascii="Times New Roman" w:hAnsi="Times New Roman" w:eastAsia="仿宋_GB2312" w:cs="Times New Roman"/>
          <w:sz w:val="32"/>
          <w:szCs w:val="32"/>
        </w:rPr>
        <w:t>各部门、各单位要深入学习贯彻习近平总书记关于安全生产重要指示批示精神和自治区、克拉玛依市、区委、区人民政府关于安全生产工作的部署要求，高度重视安全生产工作，深刻汲取事故教训，进一步强化安全生产红线意识和底线思维。要进一步建立健全安全生产责任体系，落实“党政同责、</w:t>
      </w:r>
      <w:r>
        <w:rPr>
          <w:rFonts w:hint="eastAsia" w:ascii="Times New Roman" w:hAnsi="Times New Roman" w:eastAsia="仿宋_GB2312" w:cs="Times New Roman"/>
          <w:sz w:val="32"/>
          <w:szCs w:val="32"/>
          <w:lang w:eastAsia="zh-CN"/>
        </w:rPr>
        <w:t>‘一岗双责’</w:t>
      </w:r>
      <w:r>
        <w:rPr>
          <w:rFonts w:ascii="Times New Roman" w:hAnsi="Times New Roman" w:eastAsia="仿宋_GB2312" w:cs="Times New Roman"/>
          <w:sz w:val="32"/>
          <w:szCs w:val="32"/>
        </w:rPr>
        <w:t>、齐抓共管、失职追责”和“</w:t>
      </w:r>
      <w:r>
        <w:rPr>
          <w:rFonts w:hint="eastAsia" w:ascii="Times New Roman" w:hAnsi="Times New Roman" w:eastAsia="仿宋_GB2312" w:cs="Times New Roman"/>
          <w:sz w:val="32"/>
          <w:szCs w:val="32"/>
          <w:lang w:eastAsia="zh-CN"/>
        </w:rPr>
        <w:t>管行业必须管安全、管业务必须管安全、管生产经营必须管安全</w:t>
      </w:r>
      <w:r>
        <w:rPr>
          <w:rFonts w:ascii="Times New Roman" w:hAnsi="Times New Roman" w:eastAsia="仿宋_GB2312" w:cs="Times New Roman"/>
          <w:sz w:val="32"/>
          <w:szCs w:val="32"/>
        </w:rPr>
        <w:t>”的总体要求，强化工作措施，严肃工作纪律，坚决克服麻痹大意思想，坚决遏制事故发生。</w:t>
      </w:r>
    </w:p>
    <w:p w14:paraId="7C8E4A76">
      <w:pPr>
        <w:spacing w:line="560" w:lineRule="exact"/>
        <w:ind w:firstLine="640" w:firstLineChars="200"/>
        <w:rPr>
          <w:rFonts w:hint="eastAsia" w:ascii="Times New Roman" w:hAnsi="Times New Roman" w:eastAsia="仿宋_GB2312" w:cs="Times New Roman"/>
          <w:sz w:val="32"/>
          <w:szCs w:val="32"/>
        </w:rPr>
      </w:pPr>
    </w:p>
    <w:p w14:paraId="30768DBA">
      <w:pPr>
        <w:spacing w:line="560" w:lineRule="exact"/>
        <w:ind w:firstLine="640" w:firstLineChars="200"/>
        <w:rPr>
          <w:rFonts w:hint="eastAsia" w:ascii="Times New Roman" w:hAnsi="Times New Roman" w:eastAsia="仿宋_GB2312" w:cs="Times New Roman"/>
          <w:sz w:val="32"/>
          <w:szCs w:val="32"/>
        </w:rPr>
      </w:pPr>
      <w:bookmarkStart w:id="39" w:name="_GoBack"/>
      <w:bookmarkEnd w:id="39"/>
    </w:p>
    <w:p w14:paraId="1E879EE5">
      <w:pPr>
        <w:spacing w:line="560" w:lineRule="exact"/>
        <w:ind w:firstLine="640" w:firstLineChars="200"/>
        <w:rPr>
          <w:rFonts w:ascii="Times New Roman" w:hAnsi="Times New Roman" w:eastAsia="仿宋_GB2312" w:cs="Times New Roman"/>
          <w:sz w:val="32"/>
          <w:szCs w:val="32"/>
        </w:rPr>
      </w:pPr>
    </w:p>
    <w:p w14:paraId="5D2B6E0A">
      <w:pPr>
        <w:spacing w:line="560" w:lineRule="exact"/>
        <w:ind w:firstLine="3200" w:firstLineChars="1000"/>
        <w:rPr>
          <w:rFonts w:ascii="Times New Roman" w:hAnsi="Times New Roman" w:eastAsia="仿宋_GB2312" w:cs="Times New Roman"/>
          <w:sz w:val="32"/>
          <w:szCs w:val="32"/>
        </w:rPr>
      </w:pPr>
      <w:r>
        <w:rPr>
          <w:rFonts w:ascii="Times New Roman" w:hAnsi="Times New Roman" w:eastAsia="仿宋_GB2312" w:cs="Times New Roman"/>
          <w:sz w:val="32"/>
          <w:szCs w:val="32"/>
        </w:rPr>
        <w:t>乌尔禾百口泉克拉玛依宝胜商贸有限</w:t>
      </w:r>
    </w:p>
    <w:p w14:paraId="5CEC52F8">
      <w:pPr>
        <w:spacing w:line="560" w:lineRule="exact"/>
        <w:ind w:firstLine="3520" w:firstLineChars="1100"/>
        <w:rPr>
          <w:rFonts w:ascii="Times New Roman" w:hAnsi="Times New Roman" w:eastAsia="仿宋_GB2312" w:cs="Times New Roman"/>
          <w:sz w:val="32"/>
          <w:szCs w:val="32"/>
        </w:rPr>
      </w:pPr>
      <w:r>
        <w:rPr>
          <w:rFonts w:ascii="Times New Roman" w:hAnsi="Times New Roman" w:eastAsia="仿宋_GB2312" w:cs="Times New Roman"/>
          <w:sz w:val="32"/>
          <w:szCs w:val="32"/>
        </w:rPr>
        <w:t>有限公司“11·4”一般车辆伤害</w:t>
      </w:r>
    </w:p>
    <w:p w14:paraId="2ACB714E">
      <w:pPr>
        <w:spacing w:line="560" w:lineRule="exact"/>
        <w:ind w:firstLine="4800" w:firstLineChars="1500"/>
        <w:rPr>
          <w:rFonts w:ascii="Times New Roman" w:hAnsi="Times New Roman" w:eastAsia="仿宋_GB2312" w:cs="Times New Roman"/>
          <w:sz w:val="32"/>
          <w:szCs w:val="32"/>
        </w:rPr>
      </w:pPr>
      <w:r>
        <w:rPr>
          <w:rFonts w:ascii="Times New Roman" w:hAnsi="Times New Roman" w:eastAsia="仿宋_GB2312" w:cs="Times New Roman"/>
          <w:sz w:val="32"/>
          <w:szCs w:val="32"/>
        </w:rPr>
        <w:t>事故调查组</w:t>
      </w:r>
    </w:p>
    <w:p w14:paraId="6A3DEA5F">
      <w:pPr>
        <w:spacing w:line="560" w:lineRule="exact"/>
        <w:ind w:firstLine="4480" w:firstLineChars="1400"/>
        <w:rPr>
          <w:rFonts w:ascii="Times New Roman" w:hAnsi="Times New Roman" w:eastAsia="仿宋_GB2312" w:cs="Times New Roman"/>
          <w:sz w:val="32"/>
          <w:szCs w:val="32"/>
        </w:rPr>
      </w:pPr>
      <w:r>
        <w:rPr>
          <w:rFonts w:ascii="Times New Roman" w:hAnsi="Times New Roman" w:eastAsia="仿宋_GB2312" w:cs="Times New Roman"/>
          <w:sz w:val="32"/>
          <w:szCs w:val="32"/>
        </w:rPr>
        <w:t>2024年4月18日</w:t>
      </w:r>
    </w:p>
    <w:sectPr>
      <w:pgSz w:w="11906" w:h="16838"/>
      <w:pgMar w:top="2098" w:right="1474" w:bottom="1985"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szCs w:val="28"/>
      </w:rPr>
      <w:id w:val="19064696"/>
    </w:sdtPr>
    <w:sdtEndPr>
      <w:rPr>
        <w:rFonts w:ascii="Times New Roman" w:hAnsi="Times New Roman" w:cs="Times New Roman"/>
        <w:sz w:val="28"/>
        <w:szCs w:val="28"/>
      </w:rPr>
    </w:sdtEndPr>
    <w:sdtContent>
      <w:p w14:paraId="53C2AA4F">
        <w:pPr>
          <w:pStyle w:val="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I</w:t>
        </w:r>
        <w:r>
          <w:rPr>
            <w:rFonts w:ascii="Times New Roman" w:hAnsi="Times New Roman" w:cs="Times New Roman"/>
            <w:sz w:val="28"/>
            <w:szCs w:val="28"/>
          </w:rPr>
          <w:fldChar w:fldCharType="end"/>
        </w:r>
      </w:p>
    </w:sdtContent>
  </w:sdt>
  <w:p w14:paraId="5DAB6B87">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A0D9ACF">
      <w:pPr>
        <w:pStyle w:val="9"/>
        <w:rPr>
          <w:rFonts w:asciiTheme="minorEastAsia" w:hAnsiTheme="minorEastAsia" w:cstheme="minorEastAsia"/>
          <w:szCs w:val="18"/>
        </w:rPr>
      </w:pPr>
      <w:r>
        <w:rPr>
          <w:rStyle w:val="16"/>
          <w:rFonts w:hint="eastAsia" w:asciiTheme="minorEastAsia" w:hAnsiTheme="minorEastAsia" w:cstheme="minorEastAsia"/>
          <w:szCs w:val="18"/>
        </w:rPr>
        <w:t>[</w:t>
      </w:r>
      <w:r>
        <w:rPr>
          <w:rStyle w:val="16"/>
          <w:rFonts w:hint="eastAsia" w:asciiTheme="minorEastAsia" w:hAnsiTheme="minorEastAsia" w:cstheme="minorEastAsia"/>
          <w:szCs w:val="18"/>
        </w:rPr>
        <w:footnoteRef/>
      </w:r>
      <w:r>
        <w:rPr>
          <w:rStyle w:val="16"/>
          <w:rFonts w:hint="eastAsia" w:asciiTheme="minorEastAsia" w:hAnsiTheme="minorEastAsia" w:cstheme="minorEastAsia"/>
          <w:szCs w:val="18"/>
        </w:rPr>
        <w:t>]</w:t>
      </w:r>
      <w:r>
        <w:rPr>
          <w:rFonts w:hint="eastAsia" w:asciiTheme="minorEastAsia" w:hAnsiTheme="minorEastAsia" w:cstheme="minorEastAsia"/>
          <w:szCs w:val="18"/>
        </w:rPr>
        <w:t xml:space="preserve"> </w:t>
      </w:r>
      <w:r>
        <w:rPr>
          <w:rFonts w:hint="eastAsia" w:asciiTheme="minorEastAsia" w:hAnsiTheme="minorEastAsia" w:cstheme="minorEastAsia"/>
          <w:color w:val="333333"/>
          <w:szCs w:val="18"/>
          <w:shd w:val="clear" w:color="auto" w:fill="FFFFFF"/>
        </w:rPr>
        <w:t>《中华人民共和国安全生产法》（2014年修订）第十八条第四项、第七项：生产经营单位的主要负责人对本单位安全生产工作负有下列职责:(四)督促、检查本单位的安全生产工作，及时消除生产安全事故隐患;(七)组织制定并实施本单位安全生产教育和培训计划。</w:t>
      </w:r>
    </w:p>
  </w:footnote>
  <w:footnote w:id="1">
    <w:p w14:paraId="62C76E94">
      <w:pPr>
        <w:pStyle w:val="9"/>
        <w:rPr>
          <w:rFonts w:asciiTheme="minorEastAsia" w:hAnsiTheme="minorEastAsia" w:cstheme="minorEastAsia"/>
          <w:color w:val="333333"/>
          <w:szCs w:val="18"/>
          <w:shd w:val="clear" w:color="auto" w:fill="FFFFFF"/>
        </w:rPr>
      </w:pPr>
      <w:r>
        <w:rPr>
          <w:rStyle w:val="16"/>
          <w:rFonts w:hint="eastAsia" w:asciiTheme="minorEastAsia" w:hAnsiTheme="minorEastAsia" w:cstheme="minorEastAsia"/>
          <w:szCs w:val="18"/>
        </w:rPr>
        <w:t>[</w:t>
      </w:r>
      <w:r>
        <w:rPr>
          <w:rStyle w:val="16"/>
          <w:rFonts w:hint="eastAsia" w:asciiTheme="minorEastAsia" w:hAnsiTheme="minorEastAsia" w:cstheme="minorEastAsia"/>
          <w:szCs w:val="18"/>
        </w:rPr>
        <w:footnoteRef/>
      </w:r>
      <w:r>
        <w:rPr>
          <w:rStyle w:val="16"/>
          <w:rFonts w:hint="eastAsia" w:asciiTheme="minorEastAsia" w:hAnsiTheme="minorEastAsia" w:cstheme="minorEastAsia"/>
          <w:szCs w:val="18"/>
        </w:rPr>
        <w:t>]</w:t>
      </w:r>
      <w:r>
        <w:rPr>
          <w:rFonts w:hint="eastAsia" w:asciiTheme="minorEastAsia" w:hAnsiTheme="minorEastAsia" w:cstheme="minorEastAsia"/>
          <w:szCs w:val="18"/>
        </w:rPr>
        <w:t xml:space="preserve"> </w:t>
      </w:r>
      <w:r>
        <w:rPr>
          <w:rFonts w:hint="eastAsia" w:asciiTheme="minorEastAsia" w:hAnsiTheme="minorEastAsia" w:cstheme="minorEastAsia"/>
          <w:color w:val="333333"/>
          <w:szCs w:val="18"/>
          <w:shd w:val="clear" w:color="auto" w:fill="FFFFFF"/>
        </w:rPr>
        <w:t>《中华人民共和国行政处罚法》（2021年修订）第三十七条：实施行政处罚，适用违法行为发生时的法律、法规、规章的规定。但是，作出行政处罚决定时，法律、法规、规章已被修改或者废止，且新的规定处罚较轻或者不认为是违法的，适用新的规定。</w:t>
      </w:r>
    </w:p>
  </w:footnote>
  <w:footnote w:id="2">
    <w:p w14:paraId="20A29231">
      <w:pPr>
        <w:pStyle w:val="9"/>
        <w:rPr>
          <w:rFonts w:asciiTheme="minorEastAsia" w:hAnsiTheme="minorEastAsia" w:cstheme="minorEastAsia"/>
          <w:color w:val="333333"/>
          <w:szCs w:val="18"/>
          <w:shd w:val="clear" w:color="auto" w:fill="FFFFFF"/>
        </w:rPr>
      </w:pPr>
      <w:r>
        <w:rPr>
          <w:rStyle w:val="16"/>
          <w:rFonts w:hint="eastAsia" w:asciiTheme="minorEastAsia" w:hAnsiTheme="minorEastAsia" w:cstheme="minorEastAsia"/>
          <w:szCs w:val="18"/>
        </w:rPr>
        <w:t>[</w:t>
      </w:r>
      <w:r>
        <w:rPr>
          <w:rStyle w:val="16"/>
          <w:rFonts w:hint="eastAsia" w:asciiTheme="minorEastAsia" w:hAnsiTheme="minorEastAsia" w:cstheme="minorEastAsia"/>
          <w:szCs w:val="18"/>
        </w:rPr>
        <w:footnoteRef/>
      </w:r>
      <w:r>
        <w:rPr>
          <w:rStyle w:val="16"/>
          <w:rFonts w:hint="eastAsia" w:asciiTheme="minorEastAsia" w:hAnsiTheme="minorEastAsia" w:cstheme="minorEastAsia"/>
          <w:szCs w:val="18"/>
        </w:rPr>
        <w:t>]</w:t>
      </w:r>
      <w:r>
        <w:rPr>
          <w:rFonts w:hint="eastAsia" w:asciiTheme="minorEastAsia" w:hAnsiTheme="minorEastAsia" w:cstheme="minorEastAsia"/>
          <w:szCs w:val="18"/>
        </w:rPr>
        <w:t xml:space="preserve"> 《</w:t>
      </w:r>
      <w:r>
        <w:rPr>
          <w:rFonts w:hint="eastAsia" w:asciiTheme="minorEastAsia" w:hAnsiTheme="minorEastAsia" w:cstheme="minorEastAsia"/>
          <w:color w:val="333333"/>
          <w:szCs w:val="18"/>
          <w:shd w:val="clear" w:color="auto" w:fill="FFFFFF"/>
        </w:rPr>
        <w:t>中华人民共和国安全生产法》（2014年修订）第九十二条第一项：生产经营单位的主要负责人未履行本法规定的安全生产管理职责，导致发生生产安全事故的，由安全生产监督管理部门依照下列规定处以罚款： （一）发生一般事故的，处上一年年收入百分之三十的罚款。</w:t>
      </w:r>
    </w:p>
  </w:footnote>
  <w:footnote w:id="3">
    <w:p w14:paraId="1A711F86">
      <w:pPr>
        <w:pStyle w:val="9"/>
        <w:rPr>
          <w:rFonts w:asciiTheme="minorEastAsia" w:hAnsiTheme="minorEastAsia" w:cstheme="minorEastAsia"/>
          <w:szCs w:val="21"/>
        </w:rPr>
      </w:pPr>
      <w:r>
        <w:rPr>
          <w:rStyle w:val="16"/>
          <w:rFonts w:hint="eastAsia" w:asciiTheme="minorEastAsia" w:hAnsiTheme="minorEastAsia" w:cstheme="minorEastAsia"/>
          <w:szCs w:val="21"/>
        </w:rPr>
        <w:t>[</w:t>
      </w:r>
      <w:r>
        <w:rPr>
          <w:rStyle w:val="16"/>
          <w:rFonts w:hint="eastAsia" w:asciiTheme="minorEastAsia" w:hAnsiTheme="minorEastAsia" w:cstheme="minorEastAsia"/>
          <w:szCs w:val="21"/>
        </w:rPr>
        <w:footnoteRef/>
      </w:r>
      <w:r>
        <w:rPr>
          <w:rStyle w:val="16"/>
          <w:rFonts w:hint="eastAsia" w:asciiTheme="minorEastAsia" w:hAnsiTheme="minorEastAsia" w:cstheme="minorEastAsia"/>
          <w:szCs w:val="21"/>
        </w:rPr>
        <w:t>]</w:t>
      </w:r>
      <w:r>
        <w:rPr>
          <w:rFonts w:hint="eastAsia" w:asciiTheme="minorEastAsia" w:hAnsiTheme="minorEastAsia" w:cstheme="minorEastAsia"/>
          <w:szCs w:val="21"/>
        </w:rPr>
        <w:t xml:space="preserve"> 《中华人民共和国安全生产法》（2014年修订）第二十二条第二项、第五项：(二)组织或者参与本单位安全生产教育和培训，如实记录安全生产教育和培训情况;(五)检查本单位的安全生产状况，及时排查生产安全事故隐患，提出改进安全生产管理的建议。</w:t>
      </w:r>
    </w:p>
  </w:footnote>
  <w:footnote w:id="4">
    <w:p w14:paraId="30E18A61">
      <w:pPr>
        <w:pStyle w:val="9"/>
        <w:rPr>
          <w:rFonts w:asciiTheme="minorEastAsia" w:hAnsiTheme="minorEastAsia" w:cstheme="minorEastAsia"/>
          <w:szCs w:val="21"/>
        </w:rPr>
      </w:pPr>
      <w:r>
        <w:rPr>
          <w:rStyle w:val="16"/>
          <w:rFonts w:hint="eastAsia" w:asciiTheme="minorEastAsia" w:hAnsiTheme="minorEastAsia" w:cstheme="minorEastAsia"/>
          <w:szCs w:val="21"/>
        </w:rPr>
        <w:t>[</w:t>
      </w:r>
      <w:r>
        <w:rPr>
          <w:rStyle w:val="16"/>
          <w:rFonts w:hint="eastAsia" w:asciiTheme="minorEastAsia" w:hAnsiTheme="minorEastAsia" w:cstheme="minorEastAsia"/>
          <w:szCs w:val="21"/>
        </w:rPr>
        <w:footnoteRef/>
      </w:r>
      <w:r>
        <w:rPr>
          <w:rStyle w:val="16"/>
          <w:rFonts w:hint="eastAsia" w:asciiTheme="minorEastAsia" w:hAnsiTheme="minorEastAsia" w:cstheme="minorEastAsia"/>
          <w:szCs w:val="21"/>
        </w:rPr>
        <w:t>]</w:t>
      </w:r>
      <w:r>
        <w:rPr>
          <w:rFonts w:hint="eastAsia" w:asciiTheme="minorEastAsia" w:hAnsiTheme="minorEastAsia" w:cstheme="minorEastAsia"/>
          <w:szCs w:val="21"/>
        </w:rPr>
        <w:t xml:space="preserve"> 《中华人民共和国安全生产法》（2014年修订）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footnote>
  <w:footnote w:id="5">
    <w:p w14:paraId="0CBD6E6E">
      <w:pPr>
        <w:pStyle w:val="9"/>
      </w:pPr>
      <w:r>
        <w:rPr>
          <w:rStyle w:val="16"/>
        </w:rPr>
        <w:t>[</w:t>
      </w:r>
      <w:r>
        <w:rPr>
          <w:rStyle w:val="16"/>
        </w:rPr>
        <w:footnoteRef/>
      </w:r>
      <w:r>
        <w:rPr>
          <w:rStyle w:val="16"/>
        </w:rPr>
        <w:t>]</w:t>
      </w:r>
      <w:r>
        <w:t xml:space="preserve"> </w:t>
      </w:r>
      <w:r>
        <w:rPr>
          <w:rFonts w:hint="eastAsia"/>
        </w:rPr>
        <w:t>《安全生产行政处罚自由裁量标准》（2018版）第一大项第二十九条：有未与承包单位、承租单位签订专门的安全生产管理协议或者未在承包合同、租赁合同中明确各自的安全生产管理职责，或者未对承包单位、承租单位的安全生产统一协调、管理三种情形中一种的，可处2万元以下的罚款，对其直接负责的主管人员和其他直接责任人员可以处5000元以下的罚款。</w:t>
      </w:r>
    </w:p>
  </w:footnote>
  <w:footnote w:id="6">
    <w:p w14:paraId="0A2F6146">
      <w:pPr>
        <w:pStyle w:val="9"/>
      </w:pPr>
      <w:r>
        <w:rPr>
          <w:rStyle w:val="16"/>
        </w:rPr>
        <w:t>[</w:t>
      </w:r>
      <w:r>
        <w:rPr>
          <w:rStyle w:val="16"/>
        </w:rPr>
        <w:footnoteRef/>
      </w:r>
      <w:r>
        <w:rPr>
          <w:rStyle w:val="16"/>
        </w:rPr>
        <w:t>]</w:t>
      </w:r>
      <w:r>
        <w:t xml:space="preserve"> </w:t>
      </w:r>
      <w:r>
        <w:rPr>
          <w:rFonts w:hint="eastAsia"/>
        </w:rPr>
        <w:t>《中华人民共和国安全生产法》（2014年修订）第二十一条第二款：矿山、金属冶炼、建筑施工、道路运输单位和危险物品的生产、经营、储存单位，应当设置安全生产管理机构或者配备专职安全生产管理人员。</w:t>
      </w:r>
    </w:p>
  </w:footnote>
  <w:footnote w:id="7">
    <w:p w14:paraId="389E33AA">
      <w:pPr>
        <w:pStyle w:val="9"/>
      </w:pPr>
      <w:r>
        <w:rPr>
          <w:rStyle w:val="16"/>
        </w:rPr>
        <w:t>[</w:t>
      </w:r>
      <w:r>
        <w:rPr>
          <w:rStyle w:val="16"/>
        </w:rPr>
        <w:footnoteRef/>
      </w:r>
      <w:r>
        <w:rPr>
          <w:rStyle w:val="16"/>
        </w:rPr>
        <w:t>]</w:t>
      </w:r>
      <w:r>
        <w:t xml:space="preserve"> </w:t>
      </w:r>
      <w:r>
        <w:rPr>
          <w:rFonts w:hint="eastAsia"/>
        </w:rPr>
        <w:t>《中华人民共和国安全生产法》（2014年修订）第四十一条：生产经营单位应当教育和督促从业人员严格执行本单位的安全生产规章制度和安全操作规程;并向从业人员如实告知作业场所和工作岗位存在的危险因素、防范措施以及事故应急措施。</w:t>
      </w:r>
    </w:p>
  </w:footnote>
  <w:footnote w:id="8">
    <w:p w14:paraId="0586A3EF">
      <w:pPr>
        <w:pStyle w:val="9"/>
      </w:pPr>
      <w:r>
        <w:rPr>
          <w:rStyle w:val="16"/>
        </w:rPr>
        <w:t>[</w:t>
      </w:r>
      <w:r>
        <w:rPr>
          <w:rStyle w:val="16"/>
        </w:rPr>
        <w:footnoteRef/>
      </w:r>
      <w:r>
        <w:rPr>
          <w:rStyle w:val="16"/>
        </w:rPr>
        <w:t>]</w:t>
      </w:r>
      <w:r>
        <w:t xml:space="preserve"> </w:t>
      </w:r>
      <w:r>
        <w:rPr>
          <w:rFonts w:hint="eastAsia"/>
        </w:rPr>
        <w:t>《中华人民共和国安全生产法》（2014年修订）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footnote>
  <w:footnote w:id="9">
    <w:p w14:paraId="56A05595">
      <w:pPr>
        <w:pStyle w:val="9"/>
      </w:pPr>
      <w:r>
        <w:rPr>
          <w:rStyle w:val="16"/>
        </w:rPr>
        <w:t>[</w:t>
      </w:r>
      <w:r>
        <w:rPr>
          <w:rStyle w:val="16"/>
        </w:rPr>
        <w:footnoteRef/>
      </w:r>
      <w:r>
        <w:rPr>
          <w:rStyle w:val="16"/>
        </w:rPr>
        <w:t>]</w:t>
      </w:r>
      <w:r>
        <w:t xml:space="preserve"> </w:t>
      </w:r>
      <w:r>
        <w:rPr>
          <w:rFonts w:hint="eastAsia"/>
        </w:rPr>
        <w:t>《中华人民共和国安全生产法》（2014年修订）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mODk5MWEwODg4NjcyY2EzNGViMTVkODU2NmEzZWEifQ=="/>
  </w:docVars>
  <w:rsids>
    <w:rsidRoot w:val="00617C12"/>
    <w:rsid w:val="00023DDF"/>
    <w:rsid w:val="0003136A"/>
    <w:rsid w:val="000521D5"/>
    <w:rsid w:val="00054ED8"/>
    <w:rsid w:val="00060DCA"/>
    <w:rsid w:val="000668BD"/>
    <w:rsid w:val="00076D84"/>
    <w:rsid w:val="000874D6"/>
    <w:rsid w:val="00093149"/>
    <w:rsid w:val="000A08AA"/>
    <w:rsid w:val="000A1024"/>
    <w:rsid w:val="000A3F4E"/>
    <w:rsid w:val="000B61B1"/>
    <w:rsid w:val="000C5017"/>
    <w:rsid w:val="000C7886"/>
    <w:rsid w:val="000D2864"/>
    <w:rsid w:val="000D52BE"/>
    <w:rsid w:val="000E3990"/>
    <w:rsid w:val="000E5B6C"/>
    <w:rsid w:val="000F26E9"/>
    <w:rsid w:val="0010574F"/>
    <w:rsid w:val="00111207"/>
    <w:rsid w:val="00135684"/>
    <w:rsid w:val="001356E7"/>
    <w:rsid w:val="0014533C"/>
    <w:rsid w:val="001458AB"/>
    <w:rsid w:val="001548D2"/>
    <w:rsid w:val="00154D4E"/>
    <w:rsid w:val="00161148"/>
    <w:rsid w:val="001760AA"/>
    <w:rsid w:val="00176B52"/>
    <w:rsid w:val="001921EE"/>
    <w:rsid w:val="00193450"/>
    <w:rsid w:val="00196D41"/>
    <w:rsid w:val="001F142A"/>
    <w:rsid w:val="001F4837"/>
    <w:rsid w:val="00201547"/>
    <w:rsid w:val="00207BDC"/>
    <w:rsid w:val="002206EE"/>
    <w:rsid w:val="0022722B"/>
    <w:rsid w:val="00241240"/>
    <w:rsid w:val="002473FD"/>
    <w:rsid w:val="00255FA3"/>
    <w:rsid w:val="00256EC0"/>
    <w:rsid w:val="002656C3"/>
    <w:rsid w:val="002662DE"/>
    <w:rsid w:val="002724D7"/>
    <w:rsid w:val="00282156"/>
    <w:rsid w:val="00283206"/>
    <w:rsid w:val="00296EF7"/>
    <w:rsid w:val="002B1F86"/>
    <w:rsid w:val="002C6E34"/>
    <w:rsid w:val="002E53CD"/>
    <w:rsid w:val="002F6874"/>
    <w:rsid w:val="00321198"/>
    <w:rsid w:val="00326F2A"/>
    <w:rsid w:val="003461AC"/>
    <w:rsid w:val="00346214"/>
    <w:rsid w:val="0034780F"/>
    <w:rsid w:val="003541C5"/>
    <w:rsid w:val="003545CC"/>
    <w:rsid w:val="0035634B"/>
    <w:rsid w:val="00357482"/>
    <w:rsid w:val="00365C38"/>
    <w:rsid w:val="003912F0"/>
    <w:rsid w:val="003A33AB"/>
    <w:rsid w:val="003A6021"/>
    <w:rsid w:val="003B5780"/>
    <w:rsid w:val="003C7957"/>
    <w:rsid w:val="003D3DD6"/>
    <w:rsid w:val="003E5A2C"/>
    <w:rsid w:val="003E76B9"/>
    <w:rsid w:val="003F6989"/>
    <w:rsid w:val="00411A06"/>
    <w:rsid w:val="00416518"/>
    <w:rsid w:val="00420002"/>
    <w:rsid w:val="004201BD"/>
    <w:rsid w:val="00423D3A"/>
    <w:rsid w:val="0043697D"/>
    <w:rsid w:val="00437459"/>
    <w:rsid w:val="00451986"/>
    <w:rsid w:val="00454D69"/>
    <w:rsid w:val="0047465C"/>
    <w:rsid w:val="00480C6B"/>
    <w:rsid w:val="00487BD4"/>
    <w:rsid w:val="00494C92"/>
    <w:rsid w:val="004A73E4"/>
    <w:rsid w:val="004B01D0"/>
    <w:rsid w:val="004B2BDF"/>
    <w:rsid w:val="004B53BE"/>
    <w:rsid w:val="004B6B68"/>
    <w:rsid w:val="004E0D05"/>
    <w:rsid w:val="005014DE"/>
    <w:rsid w:val="00506F1B"/>
    <w:rsid w:val="005202EC"/>
    <w:rsid w:val="00526C67"/>
    <w:rsid w:val="00531A7A"/>
    <w:rsid w:val="005570B1"/>
    <w:rsid w:val="005750F1"/>
    <w:rsid w:val="00595972"/>
    <w:rsid w:val="00596281"/>
    <w:rsid w:val="005975A5"/>
    <w:rsid w:val="005A7F8D"/>
    <w:rsid w:val="005B4B6E"/>
    <w:rsid w:val="00607DA5"/>
    <w:rsid w:val="00617C12"/>
    <w:rsid w:val="00626AAE"/>
    <w:rsid w:val="00633E8A"/>
    <w:rsid w:val="00642FD3"/>
    <w:rsid w:val="0064786C"/>
    <w:rsid w:val="006505F6"/>
    <w:rsid w:val="0065143B"/>
    <w:rsid w:val="006647AC"/>
    <w:rsid w:val="00664C07"/>
    <w:rsid w:val="00666E9A"/>
    <w:rsid w:val="00674AD4"/>
    <w:rsid w:val="00694807"/>
    <w:rsid w:val="006A560C"/>
    <w:rsid w:val="006A7F06"/>
    <w:rsid w:val="006C596C"/>
    <w:rsid w:val="006D42C4"/>
    <w:rsid w:val="006D5DEA"/>
    <w:rsid w:val="006E2F18"/>
    <w:rsid w:val="006E5197"/>
    <w:rsid w:val="006F137E"/>
    <w:rsid w:val="006F3446"/>
    <w:rsid w:val="006F6EB0"/>
    <w:rsid w:val="00703501"/>
    <w:rsid w:val="00712F3B"/>
    <w:rsid w:val="00721896"/>
    <w:rsid w:val="00722728"/>
    <w:rsid w:val="00726CE6"/>
    <w:rsid w:val="0074789E"/>
    <w:rsid w:val="00750CD5"/>
    <w:rsid w:val="007510B4"/>
    <w:rsid w:val="00752043"/>
    <w:rsid w:val="00760157"/>
    <w:rsid w:val="00765E40"/>
    <w:rsid w:val="007749A1"/>
    <w:rsid w:val="0078090F"/>
    <w:rsid w:val="007A7C24"/>
    <w:rsid w:val="007B7CBF"/>
    <w:rsid w:val="007F052F"/>
    <w:rsid w:val="007F6145"/>
    <w:rsid w:val="008055B3"/>
    <w:rsid w:val="00816156"/>
    <w:rsid w:val="008267D8"/>
    <w:rsid w:val="00827472"/>
    <w:rsid w:val="00830B3F"/>
    <w:rsid w:val="00836FAA"/>
    <w:rsid w:val="008417BD"/>
    <w:rsid w:val="0084796E"/>
    <w:rsid w:val="00851174"/>
    <w:rsid w:val="00861D0D"/>
    <w:rsid w:val="00865EF9"/>
    <w:rsid w:val="00882900"/>
    <w:rsid w:val="00891D50"/>
    <w:rsid w:val="00895FBF"/>
    <w:rsid w:val="008A176E"/>
    <w:rsid w:val="008B1BBC"/>
    <w:rsid w:val="008B4C82"/>
    <w:rsid w:val="008C1C04"/>
    <w:rsid w:val="008C42EC"/>
    <w:rsid w:val="008D4D5C"/>
    <w:rsid w:val="008D7D5B"/>
    <w:rsid w:val="008E4E50"/>
    <w:rsid w:val="008E6BAA"/>
    <w:rsid w:val="008E7FF5"/>
    <w:rsid w:val="008F2D61"/>
    <w:rsid w:val="008F662B"/>
    <w:rsid w:val="00901F9E"/>
    <w:rsid w:val="00914464"/>
    <w:rsid w:val="00920189"/>
    <w:rsid w:val="009217F6"/>
    <w:rsid w:val="00943B62"/>
    <w:rsid w:val="00944E8C"/>
    <w:rsid w:val="00951839"/>
    <w:rsid w:val="00955690"/>
    <w:rsid w:val="00977F7E"/>
    <w:rsid w:val="00996BD8"/>
    <w:rsid w:val="009A3E3D"/>
    <w:rsid w:val="009B123A"/>
    <w:rsid w:val="009B3D94"/>
    <w:rsid w:val="009B6FBB"/>
    <w:rsid w:val="009F5DCC"/>
    <w:rsid w:val="009F77DC"/>
    <w:rsid w:val="00A060D0"/>
    <w:rsid w:val="00A1789E"/>
    <w:rsid w:val="00A2333C"/>
    <w:rsid w:val="00A71A5B"/>
    <w:rsid w:val="00A87517"/>
    <w:rsid w:val="00AA50C5"/>
    <w:rsid w:val="00AC04FA"/>
    <w:rsid w:val="00AD4185"/>
    <w:rsid w:val="00AF6FA8"/>
    <w:rsid w:val="00B040C0"/>
    <w:rsid w:val="00B05C32"/>
    <w:rsid w:val="00B17E45"/>
    <w:rsid w:val="00B21C37"/>
    <w:rsid w:val="00B34197"/>
    <w:rsid w:val="00B368CB"/>
    <w:rsid w:val="00B55597"/>
    <w:rsid w:val="00B65669"/>
    <w:rsid w:val="00B70EAC"/>
    <w:rsid w:val="00B909EA"/>
    <w:rsid w:val="00B930A1"/>
    <w:rsid w:val="00BA127C"/>
    <w:rsid w:val="00BB21BC"/>
    <w:rsid w:val="00BB44C3"/>
    <w:rsid w:val="00BE22D4"/>
    <w:rsid w:val="00BE2A75"/>
    <w:rsid w:val="00BE47EE"/>
    <w:rsid w:val="00BE7FF4"/>
    <w:rsid w:val="00BF4A84"/>
    <w:rsid w:val="00BF6A41"/>
    <w:rsid w:val="00C13B6A"/>
    <w:rsid w:val="00C17974"/>
    <w:rsid w:val="00C246E8"/>
    <w:rsid w:val="00C437D8"/>
    <w:rsid w:val="00C44098"/>
    <w:rsid w:val="00C537D4"/>
    <w:rsid w:val="00C66530"/>
    <w:rsid w:val="00C7477E"/>
    <w:rsid w:val="00C90281"/>
    <w:rsid w:val="00CA7F0E"/>
    <w:rsid w:val="00CE01C9"/>
    <w:rsid w:val="00D04FFF"/>
    <w:rsid w:val="00D30579"/>
    <w:rsid w:val="00D35B1F"/>
    <w:rsid w:val="00D35F92"/>
    <w:rsid w:val="00D43649"/>
    <w:rsid w:val="00D4582E"/>
    <w:rsid w:val="00D4612E"/>
    <w:rsid w:val="00D56C3B"/>
    <w:rsid w:val="00D6226C"/>
    <w:rsid w:val="00D747FA"/>
    <w:rsid w:val="00D82091"/>
    <w:rsid w:val="00D82FDB"/>
    <w:rsid w:val="00D920A6"/>
    <w:rsid w:val="00DA2F80"/>
    <w:rsid w:val="00DB3AC7"/>
    <w:rsid w:val="00DB6472"/>
    <w:rsid w:val="00DC2B0E"/>
    <w:rsid w:val="00DC4FEB"/>
    <w:rsid w:val="00DD4DEF"/>
    <w:rsid w:val="00DE6FBD"/>
    <w:rsid w:val="00E17FBF"/>
    <w:rsid w:val="00E26C69"/>
    <w:rsid w:val="00E26F40"/>
    <w:rsid w:val="00E311BE"/>
    <w:rsid w:val="00E35DF2"/>
    <w:rsid w:val="00E37A17"/>
    <w:rsid w:val="00E37A78"/>
    <w:rsid w:val="00E40018"/>
    <w:rsid w:val="00E4599D"/>
    <w:rsid w:val="00E51967"/>
    <w:rsid w:val="00E733A1"/>
    <w:rsid w:val="00E74D5A"/>
    <w:rsid w:val="00E83EA1"/>
    <w:rsid w:val="00E9066D"/>
    <w:rsid w:val="00E954EA"/>
    <w:rsid w:val="00EA0A91"/>
    <w:rsid w:val="00ED24C0"/>
    <w:rsid w:val="00EE6A46"/>
    <w:rsid w:val="00EF016D"/>
    <w:rsid w:val="00EF4041"/>
    <w:rsid w:val="00EF6F2B"/>
    <w:rsid w:val="00F07C46"/>
    <w:rsid w:val="00F11583"/>
    <w:rsid w:val="00F2011E"/>
    <w:rsid w:val="00F202BC"/>
    <w:rsid w:val="00F356D9"/>
    <w:rsid w:val="00F42E1B"/>
    <w:rsid w:val="00F47CD4"/>
    <w:rsid w:val="00F51E04"/>
    <w:rsid w:val="00F71470"/>
    <w:rsid w:val="00FA20AE"/>
    <w:rsid w:val="00FB0A4D"/>
    <w:rsid w:val="00FB490F"/>
    <w:rsid w:val="00FE1947"/>
    <w:rsid w:val="00FE70CE"/>
    <w:rsid w:val="00FF239E"/>
    <w:rsid w:val="00FF49E5"/>
    <w:rsid w:val="012C2953"/>
    <w:rsid w:val="028B12CA"/>
    <w:rsid w:val="05645A06"/>
    <w:rsid w:val="0D337B09"/>
    <w:rsid w:val="0EBF671D"/>
    <w:rsid w:val="0F3D1199"/>
    <w:rsid w:val="10433F2B"/>
    <w:rsid w:val="17AC00E7"/>
    <w:rsid w:val="193208CA"/>
    <w:rsid w:val="211803A6"/>
    <w:rsid w:val="26233A75"/>
    <w:rsid w:val="26BB3CAD"/>
    <w:rsid w:val="272A0E33"/>
    <w:rsid w:val="277806FD"/>
    <w:rsid w:val="28D85F1E"/>
    <w:rsid w:val="2A681A52"/>
    <w:rsid w:val="2CBA2C4C"/>
    <w:rsid w:val="2D514046"/>
    <w:rsid w:val="2D593E28"/>
    <w:rsid w:val="2DA36570"/>
    <w:rsid w:val="303B64BE"/>
    <w:rsid w:val="3051015E"/>
    <w:rsid w:val="331226E1"/>
    <w:rsid w:val="33DB3467"/>
    <w:rsid w:val="34901D59"/>
    <w:rsid w:val="379A790F"/>
    <w:rsid w:val="3AC076A3"/>
    <w:rsid w:val="3B900B32"/>
    <w:rsid w:val="3EC82FB3"/>
    <w:rsid w:val="3F893445"/>
    <w:rsid w:val="40236B66"/>
    <w:rsid w:val="41D63C39"/>
    <w:rsid w:val="43C31313"/>
    <w:rsid w:val="46CA27F1"/>
    <w:rsid w:val="4A676A69"/>
    <w:rsid w:val="4B102409"/>
    <w:rsid w:val="4D4C60D6"/>
    <w:rsid w:val="4E873276"/>
    <w:rsid w:val="4EB30472"/>
    <w:rsid w:val="534E43FD"/>
    <w:rsid w:val="54555413"/>
    <w:rsid w:val="557423A1"/>
    <w:rsid w:val="57F57E2A"/>
    <w:rsid w:val="58AD704A"/>
    <w:rsid w:val="59EA093F"/>
    <w:rsid w:val="5EFD6E44"/>
    <w:rsid w:val="627227FF"/>
    <w:rsid w:val="6741524A"/>
    <w:rsid w:val="691D5B26"/>
    <w:rsid w:val="6BA92032"/>
    <w:rsid w:val="6C7175B0"/>
    <w:rsid w:val="713779A1"/>
    <w:rsid w:val="72D8110D"/>
    <w:rsid w:val="734461C8"/>
    <w:rsid w:val="746F1200"/>
    <w:rsid w:val="75A8259F"/>
    <w:rsid w:val="77CA50CB"/>
    <w:rsid w:val="7DF152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line="560" w:lineRule="exact"/>
      <w:ind w:firstLine="200" w:firstLineChars="200"/>
      <w:outlineLvl w:val="0"/>
    </w:pPr>
    <w:rPr>
      <w:rFonts w:eastAsia="黑体"/>
      <w:bCs/>
      <w:kern w:val="44"/>
      <w:sz w:val="32"/>
      <w:szCs w:val="44"/>
    </w:rPr>
  </w:style>
  <w:style w:type="paragraph" w:styleId="3">
    <w:name w:val="heading 2"/>
    <w:basedOn w:val="1"/>
    <w:next w:val="1"/>
    <w:link w:val="21"/>
    <w:unhideWhenUsed/>
    <w:qFormat/>
    <w:uiPriority w:val="9"/>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alloon Text"/>
    <w:basedOn w:val="1"/>
    <w:link w:val="19"/>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834"/>
      </w:tabs>
      <w:spacing w:line="560" w:lineRule="exact"/>
    </w:pPr>
  </w:style>
  <w:style w:type="paragraph" w:styleId="9">
    <w:name w:val="footnote text"/>
    <w:basedOn w:val="1"/>
    <w:autoRedefine/>
    <w:semiHidden/>
    <w:unhideWhenUsed/>
    <w:qFormat/>
    <w:uiPriority w:val="99"/>
    <w:pPr>
      <w:snapToGrid w:val="0"/>
      <w:jc w:val="left"/>
    </w:pPr>
    <w:rPr>
      <w:sz w:val="18"/>
    </w:rPr>
  </w:style>
  <w:style w:type="paragraph" w:styleId="10">
    <w:name w:val="toc 2"/>
    <w:basedOn w:val="1"/>
    <w:next w:val="1"/>
    <w:unhideWhenUsed/>
    <w:qFormat/>
    <w:uiPriority w:val="39"/>
    <w:pPr>
      <w:tabs>
        <w:tab w:val="right" w:leader="dot" w:pos="8834"/>
      </w:tabs>
      <w:spacing w:line="520" w:lineRule="exact"/>
      <w:ind w:left="420" w:leftChars="200"/>
    </w:p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character" w:styleId="16">
    <w:name w:val="footnote reference"/>
    <w:basedOn w:val="13"/>
    <w:semiHidden/>
    <w:unhideWhenUsed/>
    <w:qFormat/>
    <w:uiPriority w:val="99"/>
    <w:rPr>
      <w:vertAlign w:val="superscript"/>
    </w:rPr>
  </w:style>
  <w:style w:type="character" w:customStyle="1" w:styleId="17">
    <w:name w:val="页眉 Char"/>
    <w:basedOn w:val="13"/>
    <w:link w:val="7"/>
    <w:autoRedefine/>
    <w:qFormat/>
    <w:uiPriority w:val="99"/>
    <w:rPr>
      <w:sz w:val="18"/>
      <w:szCs w:val="18"/>
    </w:rPr>
  </w:style>
  <w:style w:type="character" w:customStyle="1" w:styleId="18">
    <w:name w:val="页脚 Char"/>
    <w:basedOn w:val="13"/>
    <w:link w:val="6"/>
    <w:qFormat/>
    <w:uiPriority w:val="99"/>
    <w:rPr>
      <w:sz w:val="18"/>
      <w:szCs w:val="18"/>
    </w:rPr>
  </w:style>
  <w:style w:type="character" w:customStyle="1" w:styleId="19">
    <w:name w:val="批注框文本 Char"/>
    <w:basedOn w:val="13"/>
    <w:link w:val="5"/>
    <w:semiHidden/>
    <w:qFormat/>
    <w:uiPriority w:val="99"/>
    <w:rPr>
      <w:kern w:val="2"/>
      <w:sz w:val="18"/>
      <w:szCs w:val="18"/>
    </w:rPr>
  </w:style>
  <w:style w:type="character" w:customStyle="1" w:styleId="20">
    <w:name w:val="标题 1 Char"/>
    <w:basedOn w:val="13"/>
    <w:link w:val="2"/>
    <w:qFormat/>
    <w:uiPriority w:val="9"/>
    <w:rPr>
      <w:rFonts w:eastAsia="黑体"/>
      <w:bCs/>
      <w:kern w:val="44"/>
      <w:sz w:val="32"/>
      <w:szCs w:val="44"/>
    </w:rPr>
  </w:style>
  <w:style w:type="character" w:customStyle="1" w:styleId="21">
    <w:name w:val="标题 2 Char"/>
    <w:basedOn w:val="13"/>
    <w:link w:val="3"/>
    <w:qFormat/>
    <w:uiPriority w:val="9"/>
    <w:rPr>
      <w:rFonts w:eastAsia="楷体_GB2312" w:asciiTheme="majorHAnsi" w:hAnsiTheme="majorHAnsi" w:cstheme="majorBidi"/>
      <w:bCs/>
      <w:kern w:val="2"/>
      <w:sz w:val="32"/>
      <w:szCs w:val="32"/>
    </w:rPr>
  </w:style>
  <w:style w:type="paragraph" w:customStyle="1" w:styleId="22">
    <w:name w:val="TOC 标题1"/>
    <w:basedOn w:val="2"/>
    <w:next w:val="1"/>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1d4ecf5f-2961-427a-beeb-85cb287bc92c</errorID>
      <errorWord>井厂</errorWord>
      <group>L1_Word</group>
      <groupName>字词问题</groupName>
      <ability>L2_Typo</ability>
      <abilityName>字词错误</abilityName>
      <candidateList>
        <item>井场</item>
      </candidateList>
      <explain>存在发音相同字词的误用。</explain>
      <paraID>69AA6BE2</paraID>
      <start>65</start>
      <end>67</end>
      <status>ignored</status>
      <modifiedWord/>
      <trackRevisions>false</trackRevisions>
    </reviewItem>
    <reviewItem>
      <errorID>2f154659-d148-42b3-a7c6-8a82631b2128</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1557497F</paraID>
      <start>8</start>
      <end>14</end>
      <status>modified</status>
      <modifiedWord>区委、区政府</modifiedWord>
      <trackRevisions>false</trackRevisions>
    </reviewItem>
    <reviewItem>
      <errorID>117d11a8-7b90-4191-9179-08077b3f76e8</errorID>
      <errorWord>购有</errorWord>
      <group>L1_Word</group>
      <groupName>字词问题</groupName>
      <ability>L2_Typo</ability>
      <abilityName>字词错误</abilityName>
      <candidateList>
        <item>购买</item>
      </candidateList>
      <explain>〈动〉买：～年货。</explain>
      <paraID>6EE159BA</paraID>
      <start>187</start>
      <end>189</end>
      <status>ignored</status>
      <modifiedWord/>
      <trackRevisions>false</trackRevisions>
    </reviewItem>
    <reviewItem>
      <errorID>c1f542a3-6e7d-4972-89e0-390b8a9a854d</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7F14BC55</paraID>
      <start>80</start>
      <end>81</end>
      <status>modified</status>
      <modifiedWord>对</modifiedWord>
      <trackRevisions>false</trackRevisions>
    </reviewItem>
    <reviewItem>
      <errorID>06393cae-40cb-4aaa-a5c5-09ea8d82f3bf</errorID>
      <errorWord>，</errorWord>
      <group>L1_Word</group>
      <groupName>字词问题</groupName>
      <ability>L2_Typo</ability>
      <abilityName>字词错误</abilityName>
      <candidateList>
        <item>，经</item>
      </candidateList>
      <explain/>
      <paraID>7491E7F0</paraID>
      <start>61</start>
      <end>63</end>
      <status>modified</status>
      <modifiedWord>，经</modifiedWord>
      <trackRevisions>false</trackRevisions>
    </reviewItem>
    <reviewItem>
      <errorID>32c8ef5f-791c-47cc-ba76-7f4be3280a05</errorID>
      <errorWord>，</errorWord>
      <group>L1_Word</group>
      <groupName>字词问题</groupName>
      <ability>L2_Typo</ability>
      <abilityName>字词错误</abilityName>
      <candidateList>
        <item>，经</item>
      </candidateList>
      <explain/>
      <paraID> 8C829E7</paraID>
      <start>29</start>
      <end>31</end>
      <status>modified</status>
      <modifiedWord>，经</modifiedWord>
      <trackRevisions>false</trackRevisions>
    </reviewItem>
    <reviewItem>
      <errorID>be0f9e8a-c37e-4773-b785-03743cc739aa</errorID>
      <errorWord>。</errorWord>
      <group>L1_Punc</group>
      <groupName>标点问题</groupName>
      <ability>L2_Punc</ability>
      <abilityName>标点符号检查</abilityName>
      <candidateList>
        <item/>
      </candidateList>
      <explain>标题文本后不使用标点符号。</explain>
      <paraID>64AFA054</paraID>
      <start>18</start>
      <end>19</end>
      <status>unmodified</status>
      <modifiedWord/>
      <trackRevisions>false</trackRevisions>
    </reviewItem>
    <reviewItem>
      <errorID>f09eac36-3ea8-4b46-b3cd-fe29493069d7</errorID>
      <errorWord>案卷</errorWord>
      <group>L1_Word</group>
      <groupName>字词问题</groupName>
      <ability>L2_Typo</ability>
      <abilityName>字词错误</abilityName>
      <candidateList>
        <item>案件</item>
      </candidateList>
      <explain/>
      <paraID>760CD34D</paraID>
      <start>22</start>
      <end>24</end>
      <status>modified</status>
      <modifiedWord>案件</modifiedWord>
      <trackRevisions>false</trackRevisions>
    </reviewItem>
    <reviewItem>
      <errorID>743554d6-6c8a-40ab-834d-f650157d7476</errorID>
      <errorWord>井区</errorWord>
      <group>L1_Word</group>
      <groupName>字词问题</groupName>
      <ability>L2_Typo</ability>
      <abilityName>字词错误</abilityName>
      <candidateList>
        <item>景区</item>
      </candidateList>
      <explain/>
      <paraID>760CD34D</paraID>
      <start>70</start>
      <end>72</end>
      <status>ignored</status>
      <modifiedWord/>
      <trackRevisions>false</trackRevisions>
    </reviewItem>
    <reviewItem>
      <errorID>6508c97b-9bcf-41b9-b63a-bafb05af3a45</errorID>
      <errorWord>西侧</errorWord>
      <group>L1_Word</group>
      <groupName>字词问题</groupName>
      <ability>L2_Typo</ability>
      <abilityName>字词错误</abilityName>
      <candidateList>
        <item>底侧</item>
      </candidateList>
      <explain/>
      <paraID>760CD34D</paraID>
      <start>242</start>
      <end>244</end>
      <status>unmodified</status>
      <modifiedWord/>
      <trackRevisions>false</trackRevisions>
    </reviewItem>
    <reviewItem>
      <errorID>3124058f-42e2-4993-aee2-3d383df0e114</errorID>
      <errorWord>（</errorWord>
      <group>L1_Punc</group>
      <groupName>标点问题</groupName>
      <ability>L2_Punc</ability>
      <abilityName>标点符号检查</abilityName>
      <candidateList/>
      <explain>同一形式括号套用。</explain>
      <paraID>7FC515C3</paraID>
      <start>32</start>
      <end>33</end>
      <status>unmodified</status>
      <modifiedWord/>
      <trackRevisions>false</trackRevisions>
    </reviewItem>
    <reviewItem>
      <errorID>31519794-1344-4f21-b220-5a04abe56260</errorID>
      <errorWord>）</errorWord>
      <group>L1_Punc</group>
      <groupName>标点问题</groupName>
      <ability>L2_Punc</ability>
      <abilityName>标点符号检查</abilityName>
      <candidateList/>
      <explain>同一形式括号套用。</explain>
      <paraID>7FC515C3</paraID>
      <start>35</start>
      <end>36</end>
      <status>unmodified</status>
      <modifiedWord/>
      <trackRevisions>false</trackRevisions>
    </reviewItem>
    <reviewItem>
      <errorID>cf476d97-b164-44f2-accb-c05d17dfcf45</errorID>
      <errorWord>第51条</errorWord>
      <group>L1_Knowledge</group>
      <groupName>知识性问题</groupName>
      <ability>L2_Knowledge</ability>
      <abilityName>其他知识</abilityName>
      <candidateList>
        <item>第五十一条</item>
      </candidateList>
      <explain/>
      <paraID>512589C2</paraID>
      <start>36</start>
      <end>41</end>
      <status>modified</status>
      <modifiedWord>第五十一条</modifiedWord>
      <trackRevisions>false</trackRevisions>
    </reviewItem>
    <reviewItem>
      <errorID>0b38e7d2-a601-4430-a939-c1914295c101</errorID>
      <errorWord>规则制度</errorWord>
      <group>L1_Word</group>
      <groupName>字词问题</groupName>
      <ability>L2_Typo</ability>
      <abilityName>字词错误</abilityName>
      <candidateList>
        <item>规章制度</item>
      </candidateList>
      <explain/>
      <paraID>4FBE714C</paraID>
      <start>60</start>
      <end>64</end>
      <status>modified</status>
      <modifiedWord>规章制度</modifiedWord>
      <trackRevisions>false</trackRevisions>
    </reviewItem>
    <reviewItem>
      <errorID>eaa3a837-3327-446b-915e-382b525e2394</errorID>
      <errorWord>，</errorWord>
      <group>L1_Word</group>
      <groupName>字词问题</groupName>
      <ability>L2_Typo</ability>
      <abilityName>字词错误</abilityName>
      <candidateList>
        <item>，在</item>
      </candidateList>
      <explain/>
      <paraID>6793E659</paraID>
      <start>53</start>
      <end>55</end>
      <status>modified</status>
      <modifiedWord>，在</modifiedWord>
      <trackRevisions>false</trackRevisions>
    </reviewItem>
    <reviewItem>
      <errorID>4ea5aa5d-a57b-469f-8874-a283ef0cf9d9</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4768C5F</paraID>
      <start>156</start>
      <end>157</end>
      <status>modified</status>
      <modifiedWord>对</modifiedWord>
      <trackRevisions>false</trackRevisions>
    </reviewItem>
    <reviewItem>
      <errorID>3ab14dce-6ca3-4f31-be33-b19abfa3994e</errorID>
      <errorWord>，</errorWord>
      <group>L1_Word</group>
      <groupName>字词问题</groupName>
      <ability>L2_Typo</ability>
      <abilityName>字词错误</abilityName>
      <candidateList>
        <item>，在</item>
      </candidateList>
      <explain/>
      <paraID>21B42B27</paraID>
      <start>157</start>
      <end>159</end>
      <status>modified</status>
      <modifiedWord>，在</modifiedWord>
      <trackRevisions>false</trackRevisions>
    </reviewItem>
    <reviewItem>
      <errorID>a3033f97-bb0e-4815-a32a-5c7aab5fffa8</errorID>
      <errorWord>程</errorWord>
      <group>L1_Word</group>
      <groupName>字词问题</groupName>
      <ability>L2_Typo</ability>
      <abilityName>字词错误</abilityName>
      <candidateList>
        <item>程中</item>
      </candidateList>
      <explain/>
      <paraID>21B42B27</paraID>
      <start>162</start>
      <end>164</end>
      <status>modified</status>
      <modifiedWord>程中</modifiedWord>
      <trackRevisions>false</trackRevisions>
    </reviewItem>
    <reviewItem>
      <errorID>76a64dfd-ada9-4f27-87a1-03f323cd621a</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3F3C1BF4</paraID>
      <start>95</start>
      <end>96</end>
      <status>modified</status>
      <modifiedWord>作</modifiedWord>
      <trackRevisions>false</trackRevisions>
    </reviewItem>
    <reviewItem>
      <errorID>7f77eee6-cc6f-4671-a6bb-bf8153459085</errorID>
      <errorWord>。</errorWord>
      <group>L1_Punc</group>
      <groupName>标点问题</groupName>
      <ability>L2_Punc</ability>
      <abilityName>标点符号检查</abilityName>
      <candidateList>
        <item/>
      </candidateList>
      <explain>标题文本后不使用标点符号。</explain>
      <paraID>1F258FFB</paraID>
      <start>16</start>
      <end>17</end>
      <status>unmodified</status>
      <modifiedWord/>
      <trackRevisions>false</trackRevisions>
    </reviewItem>
    <reviewItem>
      <errorID>2d86492a-7adc-4484-84b7-0a077ce38de3</errorID>
      <errorWord>未</errorWord>
      <group>L1_Word</group>
      <groupName>字词问题</groupName>
      <ability>L2_Typo</ability>
      <abilityName>字词错误</abilityName>
      <candidateList>
        <item>未有</item>
      </candidateList>
      <explain/>
      <paraID>1F258FFB</paraID>
      <start>108</start>
      <end>109</end>
      <status>unmodified</status>
      <modifiedWord/>
      <trackRevisions>false</trackRevisions>
    </reviewItem>
    <reviewItem>
      <errorID>c95ecedd-9028-4a9b-bb8c-bef69024545a</errorID>
      <errorWord>。</errorWord>
      <group>L1_Punc</group>
      <groupName>标点问题</groupName>
      <ability>L2_Punc</ability>
      <abilityName>标点符号检查</abilityName>
      <candidateList>
        <item/>
      </candidateList>
      <explain>标题文本后不使用标点符号。</explain>
      <paraID> D66626B</paraID>
      <start>14</start>
      <end>15</end>
      <status>unmodified</status>
      <modifiedWord/>
      <trackRevisions>false</trackRevisions>
    </reviewItem>
    <reviewItem>
      <errorID>0f423603-1754-4a81-a72e-c29a12d18601</errorID>
      <errorWord>。</errorWord>
      <group>L1_Punc</group>
      <groupName>标点问题</groupName>
      <ability>L2_Punc</ability>
      <abilityName>标点符号检查</abilityName>
      <candidateList>
        <item/>
      </candidateList>
      <explain>标题文本后不使用标点符号。</explain>
      <paraID> 3FAE93A</paraID>
      <start>11</start>
      <end>12</end>
      <status>unmodified</status>
      <modifiedWord/>
      <trackRevisions>false</trackRevisions>
    </reviewItem>
    <reviewItem>
      <errorID>65a85ebc-1fc5-4538-9432-4d1bfeea72a1</errorID>
      <errorWord>汲取教训</errorWord>
      <group>L1_Word</group>
      <groupName>字词问题</groupName>
      <ability>L2_Typo</ability>
      <abilityName>字词错误</abilityName>
      <candidateList>
        <item>吸取教训</item>
      </candidateList>
      <explain/>
      <paraID>112157B3</paraID>
      <start>3</start>
      <end>7</end>
      <status>modified</status>
      <modifiedWord>吸取教训</modifiedWord>
      <trackRevisions>false</trackRevisions>
    </reviewItem>
    <reviewItem>
      <errorID>9762c2c9-b285-440d-b288-380eae8d401a</errorID>
      <errorWord>。</errorWord>
      <group>L1_Punc</group>
      <groupName>标点问题</groupName>
      <ability>L2_Punc</ability>
      <abilityName>标点符号检查</abilityName>
      <candidateList>
        <item/>
      </candidateList>
      <explain>标题文本后不使用标点符号。</explain>
      <paraID>112157B3</paraID>
      <start>22</start>
      <end>23</end>
      <status>unmodified</status>
      <modifiedWord/>
      <trackRevisions>false</trackRevisions>
    </reviewItem>
    <reviewItem>
      <errorID>ff7c6338-602e-4e1e-9c32-48b95132a81b</errorID>
      <errorWord>。</errorWord>
      <group>L1_Punc</group>
      <groupName>标点问题</groupName>
      <ability>L2_Punc</ability>
      <abilityName>标点符号检查</abilityName>
      <candidateList>
        <item/>
      </candidateList>
      <explain>标题文本后不使用标点符号。</explain>
      <paraID>5891CB43</paraID>
      <start>47</start>
      <end>48</end>
      <status>unmodified</status>
      <modifiedWord/>
      <trackRevisions>false</trackRevisions>
    </reviewItem>
    <reviewItem>
      <errorID>479bafd7-7dfe-4e86-ba1d-dd528bc677ae</errorID>
      <errorWord>。</errorWord>
      <group>L1_Punc</group>
      <groupName>标点问题</groupName>
      <ability>L2_Punc</ability>
      <abilityName>标点符号检查</abilityName>
      <candidateList>
        <item/>
      </candidateList>
      <explain>标题文本后不使用标点符号。</explain>
      <paraID>511EFA4F</paraID>
      <start>21</start>
      <end>22</end>
      <status>unmodified</status>
      <modifiedWord/>
      <trackRevisions>false</trackRevisions>
    </reviewItem>
    <reviewItem>
      <errorID>0871adb6-4258-4c78-aa09-1e011e83331e</errorID>
      <errorWord>。</errorWord>
      <group>L1_Punc</group>
      <groupName>标点问题</groupName>
      <ability>L2_Punc</ability>
      <abilityName>标点符号检查</abilityName>
      <candidateList>
        <item/>
      </candidateList>
      <explain>标题文本后不使用标点符号。</explain>
      <paraID> 91A2FC1</paraID>
      <start>23</start>
      <end>24</end>
      <status>unmodified</status>
      <modifiedWord/>
      <trackRevisions>false</trackRevisions>
    </reviewItem>
    <reviewItem>
      <errorID>fb0a4ed4-8cba-4f50-b92a-753646e3edb3</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 91A2FC1</paraID>
      <start>155</start>
      <end>161</end>
      <status>modified</status>
      <modifiedWord>‘一岗双责’</modifiedWord>
      <trackRevisions>false</trackRevisions>
    </reviewItem>
    <reviewItem>
      <errorID>7c2feb98-0a45-42fc-80dc-2bd242654f19</errorID>
      <errorWord>管行业必须管安全，管业务必须管安全，管生产经营必须管安全</errorWord>
      <group>L1_Political</group>
      <groupName>政治性问题</groupName>
      <ability>L2_Keyword</ability>
      <abilityName>固定表述</abilityName>
      <candidateList>
        <item>管行业必须管安全、管业务必须管安全、管生产经营必须管安全</item>
      </candidateList>
      <explain>注意检查当前固定表述标点是否使用规范。</explain>
      <paraID> 91A2FC1</paraID>
      <start>174</start>
      <end>202</end>
      <status>modified</status>
      <modifiedWord>管行业必须管安全、管业务必须管安全、管生产经营必须管安全</modifiedWord>
      <trackRevisions>false</trackRevisions>
    </reviewItem>
  </reviewItems>
  <config/>
</contractReview>
</file>

<file path=customXml/itemProps1.xml><?xml version="1.0" encoding="utf-8"?>
<ds:datastoreItem xmlns:ds="http://schemas.openxmlformats.org/officeDocument/2006/customXml" ds:itemID="{F5B40551-F7AC-49AA-A43C-56407563F37A}">
  <ds:schemaRefs/>
</ds:datastoreItem>
</file>

<file path=customXml/itemProps2.xml><?xml version="1.0" encoding="utf-8"?>
<ds:datastoreItem xmlns:ds="http://schemas.openxmlformats.org/officeDocument/2006/customXml" ds:itemID="{b93594f4-fa56-4698-a0e0-0717b3d9b58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9817</Words>
  <Characters>10532</Characters>
  <Lines>93</Lines>
  <Paragraphs>26</Paragraphs>
  <TotalTime>88</TotalTime>
  <ScaleCrop>false</ScaleCrop>
  <LinksUpToDate>false</LinksUpToDate>
  <CharactersWithSpaces>10656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2024-01-31T02:56:00Z</dcterms:created>
  <dc:creator>李天乐</dc:creator>
  <cp:lastModifiedBy>WPS_1615451219</cp:lastModifiedBy>
  <cp:lastPrinted>2024-03-29T04:47:00Z</cp:lastPrinted>
  <dcterms:modified xsi:type="dcterms:W3CDTF">2026-02-04T03:03:36Z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06DBBCE660FA4EB2BB03112E30DAE91C_13</vt:lpwstr>
  </property>
  <property fmtid="{D5CDD505-2E9C-101B-9397-08002B2CF9AE}" pid="4" name="KSOTemplateDocerSaveRecord">
    <vt:lpwstr>eyJoZGlkIjoiZWY1ZGMyMTRmY2NmMzU5YTc1MTYzOTczZThlODQyM2YiLCJ1c2VySWQiOiIxMTgwNTEzMzk5In0=</vt:lpwstr>
  </property>
</Properties>
</file>