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F6B6B">
      <w:pPr>
        <w:spacing w:line="247" w:lineRule="auto"/>
        <w:ind w:firstLine="640"/>
        <w:jc w:val="left"/>
        <w:rPr>
          <w:rFonts w:ascii="方正小标宋简体" w:hAnsi="Calibri" w:eastAsia="方正小标宋简体"/>
          <w:kern w:val="2"/>
          <w:sz w:val="18"/>
          <w:szCs w:val="18"/>
        </w:rPr>
      </w:pPr>
      <w:r>
        <w:rPr>
          <w:rFonts w:hint="eastAsia"/>
        </w:rPr>
        <w:t xml:space="preserve"> </w:t>
      </w:r>
    </w:p>
    <w:p w14:paraId="5249CAF9">
      <w:pPr>
        <w:spacing w:line="247" w:lineRule="auto"/>
        <w:ind w:firstLine="360" w:firstLineChars="0"/>
        <w:jc w:val="left"/>
        <w:rPr>
          <w:rFonts w:ascii="方正小标宋简体" w:hAnsi="Calibri" w:eastAsia="方正小标宋简体"/>
          <w:kern w:val="2"/>
          <w:sz w:val="18"/>
          <w:szCs w:val="18"/>
        </w:rPr>
      </w:pPr>
    </w:p>
    <w:p w14:paraId="705BCE7E">
      <w:pPr>
        <w:spacing w:line="247" w:lineRule="auto"/>
        <w:ind w:firstLine="360" w:firstLineChars="0"/>
        <w:jc w:val="left"/>
        <w:rPr>
          <w:rFonts w:ascii="方正小标宋简体" w:hAnsi="Calibri" w:eastAsia="方正小标宋简体"/>
          <w:kern w:val="2"/>
          <w:sz w:val="18"/>
          <w:szCs w:val="18"/>
        </w:rPr>
      </w:pPr>
    </w:p>
    <w:p w14:paraId="36FEBC58">
      <w:pPr>
        <w:spacing w:line="247" w:lineRule="auto"/>
        <w:ind w:firstLine="360" w:firstLineChars="0"/>
        <w:jc w:val="left"/>
        <w:rPr>
          <w:rFonts w:ascii="方正小标宋简体" w:hAnsi="Calibri" w:eastAsia="方正小标宋简体"/>
          <w:kern w:val="2"/>
          <w:sz w:val="18"/>
          <w:szCs w:val="18"/>
        </w:rPr>
      </w:pPr>
    </w:p>
    <w:p w14:paraId="3580A30E">
      <w:pPr>
        <w:spacing w:line="247" w:lineRule="auto"/>
        <w:ind w:firstLine="360" w:firstLineChars="0"/>
        <w:jc w:val="left"/>
        <w:rPr>
          <w:rFonts w:ascii="方正小标宋简体" w:hAnsi="Calibri" w:eastAsia="方正小标宋简体"/>
          <w:kern w:val="2"/>
          <w:sz w:val="18"/>
          <w:szCs w:val="18"/>
        </w:rPr>
      </w:pPr>
    </w:p>
    <w:p w14:paraId="440F3039">
      <w:pPr>
        <w:spacing w:line="247" w:lineRule="auto"/>
        <w:ind w:firstLine="360" w:firstLineChars="0"/>
        <w:jc w:val="left"/>
        <w:rPr>
          <w:rFonts w:ascii="方正小标宋简体" w:hAnsi="Calibri" w:eastAsia="方正小标宋简体"/>
          <w:kern w:val="2"/>
          <w:sz w:val="18"/>
          <w:szCs w:val="18"/>
        </w:rPr>
      </w:pPr>
    </w:p>
    <w:p w14:paraId="3A02B062">
      <w:pPr>
        <w:spacing w:line="247" w:lineRule="auto"/>
        <w:ind w:firstLine="360" w:firstLineChars="0"/>
        <w:jc w:val="left"/>
        <w:rPr>
          <w:rFonts w:ascii="方正小标宋简体" w:hAnsi="Calibri" w:eastAsia="方正小标宋简体"/>
          <w:kern w:val="2"/>
          <w:sz w:val="18"/>
          <w:szCs w:val="18"/>
        </w:rPr>
      </w:pPr>
    </w:p>
    <w:p w14:paraId="4874C1EF">
      <w:pPr>
        <w:spacing w:line="247" w:lineRule="auto"/>
        <w:ind w:firstLine="360" w:firstLineChars="0"/>
        <w:jc w:val="left"/>
        <w:rPr>
          <w:rFonts w:ascii="方正小标宋简体" w:hAnsi="Calibri" w:eastAsia="方正小标宋简体"/>
          <w:kern w:val="2"/>
          <w:sz w:val="18"/>
          <w:szCs w:val="18"/>
        </w:rPr>
      </w:pPr>
    </w:p>
    <w:p w14:paraId="64FB6D7E">
      <w:pPr>
        <w:ind w:firstLineChars="0"/>
        <w:jc w:val="center"/>
        <w:rPr>
          <w:rFonts w:ascii="方正小标宋简体" w:hAnsi="Calibri" w:eastAsia="方正小标宋简体"/>
          <w:kern w:val="2"/>
          <w:sz w:val="52"/>
          <w:szCs w:val="52"/>
        </w:rPr>
      </w:pPr>
      <w:r>
        <w:rPr>
          <w:rFonts w:hint="eastAsia" w:ascii="方正小标宋简体" w:hAnsi="Calibri" w:eastAsia="方正小标宋简体"/>
          <w:kern w:val="2"/>
          <w:sz w:val="52"/>
          <w:szCs w:val="52"/>
        </w:rPr>
        <w:t>乌尔禾柳树街新疆油田分公司风城</w:t>
      </w:r>
    </w:p>
    <w:p w14:paraId="02463094">
      <w:pPr>
        <w:ind w:firstLineChars="0"/>
        <w:jc w:val="center"/>
        <w:rPr>
          <w:rFonts w:ascii="方正小标宋简体" w:hAnsi="Calibri" w:eastAsia="方正小标宋简体"/>
          <w:kern w:val="2"/>
          <w:sz w:val="52"/>
          <w:szCs w:val="52"/>
        </w:rPr>
      </w:pPr>
      <w:r>
        <w:rPr>
          <w:rFonts w:hint="eastAsia" w:ascii="方正小标宋简体" w:hAnsi="Calibri" w:eastAsia="方正小标宋简体"/>
          <w:kern w:val="2"/>
          <w:sz w:val="52"/>
          <w:szCs w:val="52"/>
        </w:rPr>
        <w:t>油田作业区“2.17”一般其它</w:t>
      </w:r>
    </w:p>
    <w:p w14:paraId="33F4B71F">
      <w:pPr>
        <w:ind w:firstLine="420" w:firstLineChars="0"/>
        <w:jc w:val="center"/>
        <w:rPr>
          <w:rFonts w:ascii="方正小标宋简体" w:hAnsi="Calibri" w:eastAsia="方正小标宋简体"/>
          <w:kern w:val="2"/>
          <w:sz w:val="52"/>
          <w:szCs w:val="52"/>
        </w:rPr>
      </w:pPr>
      <w:r>
        <w:rPr>
          <w:rFonts w:hint="eastAsia" w:ascii="方正小标宋简体" w:hAnsi="Calibri" w:eastAsia="方正小标宋简体"/>
          <w:kern w:val="2"/>
          <w:sz w:val="52"/>
          <w:szCs w:val="52"/>
        </w:rPr>
        <w:t>爆炸事故调查报告</w:t>
      </w:r>
    </w:p>
    <w:p w14:paraId="429D85A0">
      <w:pPr>
        <w:spacing w:line="247" w:lineRule="auto"/>
        <w:ind w:firstLine="360" w:firstLineChars="0"/>
        <w:jc w:val="left"/>
        <w:rPr>
          <w:rFonts w:ascii="方正小标宋简体" w:hAnsi="Calibri" w:eastAsia="方正小标宋简体"/>
          <w:kern w:val="2"/>
          <w:sz w:val="18"/>
          <w:szCs w:val="18"/>
        </w:rPr>
      </w:pPr>
    </w:p>
    <w:p w14:paraId="54DE241E">
      <w:pPr>
        <w:spacing w:line="247" w:lineRule="auto"/>
        <w:ind w:firstLine="360" w:firstLineChars="0"/>
        <w:jc w:val="left"/>
        <w:rPr>
          <w:rFonts w:ascii="方正小标宋简体" w:hAnsi="Calibri" w:eastAsia="方正小标宋简体"/>
          <w:kern w:val="2"/>
          <w:sz w:val="18"/>
          <w:szCs w:val="18"/>
        </w:rPr>
      </w:pPr>
    </w:p>
    <w:p w14:paraId="388ADF2E">
      <w:pPr>
        <w:spacing w:line="247" w:lineRule="auto"/>
        <w:ind w:firstLine="360" w:firstLineChars="0"/>
        <w:jc w:val="left"/>
        <w:rPr>
          <w:rFonts w:ascii="方正小标宋简体" w:hAnsi="Calibri" w:eastAsia="方正小标宋简体"/>
          <w:kern w:val="2"/>
          <w:sz w:val="18"/>
          <w:szCs w:val="18"/>
        </w:rPr>
      </w:pPr>
    </w:p>
    <w:p w14:paraId="15722C58">
      <w:pPr>
        <w:spacing w:line="247" w:lineRule="auto"/>
        <w:ind w:firstLine="360" w:firstLineChars="0"/>
        <w:jc w:val="left"/>
        <w:rPr>
          <w:rFonts w:ascii="方正小标宋简体" w:hAnsi="Calibri" w:eastAsia="方正小标宋简体"/>
          <w:kern w:val="2"/>
          <w:sz w:val="18"/>
          <w:szCs w:val="18"/>
        </w:rPr>
      </w:pPr>
    </w:p>
    <w:p w14:paraId="406E2A06">
      <w:pPr>
        <w:spacing w:line="247" w:lineRule="auto"/>
        <w:ind w:firstLine="360" w:firstLineChars="0"/>
        <w:jc w:val="left"/>
        <w:rPr>
          <w:rFonts w:ascii="方正小标宋简体" w:hAnsi="Calibri" w:eastAsia="方正小标宋简体"/>
          <w:kern w:val="2"/>
          <w:sz w:val="18"/>
          <w:szCs w:val="18"/>
        </w:rPr>
      </w:pPr>
    </w:p>
    <w:p w14:paraId="5E4E0903">
      <w:pPr>
        <w:spacing w:line="247" w:lineRule="auto"/>
        <w:ind w:firstLine="360" w:firstLineChars="0"/>
        <w:jc w:val="left"/>
        <w:rPr>
          <w:rFonts w:ascii="方正小标宋简体" w:hAnsi="Calibri" w:eastAsia="方正小标宋简体"/>
          <w:kern w:val="2"/>
          <w:sz w:val="18"/>
          <w:szCs w:val="18"/>
        </w:rPr>
      </w:pPr>
    </w:p>
    <w:p w14:paraId="508537EC">
      <w:pPr>
        <w:spacing w:line="247" w:lineRule="auto"/>
        <w:ind w:firstLine="360" w:firstLineChars="0"/>
        <w:jc w:val="left"/>
        <w:rPr>
          <w:rFonts w:ascii="方正小标宋简体" w:hAnsi="Calibri" w:eastAsia="方正小标宋简体"/>
          <w:kern w:val="2"/>
          <w:sz w:val="18"/>
          <w:szCs w:val="18"/>
        </w:rPr>
      </w:pPr>
    </w:p>
    <w:p w14:paraId="338B0464">
      <w:pPr>
        <w:spacing w:line="247" w:lineRule="auto"/>
        <w:ind w:firstLine="360" w:firstLineChars="0"/>
        <w:jc w:val="left"/>
        <w:rPr>
          <w:rFonts w:ascii="方正小标宋简体" w:hAnsi="Calibri" w:eastAsia="方正小标宋简体"/>
          <w:kern w:val="2"/>
          <w:sz w:val="18"/>
          <w:szCs w:val="18"/>
        </w:rPr>
      </w:pPr>
    </w:p>
    <w:p w14:paraId="6792F622">
      <w:pPr>
        <w:spacing w:line="247" w:lineRule="auto"/>
        <w:ind w:firstLine="360" w:firstLineChars="0"/>
        <w:jc w:val="left"/>
        <w:rPr>
          <w:rFonts w:ascii="方正小标宋简体" w:hAnsi="Calibri" w:eastAsia="方正小标宋简体"/>
          <w:kern w:val="2"/>
          <w:sz w:val="18"/>
          <w:szCs w:val="18"/>
        </w:rPr>
      </w:pPr>
    </w:p>
    <w:p w14:paraId="7FA7B6A0">
      <w:pPr>
        <w:spacing w:line="247" w:lineRule="auto"/>
        <w:ind w:firstLine="360" w:firstLineChars="0"/>
        <w:jc w:val="left"/>
        <w:rPr>
          <w:rFonts w:ascii="方正小标宋简体" w:hAnsi="Calibri" w:eastAsia="方正小标宋简体"/>
          <w:kern w:val="2"/>
          <w:sz w:val="18"/>
          <w:szCs w:val="18"/>
        </w:rPr>
      </w:pPr>
    </w:p>
    <w:p w14:paraId="227A5244">
      <w:pPr>
        <w:spacing w:line="247" w:lineRule="auto"/>
        <w:ind w:firstLine="360" w:firstLineChars="0"/>
        <w:jc w:val="left"/>
        <w:rPr>
          <w:rFonts w:ascii="方正小标宋简体" w:hAnsi="Calibri" w:eastAsia="方正小标宋简体"/>
          <w:kern w:val="2"/>
          <w:sz w:val="18"/>
          <w:szCs w:val="18"/>
        </w:rPr>
      </w:pPr>
    </w:p>
    <w:p w14:paraId="0E780CC7">
      <w:pPr>
        <w:spacing w:line="247" w:lineRule="auto"/>
        <w:ind w:firstLine="360" w:firstLineChars="0"/>
        <w:jc w:val="left"/>
        <w:rPr>
          <w:rFonts w:ascii="方正小标宋简体" w:hAnsi="Calibri" w:eastAsia="方正小标宋简体"/>
          <w:kern w:val="2"/>
          <w:sz w:val="18"/>
          <w:szCs w:val="18"/>
        </w:rPr>
      </w:pPr>
    </w:p>
    <w:p w14:paraId="44692A89">
      <w:pPr>
        <w:spacing w:line="247" w:lineRule="auto"/>
        <w:ind w:firstLine="360" w:firstLineChars="0"/>
        <w:jc w:val="left"/>
        <w:rPr>
          <w:rFonts w:ascii="方正小标宋简体" w:hAnsi="Calibri" w:eastAsia="方正小标宋简体"/>
          <w:kern w:val="2"/>
          <w:sz w:val="18"/>
          <w:szCs w:val="18"/>
        </w:rPr>
      </w:pPr>
    </w:p>
    <w:p w14:paraId="7B136088">
      <w:pPr>
        <w:ind w:firstLine="0" w:firstLineChars="0"/>
        <w:jc w:val="center"/>
        <w:rPr>
          <w:rFonts w:ascii="仿宋_GB2312" w:hAnsi="Calibri"/>
          <w:kern w:val="2"/>
          <w:szCs w:val="32"/>
        </w:rPr>
      </w:pPr>
      <w:r>
        <w:rPr>
          <w:rFonts w:hint="eastAsia" w:ascii="仿宋_GB2312" w:hAnsi="Calibri"/>
          <w:kern w:val="2"/>
          <w:szCs w:val="32"/>
        </w:rPr>
        <w:t>乌尔禾区政府事故调查组</w:t>
      </w:r>
    </w:p>
    <w:p w14:paraId="031F4742">
      <w:pPr>
        <w:ind w:firstLine="0" w:firstLineChars="0"/>
        <w:jc w:val="center"/>
        <w:rPr>
          <w:rFonts w:ascii="仿宋_GB2312" w:hAnsi="Calibri"/>
          <w:kern w:val="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435" w:charSpace="0"/>
        </w:sectPr>
      </w:pPr>
      <w:r>
        <w:rPr>
          <w:rFonts w:hint="eastAsia" w:ascii="仿宋_GB2312" w:hAnsi="Calibri"/>
          <w:kern w:val="2"/>
          <w:szCs w:val="32"/>
        </w:rPr>
        <w:t>2024年4月7日</w:t>
      </w:r>
    </w:p>
    <w:p w14:paraId="4664B209">
      <w:pPr>
        <w:ind w:firstLine="0" w:firstLineChars="0"/>
        <w:jc w:val="center"/>
        <w:rPr>
          <w:rFonts w:ascii="仿宋_GB2312" w:hAnsi="Calibri"/>
          <w:kern w:val="2"/>
          <w:szCs w:val="32"/>
        </w:rPr>
      </w:pPr>
    </w:p>
    <w:sdt>
      <w:sdtPr>
        <w:rPr>
          <w:rFonts w:ascii="Times New Roman" w:hAnsi="Times New Roman" w:eastAsia="仿宋_GB2312" w:cs="Times New Roman"/>
          <w:b w:val="0"/>
          <w:bCs w:val="0"/>
          <w:color w:val="auto"/>
          <w:sz w:val="32"/>
          <w:szCs w:val="20"/>
          <w:lang w:val="zh-CN"/>
        </w:rPr>
        <w:id w:val="7011139"/>
        <w:docPartObj>
          <w:docPartGallery w:val="Table of Contents"/>
          <w:docPartUnique/>
        </w:docPartObj>
      </w:sdtPr>
      <w:sdtEndPr>
        <w:rPr>
          <w:rFonts w:ascii="Times New Roman" w:hAnsi="Times New Roman" w:eastAsia="仿宋_GB2312" w:cs="Times New Roman"/>
          <w:b w:val="0"/>
          <w:bCs w:val="0"/>
          <w:color w:val="auto"/>
          <w:sz w:val="32"/>
          <w:szCs w:val="20"/>
          <w:lang w:val="en-US"/>
        </w:rPr>
      </w:sdtEndPr>
      <w:sdtContent>
        <w:p w14:paraId="37BBBAA5">
          <w:pPr>
            <w:pStyle w:val="38"/>
            <w:jc w:val="center"/>
          </w:pPr>
          <w:r>
            <w:rPr>
              <w:b w:val="0"/>
              <w:color w:val="auto"/>
              <w:sz w:val="32"/>
              <w:szCs w:val="32"/>
              <w:lang w:val="zh-CN"/>
            </w:rPr>
            <w:t>目</w:t>
          </w:r>
          <w:r>
            <w:rPr>
              <w:rFonts w:hint="eastAsia"/>
              <w:b w:val="0"/>
              <w:color w:val="auto"/>
              <w:sz w:val="32"/>
              <w:szCs w:val="32"/>
              <w:lang w:val="zh-CN"/>
            </w:rPr>
            <w:t xml:space="preserve"> </w:t>
          </w:r>
          <w:r>
            <w:rPr>
              <w:b w:val="0"/>
              <w:color w:val="auto"/>
              <w:sz w:val="32"/>
              <w:szCs w:val="32"/>
              <w:lang w:val="zh-CN"/>
            </w:rPr>
            <w:t>录</w:t>
          </w:r>
        </w:p>
        <w:p w14:paraId="6487794E">
          <w:pPr>
            <w:pStyle w:val="11"/>
            <w:ind w:firstLine="440"/>
            <w:rPr>
              <w:kern w:val="2"/>
              <w:sz w:val="21"/>
            </w:rPr>
          </w:pPr>
          <w:r>
            <w:fldChar w:fldCharType="begin"/>
          </w:r>
          <w:r>
            <w:instrText xml:space="preserve"> TOC \o "1-3" \h \z \u </w:instrText>
          </w:r>
          <w:r>
            <w:fldChar w:fldCharType="separate"/>
          </w:r>
          <w:r>
            <w:fldChar w:fldCharType="begin"/>
          </w:r>
          <w:r>
            <w:instrText xml:space="preserve"> HYPERLINK \l "_Toc171529897" </w:instrText>
          </w:r>
          <w:r>
            <w:fldChar w:fldCharType="separate"/>
          </w:r>
          <w:r>
            <w:rPr>
              <w:rStyle w:val="23"/>
              <w:rFonts w:hint="eastAsia"/>
            </w:rPr>
            <w:t>一、事故单位及其他相关单位概况</w:t>
          </w:r>
          <w:r>
            <w:tab/>
          </w:r>
          <w:r>
            <w:fldChar w:fldCharType="begin"/>
          </w:r>
          <w:r>
            <w:instrText xml:space="preserve"> PAGEREF _Toc171529897 \h </w:instrText>
          </w:r>
          <w:r>
            <w:fldChar w:fldCharType="separate"/>
          </w:r>
          <w:r>
            <w:t>2</w:t>
          </w:r>
          <w:r>
            <w:fldChar w:fldCharType="end"/>
          </w:r>
          <w:r>
            <w:fldChar w:fldCharType="end"/>
          </w:r>
        </w:p>
        <w:p w14:paraId="7F1BD61E">
          <w:pPr>
            <w:pStyle w:val="14"/>
            <w:tabs>
              <w:tab w:val="right" w:leader="dot" w:pos="8834"/>
            </w:tabs>
            <w:rPr>
              <w:kern w:val="2"/>
              <w:sz w:val="21"/>
            </w:rPr>
          </w:pPr>
          <w:r>
            <w:fldChar w:fldCharType="begin"/>
          </w:r>
          <w:r>
            <w:instrText xml:space="preserve"> HYPERLINK \l "_Toc171529898" </w:instrText>
          </w:r>
          <w:r>
            <w:fldChar w:fldCharType="separate"/>
          </w:r>
          <w:r>
            <w:rPr>
              <w:rStyle w:val="23"/>
              <w:rFonts w:hint="eastAsia"/>
            </w:rPr>
            <w:t>（一）事故发生单位及相关单位的基本情况</w:t>
          </w:r>
          <w:r>
            <w:tab/>
          </w:r>
          <w:r>
            <w:fldChar w:fldCharType="begin"/>
          </w:r>
          <w:r>
            <w:instrText xml:space="preserve"> PAGEREF _Toc171529898 \h </w:instrText>
          </w:r>
          <w:r>
            <w:fldChar w:fldCharType="separate"/>
          </w:r>
          <w:r>
            <w:t>2</w:t>
          </w:r>
          <w:r>
            <w:fldChar w:fldCharType="end"/>
          </w:r>
          <w:r>
            <w:fldChar w:fldCharType="end"/>
          </w:r>
        </w:p>
        <w:p w14:paraId="54A7CB97">
          <w:pPr>
            <w:pStyle w:val="14"/>
            <w:tabs>
              <w:tab w:val="right" w:leader="dot" w:pos="8834"/>
            </w:tabs>
            <w:rPr>
              <w:kern w:val="2"/>
              <w:sz w:val="21"/>
            </w:rPr>
          </w:pPr>
          <w:r>
            <w:fldChar w:fldCharType="begin"/>
          </w:r>
          <w:r>
            <w:instrText xml:space="preserve"> HYPERLINK \l "_Toc171529899" </w:instrText>
          </w:r>
          <w:r>
            <w:fldChar w:fldCharType="separate"/>
          </w:r>
          <w:r>
            <w:rPr>
              <w:rStyle w:val="23"/>
              <w:rFonts w:hint="eastAsia"/>
            </w:rPr>
            <w:t>（二）事故发生相关项目情况</w:t>
          </w:r>
          <w:r>
            <w:tab/>
          </w:r>
          <w:r>
            <w:fldChar w:fldCharType="begin"/>
          </w:r>
          <w:r>
            <w:instrText xml:space="preserve"> PAGEREF _Toc171529899 \h </w:instrText>
          </w:r>
          <w:r>
            <w:fldChar w:fldCharType="separate"/>
          </w:r>
          <w:r>
            <w:t>3</w:t>
          </w:r>
          <w:r>
            <w:fldChar w:fldCharType="end"/>
          </w:r>
          <w:r>
            <w:fldChar w:fldCharType="end"/>
          </w:r>
        </w:p>
        <w:p w14:paraId="21A0C346">
          <w:pPr>
            <w:pStyle w:val="14"/>
            <w:tabs>
              <w:tab w:val="right" w:leader="dot" w:pos="8834"/>
            </w:tabs>
            <w:rPr>
              <w:kern w:val="2"/>
              <w:sz w:val="21"/>
            </w:rPr>
          </w:pPr>
          <w:r>
            <w:fldChar w:fldCharType="begin"/>
          </w:r>
          <w:r>
            <w:instrText xml:space="preserve"> HYPERLINK \l "_Toc171529900" </w:instrText>
          </w:r>
          <w:r>
            <w:fldChar w:fldCharType="separate"/>
          </w:r>
          <w:r>
            <w:rPr>
              <w:rStyle w:val="23"/>
              <w:rFonts w:hint="eastAsia"/>
            </w:rPr>
            <w:t>（三）事故发生单位安全管理情况</w:t>
          </w:r>
          <w:r>
            <w:tab/>
          </w:r>
          <w:r>
            <w:fldChar w:fldCharType="begin"/>
          </w:r>
          <w:r>
            <w:instrText xml:space="preserve"> PAGEREF _Toc171529900 \h </w:instrText>
          </w:r>
          <w:r>
            <w:fldChar w:fldCharType="separate"/>
          </w:r>
          <w:r>
            <w:t>5</w:t>
          </w:r>
          <w:r>
            <w:fldChar w:fldCharType="end"/>
          </w:r>
          <w:r>
            <w:fldChar w:fldCharType="end"/>
          </w:r>
        </w:p>
        <w:p w14:paraId="776D4816">
          <w:pPr>
            <w:pStyle w:val="14"/>
            <w:tabs>
              <w:tab w:val="right" w:leader="dot" w:pos="8834"/>
            </w:tabs>
            <w:rPr>
              <w:kern w:val="2"/>
              <w:sz w:val="21"/>
            </w:rPr>
          </w:pPr>
          <w:r>
            <w:fldChar w:fldCharType="begin"/>
          </w:r>
          <w:r>
            <w:instrText xml:space="preserve"> HYPERLINK \l "_Toc171529901" </w:instrText>
          </w:r>
          <w:r>
            <w:fldChar w:fldCharType="separate"/>
          </w:r>
          <w:r>
            <w:rPr>
              <w:rStyle w:val="23"/>
              <w:rFonts w:hint="eastAsia" w:ascii="Cambria" w:hAnsi="Cambria" w:eastAsia="楷体_GB2312"/>
              <w:bCs/>
            </w:rPr>
            <w:t>（四）监管部门履职情况</w:t>
          </w:r>
          <w:r>
            <w:tab/>
          </w:r>
          <w:r>
            <w:fldChar w:fldCharType="begin"/>
          </w:r>
          <w:r>
            <w:instrText xml:space="preserve"> PAGEREF _Toc171529901 \h </w:instrText>
          </w:r>
          <w:r>
            <w:fldChar w:fldCharType="separate"/>
          </w:r>
          <w:r>
            <w:t>9</w:t>
          </w:r>
          <w:r>
            <w:fldChar w:fldCharType="end"/>
          </w:r>
          <w:r>
            <w:fldChar w:fldCharType="end"/>
          </w:r>
        </w:p>
        <w:p w14:paraId="64567B8D">
          <w:pPr>
            <w:pStyle w:val="11"/>
            <w:rPr>
              <w:kern w:val="2"/>
              <w:sz w:val="21"/>
            </w:rPr>
          </w:pPr>
          <w:r>
            <w:fldChar w:fldCharType="begin"/>
          </w:r>
          <w:r>
            <w:instrText xml:space="preserve"> HYPERLINK \l "_Toc171529902" </w:instrText>
          </w:r>
          <w:r>
            <w:fldChar w:fldCharType="separate"/>
          </w:r>
          <w:r>
            <w:rPr>
              <w:rStyle w:val="23"/>
              <w:rFonts w:hint="eastAsia"/>
            </w:rPr>
            <w:t>二、事故发生经过和事故救援情况</w:t>
          </w:r>
          <w:r>
            <w:tab/>
          </w:r>
          <w:r>
            <w:fldChar w:fldCharType="begin"/>
          </w:r>
          <w:r>
            <w:instrText xml:space="preserve"> PAGEREF _Toc171529902 \h </w:instrText>
          </w:r>
          <w:r>
            <w:fldChar w:fldCharType="separate"/>
          </w:r>
          <w:r>
            <w:t>10</w:t>
          </w:r>
          <w:r>
            <w:fldChar w:fldCharType="end"/>
          </w:r>
          <w:r>
            <w:fldChar w:fldCharType="end"/>
          </w:r>
        </w:p>
        <w:p w14:paraId="63BA1759">
          <w:pPr>
            <w:pStyle w:val="14"/>
            <w:tabs>
              <w:tab w:val="right" w:leader="dot" w:pos="8834"/>
            </w:tabs>
            <w:rPr>
              <w:kern w:val="2"/>
              <w:sz w:val="21"/>
            </w:rPr>
          </w:pPr>
          <w:r>
            <w:fldChar w:fldCharType="begin"/>
          </w:r>
          <w:r>
            <w:instrText xml:space="preserve"> HYPERLINK \l "_Toc171529903" </w:instrText>
          </w:r>
          <w:r>
            <w:fldChar w:fldCharType="separate"/>
          </w:r>
          <w:r>
            <w:rPr>
              <w:rStyle w:val="23"/>
              <w:rFonts w:hint="eastAsia"/>
            </w:rPr>
            <w:t>（一）事故发生经过</w:t>
          </w:r>
          <w:r>
            <w:tab/>
          </w:r>
          <w:r>
            <w:fldChar w:fldCharType="begin"/>
          </w:r>
          <w:r>
            <w:instrText xml:space="preserve"> PAGEREF _Toc171529903 \h </w:instrText>
          </w:r>
          <w:r>
            <w:fldChar w:fldCharType="separate"/>
          </w:r>
          <w:r>
            <w:t>10</w:t>
          </w:r>
          <w:r>
            <w:fldChar w:fldCharType="end"/>
          </w:r>
          <w:r>
            <w:fldChar w:fldCharType="end"/>
          </w:r>
        </w:p>
        <w:p w14:paraId="310035A2">
          <w:pPr>
            <w:pStyle w:val="14"/>
            <w:tabs>
              <w:tab w:val="right" w:leader="dot" w:pos="8834"/>
            </w:tabs>
            <w:rPr>
              <w:kern w:val="2"/>
              <w:sz w:val="21"/>
            </w:rPr>
          </w:pPr>
          <w:r>
            <w:fldChar w:fldCharType="begin"/>
          </w:r>
          <w:r>
            <w:instrText xml:space="preserve"> HYPERLINK \l "_Toc171529904" </w:instrText>
          </w:r>
          <w:r>
            <w:fldChar w:fldCharType="separate"/>
          </w:r>
          <w:r>
            <w:rPr>
              <w:rStyle w:val="23"/>
              <w:rFonts w:hint="eastAsia"/>
            </w:rPr>
            <w:t>（二）事故信息接报情况</w:t>
          </w:r>
          <w:r>
            <w:tab/>
          </w:r>
          <w:r>
            <w:fldChar w:fldCharType="begin"/>
          </w:r>
          <w:r>
            <w:instrText xml:space="preserve"> PAGEREF _Toc171529904 \h </w:instrText>
          </w:r>
          <w:r>
            <w:fldChar w:fldCharType="separate"/>
          </w:r>
          <w:r>
            <w:t>10</w:t>
          </w:r>
          <w:r>
            <w:fldChar w:fldCharType="end"/>
          </w:r>
          <w:r>
            <w:fldChar w:fldCharType="end"/>
          </w:r>
        </w:p>
        <w:p w14:paraId="79B19D9A">
          <w:pPr>
            <w:pStyle w:val="14"/>
            <w:tabs>
              <w:tab w:val="right" w:leader="dot" w:pos="8834"/>
            </w:tabs>
            <w:rPr>
              <w:kern w:val="2"/>
              <w:sz w:val="21"/>
            </w:rPr>
          </w:pPr>
          <w:r>
            <w:fldChar w:fldCharType="begin"/>
          </w:r>
          <w:r>
            <w:instrText xml:space="preserve"> HYPERLINK \l "_Toc171529905" </w:instrText>
          </w:r>
          <w:r>
            <w:fldChar w:fldCharType="separate"/>
          </w:r>
          <w:r>
            <w:rPr>
              <w:rStyle w:val="23"/>
              <w:rFonts w:hint="eastAsia"/>
            </w:rPr>
            <w:t>（三）事故应急救援情况</w:t>
          </w:r>
          <w:r>
            <w:tab/>
          </w:r>
          <w:r>
            <w:fldChar w:fldCharType="begin"/>
          </w:r>
          <w:r>
            <w:instrText xml:space="preserve"> PAGEREF _Toc171529905 \h </w:instrText>
          </w:r>
          <w:r>
            <w:fldChar w:fldCharType="separate"/>
          </w:r>
          <w:r>
            <w:t>10</w:t>
          </w:r>
          <w:r>
            <w:fldChar w:fldCharType="end"/>
          </w:r>
          <w:r>
            <w:fldChar w:fldCharType="end"/>
          </w:r>
        </w:p>
        <w:p w14:paraId="1B7098DA">
          <w:pPr>
            <w:pStyle w:val="14"/>
            <w:tabs>
              <w:tab w:val="right" w:leader="dot" w:pos="8834"/>
            </w:tabs>
            <w:rPr>
              <w:kern w:val="2"/>
              <w:sz w:val="21"/>
            </w:rPr>
          </w:pPr>
          <w:r>
            <w:fldChar w:fldCharType="begin"/>
          </w:r>
          <w:r>
            <w:instrText xml:space="preserve"> HYPERLINK \l "_Toc171529906" </w:instrText>
          </w:r>
          <w:r>
            <w:fldChar w:fldCharType="separate"/>
          </w:r>
          <w:r>
            <w:rPr>
              <w:rStyle w:val="23"/>
              <w:rFonts w:hint="eastAsia"/>
            </w:rPr>
            <w:t>（四）应急处置评估</w:t>
          </w:r>
          <w:r>
            <w:tab/>
          </w:r>
          <w:r>
            <w:fldChar w:fldCharType="begin"/>
          </w:r>
          <w:r>
            <w:instrText xml:space="preserve"> PAGEREF _Toc171529906 \h </w:instrText>
          </w:r>
          <w:r>
            <w:fldChar w:fldCharType="separate"/>
          </w:r>
          <w:r>
            <w:t>12</w:t>
          </w:r>
          <w:r>
            <w:fldChar w:fldCharType="end"/>
          </w:r>
          <w:r>
            <w:fldChar w:fldCharType="end"/>
          </w:r>
        </w:p>
        <w:p w14:paraId="1D975D05">
          <w:pPr>
            <w:pStyle w:val="11"/>
            <w:rPr>
              <w:kern w:val="2"/>
              <w:sz w:val="21"/>
            </w:rPr>
          </w:pPr>
          <w:r>
            <w:fldChar w:fldCharType="begin"/>
          </w:r>
          <w:r>
            <w:instrText xml:space="preserve"> HYPERLINK \l "_Toc171529907" </w:instrText>
          </w:r>
          <w:r>
            <w:fldChar w:fldCharType="separate"/>
          </w:r>
          <w:r>
            <w:rPr>
              <w:rStyle w:val="23"/>
              <w:rFonts w:hint="eastAsia"/>
            </w:rPr>
            <w:t>三、事故造成的人员伤亡和直接经济损失</w:t>
          </w:r>
          <w:r>
            <w:tab/>
          </w:r>
          <w:r>
            <w:fldChar w:fldCharType="begin"/>
          </w:r>
          <w:r>
            <w:instrText xml:space="preserve"> PAGEREF _Toc171529907 \h </w:instrText>
          </w:r>
          <w:r>
            <w:fldChar w:fldCharType="separate"/>
          </w:r>
          <w:r>
            <w:t>12</w:t>
          </w:r>
          <w:r>
            <w:fldChar w:fldCharType="end"/>
          </w:r>
          <w:r>
            <w:fldChar w:fldCharType="end"/>
          </w:r>
        </w:p>
        <w:p w14:paraId="749DFEE6">
          <w:pPr>
            <w:pStyle w:val="14"/>
            <w:tabs>
              <w:tab w:val="right" w:leader="dot" w:pos="8834"/>
            </w:tabs>
            <w:rPr>
              <w:kern w:val="2"/>
              <w:sz w:val="21"/>
            </w:rPr>
          </w:pPr>
          <w:r>
            <w:fldChar w:fldCharType="begin"/>
          </w:r>
          <w:r>
            <w:instrText xml:space="preserve"> HYPERLINK \l "_Toc171529908" </w:instrText>
          </w:r>
          <w:r>
            <w:fldChar w:fldCharType="separate"/>
          </w:r>
          <w:r>
            <w:rPr>
              <w:rStyle w:val="23"/>
              <w:rFonts w:hint="eastAsia"/>
            </w:rPr>
            <w:t>（一）受伤人员基本信息</w:t>
          </w:r>
          <w:r>
            <w:tab/>
          </w:r>
          <w:r>
            <w:fldChar w:fldCharType="begin"/>
          </w:r>
          <w:r>
            <w:instrText xml:space="preserve"> PAGEREF _Toc171529908 \h </w:instrText>
          </w:r>
          <w:r>
            <w:fldChar w:fldCharType="separate"/>
          </w:r>
          <w:r>
            <w:t>12</w:t>
          </w:r>
          <w:r>
            <w:fldChar w:fldCharType="end"/>
          </w:r>
          <w:r>
            <w:fldChar w:fldCharType="end"/>
          </w:r>
        </w:p>
        <w:p w14:paraId="1BFF3CB6">
          <w:pPr>
            <w:pStyle w:val="14"/>
            <w:tabs>
              <w:tab w:val="right" w:leader="dot" w:pos="8834"/>
            </w:tabs>
            <w:rPr>
              <w:kern w:val="2"/>
              <w:sz w:val="21"/>
            </w:rPr>
          </w:pPr>
          <w:r>
            <w:fldChar w:fldCharType="begin"/>
          </w:r>
          <w:r>
            <w:instrText xml:space="preserve"> HYPERLINK \l "_Toc171529909" </w:instrText>
          </w:r>
          <w:r>
            <w:fldChar w:fldCharType="separate"/>
          </w:r>
          <w:r>
            <w:rPr>
              <w:rStyle w:val="23"/>
              <w:rFonts w:hint="eastAsia"/>
            </w:rPr>
            <w:t>（二）直接经济损失</w:t>
          </w:r>
          <w:r>
            <w:tab/>
          </w:r>
          <w:r>
            <w:fldChar w:fldCharType="begin"/>
          </w:r>
          <w:r>
            <w:instrText xml:space="preserve"> PAGEREF _Toc171529909 \h </w:instrText>
          </w:r>
          <w:r>
            <w:fldChar w:fldCharType="separate"/>
          </w:r>
          <w:r>
            <w:t>14</w:t>
          </w:r>
          <w:r>
            <w:fldChar w:fldCharType="end"/>
          </w:r>
          <w:r>
            <w:fldChar w:fldCharType="end"/>
          </w:r>
        </w:p>
        <w:p w14:paraId="298C9E93">
          <w:pPr>
            <w:pStyle w:val="14"/>
            <w:tabs>
              <w:tab w:val="right" w:leader="dot" w:pos="8834"/>
            </w:tabs>
            <w:rPr>
              <w:kern w:val="2"/>
              <w:sz w:val="21"/>
            </w:rPr>
          </w:pPr>
          <w:r>
            <w:fldChar w:fldCharType="begin"/>
          </w:r>
          <w:r>
            <w:instrText xml:space="preserve"> HYPERLINK \l "_Toc171529910" </w:instrText>
          </w:r>
          <w:r>
            <w:fldChar w:fldCharType="separate"/>
          </w:r>
          <w:r>
            <w:rPr>
              <w:rStyle w:val="23"/>
              <w:rFonts w:hint="eastAsia"/>
            </w:rPr>
            <w:t>（三）事故现场勘查情况</w:t>
          </w:r>
          <w:r>
            <w:tab/>
          </w:r>
          <w:r>
            <w:fldChar w:fldCharType="begin"/>
          </w:r>
          <w:r>
            <w:instrText xml:space="preserve"> PAGEREF _Toc171529910 \h </w:instrText>
          </w:r>
          <w:r>
            <w:fldChar w:fldCharType="separate"/>
          </w:r>
          <w:r>
            <w:t>14</w:t>
          </w:r>
          <w:r>
            <w:fldChar w:fldCharType="end"/>
          </w:r>
          <w:r>
            <w:fldChar w:fldCharType="end"/>
          </w:r>
        </w:p>
        <w:p w14:paraId="5AFC4ED4">
          <w:pPr>
            <w:pStyle w:val="11"/>
            <w:rPr>
              <w:kern w:val="2"/>
              <w:sz w:val="21"/>
            </w:rPr>
          </w:pPr>
          <w:r>
            <w:fldChar w:fldCharType="begin"/>
          </w:r>
          <w:r>
            <w:instrText xml:space="preserve"> HYPERLINK \l "_Toc171529911" </w:instrText>
          </w:r>
          <w:r>
            <w:fldChar w:fldCharType="separate"/>
          </w:r>
          <w:r>
            <w:rPr>
              <w:rStyle w:val="23"/>
              <w:rFonts w:hint="eastAsia"/>
            </w:rPr>
            <w:t>四、现场天气情况</w:t>
          </w:r>
          <w:r>
            <w:tab/>
          </w:r>
          <w:r>
            <w:fldChar w:fldCharType="begin"/>
          </w:r>
          <w:r>
            <w:instrText xml:space="preserve"> PAGEREF _Toc171529911 \h </w:instrText>
          </w:r>
          <w:r>
            <w:fldChar w:fldCharType="separate"/>
          </w:r>
          <w:r>
            <w:t>16</w:t>
          </w:r>
          <w:r>
            <w:fldChar w:fldCharType="end"/>
          </w:r>
          <w:r>
            <w:fldChar w:fldCharType="end"/>
          </w:r>
        </w:p>
        <w:p w14:paraId="2E306818">
          <w:pPr>
            <w:pStyle w:val="11"/>
            <w:rPr>
              <w:kern w:val="2"/>
              <w:sz w:val="21"/>
            </w:rPr>
          </w:pPr>
          <w:r>
            <w:fldChar w:fldCharType="begin"/>
          </w:r>
          <w:r>
            <w:instrText xml:space="preserve"> HYPERLINK \l "_Toc171529912" </w:instrText>
          </w:r>
          <w:r>
            <w:fldChar w:fldCharType="separate"/>
          </w:r>
          <w:r>
            <w:rPr>
              <w:rStyle w:val="23"/>
              <w:rFonts w:hint="eastAsia"/>
            </w:rPr>
            <w:t>五、事故发生的原因和事故性质</w:t>
          </w:r>
          <w:r>
            <w:tab/>
          </w:r>
          <w:r>
            <w:fldChar w:fldCharType="begin"/>
          </w:r>
          <w:r>
            <w:instrText xml:space="preserve"> PAGEREF _Toc171529912 \h </w:instrText>
          </w:r>
          <w:r>
            <w:fldChar w:fldCharType="separate"/>
          </w:r>
          <w:r>
            <w:t>16</w:t>
          </w:r>
          <w:r>
            <w:fldChar w:fldCharType="end"/>
          </w:r>
          <w:r>
            <w:fldChar w:fldCharType="end"/>
          </w:r>
        </w:p>
        <w:p w14:paraId="4F42D721">
          <w:pPr>
            <w:pStyle w:val="14"/>
            <w:tabs>
              <w:tab w:val="right" w:leader="dot" w:pos="8834"/>
            </w:tabs>
            <w:rPr>
              <w:kern w:val="2"/>
              <w:sz w:val="21"/>
            </w:rPr>
          </w:pPr>
          <w:r>
            <w:fldChar w:fldCharType="begin"/>
          </w:r>
          <w:r>
            <w:instrText xml:space="preserve"> HYPERLINK \l "_Toc171529913" </w:instrText>
          </w:r>
          <w:r>
            <w:fldChar w:fldCharType="separate"/>
          </w:r>
          <w:r>
            <w:rPr>
              <w:rStyle w:val="23"/>
              <w:rFonts w:hint="eastAsia"/>
            </w:rPr>
            <w:t>（一）直接原因</w:t>
          </w:r>
          <w:r>
            <w:tab/>
          </w:r>
          <w:r>
            <w:fldChar w:fldCharType="begin"/>
          </w:r>
          <w:r>
            <w:instrText xml:space="preserve"> PAGEREF _Toc171529913 \h </w:instrText>
          </w:r>
          <w:r>
            <w:fldChar w:fldCharType="separate"/>
          </w:r>
          <w:r>
            <w:t>16</w:t>
          </w:r>
          <w:r>
            <w:fldChar w:fldCharType="end"/>
          </w:r>
          <w:r>
            <w:fldChar w:fldCharType="end"/>
          </w:r>
        </w:p>
        <w:p w14:paraId="6F8F3EC7">
          <w:pPr>
            <w:pStyle w:val="14"/>
            <w:tabs>
              <w:tab w:val="right" w:leader="dot" w:pos="8834"/>
            </w:tabs>
            <w:rPr>
              <w:kern w:val="2"/>
              <w:sz w:val="21"/>
            </w:rPr>
          </w:pPr>
          <w:r>
            <w:fldChar w:fldCharType="begin"/>
          </w:r>
          <w:r>
            <w:instrText xml:space="preserve"> HYPERLINK \l "_Toc171529914" </w:instrText>
          </w:r>
          <w:r>
            <w:fldChar w:fldCharType="separate"/>
          </w:r>
          <w:r>
            <w:rPr>
              <w:rStyle w:val="23"/>
              <w:rFonts w:hint="eastAsia"/>
            </w:rPr>
            <w:t>（二）间接原因</w:t>
          </w:r>
          <w:r>
            <w:tab/>
          </w:r>
          <w:r>
            <w:fldChar w:fldCharType="begin"/>
          </w:r>
          <w:r>
            <w:instrText xml:space="preserve"> PAGEREF _Toc171529914 \h </w:instrText>
          </w:r>
          <w:r>
            <w:fldChar w:fldCharType="separate"/>
          </w:r>
          <w:r>
            <w:t>16</w:t>
          </w:r>
          <w:r>
            <w:fldChar w:fldCharType="end"/>
          </w:r>
          <w:r>
            <w:fldChar w:fldCharType="end"/>
          </w:r>
        </w:p>
        <w:p w14:paraId="2AFA4C5E">
          <w:pPr>
            <w:pStyle w:val="14"/>
            <w:tabs>
              <w:tab w:val="right" w:leader="dot" w:pos="8834"/>
            </w:tabs>
            <w:rPr>
              <w:kern w:val="2"/>
              <w:sz w:val="21"/>
            </w:rPr>
          </w:pPr>
          <w:r>
            <w:fldChar w:fldCharType="begin"/>
          </w:r>
          <w:r>
            <w:instrText xml:space="preserve"> HYPERLINK \l "_Toc171529915" </w:instrText>
          </w:r>
          <w:r>
            <w:fldChar w:fldCharType="separate"/>
          </w:r>
          <w:r>
            <w:rPr>
              <w:rStyle w:val="23"/>
              <w:rFonts w:hint="eastAsia"/>
            </w:rPr>
            <w:t>（三）存在的主要问题</w:t>
          </w:r>
          <w:r>
            <w:tab/>
          </w:r>
          <w:r>
            <w:fldChar w:fldCharType="begin"/>
          </w:r>
          <w:r>
            <w:instrText xml:space="preserve"> PAGEREF _Toc171529915 \h </w:instrText>
          </w:r>
          <w:r>
            <w:fldChar w:fldCharType="separate"/>
          </w:r>
          <w:r>
            <w:t>17</w:t>
          </w:r>
          <w:r>
            <w:fldChar w:fldCharType="end"/>
          </w:r>
          <w:r>
            <w:fldChar w:fldCharType="end"/>
          </w:r>
        </w:p>
        <w:p w14:paraId="01BC93B8">
          <w:pPr>
            <w:pStyle w:val="14"/>
            <w:tabs>
              <w:tab w:val="right" w:leader="dot" w:pos="8834"/>
            </w:tabs>
            <w:rPr>
              <w:kern w:val="2"/>
              <w:sz w:val="21"/>
            </w:rPr>
          </w:pPr>
          <w:r>
            <w:fldChar w:fldCharType="begin"/>
          </w:r>
          <w:r>
            <w:instrText xml:space="preserve"> HYPERLINK \l "_Toc171529916" </w:instrText>
          </w:r>
          <w:r>
            <w:fldChar w:fldCharType="separate"/>
          </w:r>
          <w:r>
            <w:rPr>
              <w:rStyle w:val="23"/>
              <w:rFonts w:hint="eastAsia"/>
            </w:rPr>
            <w:t>（四）事故性质</w:t>
          </w:r>
          <w:r>
            <w:tab/>
          </w:r>
          <w:r>
            <w:fldChar w:fldCharType="begin"/>
          </w:r>
          <w:r>
            <w:instrText xml:space="preserve"> PAGEREF _Toc171529916 \h </w:instrText>
          </w:r>
          <w:r>
            <w:fldChar w:fldCharType="separate"/>
          </w:r>
          <w:r>
            <w:t>18</w:t>
          </w:r>
          <w:r>
            <w:fldChar w:fldCharType="end"/>
          </w:r>
          <w:r>
            <w:fldChar w:fldCharType="end"/>
          </w:r>
        </w:p>
        <w:p w14:paraId="3A4826F6">
          <w:pPr>
            <w:pStyle w:val="11"/>
            <w:rPr>
              <w:kern w:val="2"/>
              <w:sz w:val="21"/>
            </w:rPr>
          </w:pPr>
          <w:r>
            <w:fldChar w:fldCharType="begin"/>
          </w:r>
          <w:r>
            <w:instrText xml:space="preserve"> HYPERLINK \l "_Toc171529917" </w:instrText>
          </w:r>
          <w:r>
            <w:fldChar w:fldCharType="separate"/>
          </w:r>
          <w:r>
            <w:rPr>
              <w:rStyle w:val="23"/>
              <w:rFonts w:hint="eastAsia"/>
            </w:rPr>
            <w:t>六、对有关责任人员和单位的处理建议</w:t>
          </w:r>
          <w:r>
            <w:tab/>
          </w:r>
          <w:r>
            <w:fldChar w:fldCharType="begin"/>
          </w:r>
          <w:r>
            <w:instrText xml:space="preserve"> PAGEREF _Toc171529917 \h </w:instrText>
          </w:r>
          <w:r>
            <w:fldChar w:fldCharType="separate"/>
          </w:r>
          <w:r>
            <w:t>18</w:t>
          </w:r>
          <w:r>
            <w:fldChar w:fldCharType="end"/>
          </w:r>
          <w:r>
            <w:fldChar w:fldCharType="end"/>
          </w:r>
        </w:p>
        <w:p w14:paraId="057293AF">
          <w:pPr>
            <w:pStyle w:val="14"/>
            <w:tabs>
              <w:tab w:val="right" w:leader="dot" w:pos="8834"/>
            </w:tabs>
            <w:rPr>
              <w:kern w:val="2"/>
              <w:sz w:val="21"/>
            </w:rPr>
          </w:pPr>
          <w:r>
            <w:fldChar w:fldCharType="begin"/>
          </w:r>
          <w:r>
            <w:instrText xml:space="preserve"> HYPERLINK \l "_Toc171529918" </w:instrText>
          </w:r>
          <w:r>
            <w:fldChar w:fldCharType="separate"/>
          </w:r>
          <w:r>
            <w:rPr>
              <w:rStyle w:val="23"/>
              <w:rFonts w:hint="eastAsia"/>
            </w:rPr>
            <w:t>（一）建议免于处罚的责任单位</w:t>
          </w:r>
          <w:r>
            <w:tab/>
          </w:r>
          <w:r>
            <w:fldChar w:fldCharType="begin"/>
          </w:r>
          <w:r>
            <w:instrText xml:space="preserve"> PAGEREF _Toc171529918 \h </w:instrText>
          </w:r>
          <w:r>
            <w:fldChar w:fldCharType="separate"/>
          </w:r>
          <w:r>
            <w:t>18</w:t>
          </w:r>
          <w:r>
            <w:fldChar w:fldCharType="end"/>
          </w:r>
          <w:r>
            <w:fldChar w:fldCharType="end"/>
          </w:r>
        </w:p>
        <w:p w14:paraId="6E5ED21D">
          <w:pPr>
            <w:pStyle w:val="14"/>
            <w:tabs>
              <w:tab w:val="right" w:leader="dot" w:pos="8834"/>
            </w:tabs>
            <w:rPr>
              <w:kern w:val="2"/>
              <w:sz w:val="21"/>
            </w:rPr>
          </w:pPr>
          <w:r>
            <w:fldChar w:fldCharType="begin"/>
          </w:r>
          <w:r>
            <w:instrText xml:space="preserve"> HYPERLINK \l "_Toc171529919" </w:instrText>
          </w:r>
          <w:r>
            <w:fldChar w:fldCharType="separate"/>
          </w:r>
          <w:r>
            <w:rPr>
              <w:rStyle w:val="23"/>
              <w:rFonts w:hint="eastAsia"/>
            </w:rPr>
            <w:t>（二）建议企业内部处理的相关责任人员</w:t>
          </w:r>
          <w:r>
            <w:tab/>
          </w:r>
          <w:r>
            <w:fldChar w:fldCharType="begin"/>
          </w:r>
          <w:r>
            <w:instrText xml:space="preserve"> PAGEREF _Toc171529919 \h </w:instrText>
          </w:r>
          <w:r>
            <w:fldChar w:fldCharType="separate"/>
          </w:r>
          <w:r>
            <w:t>18</w:t>
          </w:r>
          <w:r>
            <w:fldChar w:fldCharType="end"/>
          </w:r>
          <w:r>
            <w:fldChar w:fldCharType="end"/>
          </w:r>
        </w:p>
        <w:p w14:paraId="66FC54CA">
          <w:pPr>
            <w:pStyle w:val="14"/>
            <w:tabs>
              <w:tab w:val="right" w:leader="dot" w:pos="8834"/>
            </w:tabs>
            <w:rPr>
              <w:kern w:val="2"/>
              <w:sz w:val="21"/>
            </w:rPr>
          </w:pPr>
          <w:r>
            <w:fldChar w:fldCharType="begin"/>
          </w:r>
          <w:r>
            <w:instrText xml:space="preserve"> HYPERLINK \l "_Toc171529920" </w:instrText>
          </w:r>
          <w:r>
            <w:fldChar w:fldCharType="separate"/>
          </w:r>
          <w:r>
            <w:rPr>
              <w:rStyle w:val="23"/>
              <w:rFonts w:hint="eastAsia"/>
            </w:rPr>
            <w:t>（三）其他处理意见</w:t>
          </w:r>
          <w:r>
            <w:tab/>
          </w:r>
          <w:r>
            <w:fldChar w:fldCharType="begin"/>
          </w:r>
          <w:r>
            <w:instrText xml:space="preserve"> PAGEREF _Toc171529920 \h </w:instrText>
          </w:r>
          <w:r>
            <w:fldChar w:fldCharType="separate"/>
          </w:r>
          <w:r>
            <w:t>19</w:t>
          </w:r>
          <w:r>
            <w:fldChar w:fldCharType="end"/>
          </w:r>
          <w:r>
            <w:fldChar w:fldCharType="end"/>
          </w:r>
        </w:p>
        <w:p w14:paraId="321E06E6">
          <w:pPr>
            <w:pStyle w:val="11"/>
            <w:rPr>
              <w:kern w:val="2"/>
              <w:sz w:val="21"/>
            </w:rPr>
          </w:pPr>
          <w:r>
            <w:fldChar w:fldCharType="begin"/>
          </w:r>
          <w:r>
            <w:instrText xml:space="preserve"> HYPERLINK \l "_Toc171529921" </w:instrText>
          </w:r>
          <w:r>
            <w:fldChar w:fldCharType="separate"/>
          </w:r>
          <w:r>
            <w:rPr>
              <w:rStyle w:val="23"/>
              <w:rFonts w:hint="eastAsia"/>
            </w:rPr>
            <w:t>七、整改防范措施建议</w:t>
          </w:r>
          <w:r>
            <w:tab/>
          </w:r>
          <w:r>
            <w:fldChar w:fldCharType="begin"/>
          </w:r>
          <w:r>
            <w:instrText xml:space="preserve"> PAGEREF _Toc171529921 \h </w:instrText>
          </w:r>
          <w:r>
            <w:fldChar w:fldCharType="separate"/>
          </w:r>
          <w:r>
            <w:t>19</w:t>
          </w:r>
          <w:r>
            <w:fldChar w:fldCharType="end"/>
          </w:r>
          <w:r>
            <w:fldChar w:fldCharType="end"/>
          </w:r>
        </w:p>
        <w:p w14:paraId="409A1105">
          <w:pPr>
            <w:pStyle w:val="14"/>
            <w:tabs>
              <w:tab w:val="right" w:leader="dot" w:pos="8834"/>
            </w:tabs>
            <w:rPr>
              <w:kern w:val="2"/>
              <w:sz w:val="21"/>
            </w:rPr>
          </w:pPr>
          <w:r>
            <w:fldChar w:fldCharType="begin"/>
          </w:r>
          <w:r>
            <w:instrText xml:space="preserve"> HYPERLINK \l "_Toc171529922" </w:instrText>
          </w:r>
          <w:r>
            <w:fldChar w:fldCharType="separate"/>
          </w:r>
          <w:r>
            <w:rPr>
              <w:rStyle w:val="23"/>
              <w:rFonts w:hint="eastAsia"/>
            </w:rPr>
            <w:t>（一）加强管道风险评价，提升本质安全水平</w:t>
          </w:r>
          <w:r>
            <w:tab/>
          </w:r>
          <w:r>
            <w:fldChar w:fldCharType="begin"/>
          </w:r>
          <w:r>
            <w:instrText xml:space="preserve"> PAGEREF _Toc171529922 \h </w:instrText>
          </w:r>
          <w:r>
            <w:fldChar w:fldCharType="separate"/>
          </w:r>
          <w:r>
            <w:t>19</w:t>
          </w:r>
          <w:r>
            <w:fldChar w:fldCharType="end"/>
          </w:r>
          <w:r>
            <w:fldChar w:fldCharType="end"/>
          </w:r>
        </w:p>
        <w:p w14:paraId="21871756">
          <w:pPr>
            <w:pStyle w:val="14"/>
            <w:tabs>
              <w:tab w:val="right" w:leader="dot" w:pos="8834"/>
            </w:tabs>
            <w:rPr>
              <w:kern w:val="2"/>
              <w:sz w:val="21"/>
            </w:rPr>
          </w:pPr>
          <w:r>
            <w:fldChar w:fldCharType="begin"/>
          </w:r>
          <w:r>
            <w:instrText xml:space="preserve"> HYPERLINK \l "_Toc171529923" </w:instrText>
          </w:r>
          <w:r>
            <w:fldChar w:fldCharType="separate"/>
          </w:r>
          <w:r>
            <w:rPr>
              <w:rStyle w:val="23"/>
              <w:rFonts w:hint="eastAsia"/>
            </w:rPr>
            <w:t>（二）强化全员责任落实，进一步提升风险管控能力</w:t>
          </w:r>
          <w:r>
            <w:tab/>
          </w:r>
          <w:r>
            <w:fldChar w:fldCharType="begin"/>
          </w:r>
          <w:r>
            <w:instrText xml:space="preserve"> PAGEREF _Toc171529923 \h </w:instrText>
          </w:r>
          <w:r>
            <w:fldChar w:fldCharType="separate"/>
          </w:r>
          <w:r>
            <w:t>20</w:t>
          </w:r>
          <w:r>
            <w:fldChar w:fldCharType="end"/>
          </w:r>
          <w:r>
            <w:fldChar w:fldCharType="end"/>
          </w:r>
        </w:p>
        <w:p w14:paraId="20E267C3">
          <w:pPr>
            <w:pStyle w:val="14"/>
            <w:tabs>
              <w:tab w:val="right" w:leader="dot" w:pos="8834"/>
            </w:tabs>
            <w:rPr>
              <w:kern w:val="2"/>
              <w:sz w:val="21"/>
            </w:rPr>
          </w:pPr>
          <w:r>
            <w:fldChar w:fldCharType="begin"/>
          </w:r>
          <w:r>
            <w:instrText xml:space="preserve"> HYPERLINK \l "_Toc171529924" </w:instrText>
          </w:r>
          <w:r>
            <w:fldChar w:fldCharType="separate"/>
          </w:r>
          <w:r>
            <w:rPr>
              <w:rStyle w:val="23"/>
              <w:rFonts w:hint="eastAsia"/>
            </w:rPr>
            <w:t>（三）强化安全教育培训，深刻汲取事故教训</w:t>
          </w:r>
          <w:r>
            <w:tab/>
          </w:r>
          <w:r>
            <w:fldChar w:fldCharType="begin"/>
          </w:r>
          <w:r>
            <w:instrText xml:space="preserve"> PAGEREF _Toc171529924 \h </w:instrText>
          </w:r>
          <w:r>
            <w:fldChar w:fldCharType="separate"/>
          </w:r>
          <w:r>
            <w:t>20</w:t>
          </w:r>
          <w:r>
            <w:fldChar w:fldCharType="end"/>
          </w:r>
          <w:r>
            <w:fldChar w:fldCharType="end"/>
          </w:r>
        </w:p>
        <w:p w14:paraId="41A67B5A">
          <w:pPr>
            <w:pStyle w:val="14"/>
            <w:tabs>
              <w:tab w:val="right" w:leader="dot" w:pos="8834"/>
            </w:tabs>
            <w:rPr>
              <w:kern w:val="2"/>
              <w:sz w:val="21"/>
            </w:rPr>
          </w:pPr>
          <w:r>
            <w:fldChar w:fldCharType="begin"/>
          </w:r>
          <w:r>
            <w:instrText xml:space="preserve"> HYPERLINK \l "_Toc171529925" </w:instrText>
          </w:r>
          <w:r>
            <w:fldChar w:fldCharType="separate"/>
          </w:r>
          <w:r>
            <w:rPr>
              <w:rStyle w:val="23"/>
              <w:rFonts w:hint="eastAsia"/>
            </w:rPr>
            <w:t>（四）加强安全生产统筹协调能力，提升企业全盘管理水平</w:t>
          </w:r>
          <w:r>
            <w:tab/>
          </w:r>
          <w:r>
            <w:fldChar w:fldCharType="begin"/>
          </w:r>
          <w:r>
            <w:instrText xml:space="preserve"> PAGEREF _Toc171529925 \h </w:instrText>
          </w:r>
          <w:r>
            <w:fldChar w:fldCharType="separate"/>
          </w:r>
          <w:r>
            <w:t>20</w:t>
          </w:r>
          <w:r>
            <w:fldChar w:fldCharType="end"/>
          </w:r>
          <w:r>
            <w:fldChar w:fldCharType="end"/>
          </w:r>
        </w:p>
        <w:p w14:paraId="067EC461">
          <w:pPr>
            <w:pStyle w:val="14"/>
            <w:tabs>
              <w:tab w:val="right" w:leader="dot" w:pos="8834"/>
            </w:tabs>
            <w:rPr>
              <w:kern w:val="2"/>
              <w:sz w:val="21"/>
            </w:rPr>
          </w:pPr>
          <w:r>
            <w:fldChar w:fldCharType="begin"/>
          </w:r>
          <w:r>
            <w:instrText xml:space="preserve"> HYPERLINK \l "_Toc171529926" </w:instrText>
          </w:r>
          <w:r>
            <w:fldChar w:fldCharType="separate"/>
          </w:r>
          <w:r>
            <w:rPr>
              <w:rStyle w:val="23"/>
              <w:rFonts w:hint="eastAsia"/>
            </w:rPr>
            <w:t>（五）加大执法监察力度，倒逼企业落实安全责任</w:t>
          </w:r>
          <w:r>
            <w:tab/>
          </w:r>
          <w:r>
            <w:fldChar w:fldCharType="begin"/>
          </w:r>
          <w:r>
            <w:instrText xml:space="preserve"> PAGEREF _Toc171529926 \h </w:instrText>
          </w:r>
          <w:r>
            <w:fldChar w:fldCharType="separate"/>
          </w:r>
          <w:r>
            <w:t>21</w:t>
          </w:r>
          <w:r>
            <w:fldChar w:fldCharType="end"/>
          </w:r>
          <w:r>
            <w:fldChar w:fldCharType="end"/>
          </w:r>
        </w:p>
        <w:p w14:paraId="3BBD5A81">
          <w:pPr>
            <w:ind w:firstLine="640"/>
          </w:pPr>
          <w:r>
            <w:fldChar w:fldCharType="end"/>
          </w:r>
        </w:p>
      </w:sdtContent>
    </w:sdt>
    <w:p w14:paraId="293A9EC8">
      <w:pPr>
        <w:pStyle w:val="16"/>
        <w:jc w:val="both"/>
      </w:pPr>
    </w:p>
    <w:p w14:paraId="6E6C2983">
      <w:pPr>
        <w:pStyle w:val="17"/>
        <w:ind w:firstLine="640"/>
      </w:pPr>
    </w:p>
    <w:p w14:paraId="7C285403">
      <w:pPr>
        <w:pStyle w:val="17"/>
        <w:ind w:firstLine="640"/>
      </w:pPr>
    </w:p>
    <w:p w14:paraId="095DDBC2">
      <w:pPr>
        <w:pStyle w:val="17"/>
        <w:ind w:firstLine="640"/>
      </w:pPr>
    </w:p>
    <w:p w14:paraId="2F1726EC">
      <w:pPr>
        <w:pStyle w:val="17"/>
        <w:ind w:firstLine="640"/>
      </w:pPr>
    </w:p>
    <w:p w14:paraId="4F51E576">
      <w:pPr>
        <w:pStyle w:val="17"/>
        <w:ind w:firstLine="640"/>
      </w:pPr>
    </w:p>
    <w:p w14:paraId="03AE419B">
      <w:pPr>
        <w:pStyle w:val="17"/>
        <w:ind w:firstLine="640"/>
      </w:pPr>
    </w:p>
    <w:p w14:paraId="02B0CE92">
      <w:pPr>
        <w:pStyle w:val="17"/>
        <w:ind w:firstLine="640"/>
      </w:pPr>
    </w:p>
    <w:p w14:paraId="50C9489D">
      <w:pPr>
        <w:pStyle w:val="17"/>
        <w:ind w:firstLine="640"/>
        <w:sectPr>
          <w:pgSz w:w="11906" w:h="16838"/>
          <w:pgMar w:top="2098" w:right="1474" w:bottom="1985" w:left="1588" w:header="851" w:footer="992" w:gutter="0"/>
          <w:pgNumType w:fmt="upperRoman" w:start="1"/>
          <w:cols w:space="425" w:num="1"/>
          <w:docGrid w:type="lines" w:linePitch="435" w:charSpace="0"/>
        </w:sectPr>
      </w:pPr>
    </w:p>
    <w:p w14:paraId="38FD7050">
      <w:pPr>
        <w:pStyle w:val="17"/>
        <w:ind w:firstLine="640"/>
      </w:pPr>
    </w:p>
    <w:p w14:paraId="2873D386">
      <w:pPr>
        <w:pStyle w:val="16"/>
      </w:pPr>
      <w:r>
        <w:rPr>
          <w:rFonts w:hint="eastAsia"/>
        </w:rPr>
        <w:t>乌尔禾柳树街新疆油田分公司风城油田</w:t>
      </w:r>
    </w:p>
    <w:p w14:paraId="274D0D88">
      <w:pPr>
        <w:pStyle w:val="16"/>
      </w:pPr>
      <w:r>
        <w:rPr>
          <w:rFonts w:hint="eastAsia"/>
        </w:rPr>
        <w:t>作业区</w:t>
      </w:r>
      <w:r>
        <w:t>“</w:t>
      </w:r>
      <w:bookmarkStart w:id="0" w:name="_Toc17142_WPSOffice_Level1"/>
      <w:r>
        <w:t>2.17”</w:t>
      </w:r>
      <w:bookmarkStart w:id="1" w:name="_Toc129106664"/>
      <w:r>
        <w:rPr>
          <w:rFonts w:hint="eastAsia"/>
        </w:rPr>
        <w:t>一般其它爆炸事故</w:t>
      </w:r>
    </w:p>
    <w:p w14:paraId="63D890A8">
      <w:pPr>
        <w:pStyle w:val="16"/>
      </w:pPr>
      <w:r>
        <w:rPr>
          <w:rFonts w:hint="eastAsia"/>
        </w:rPr>
        <w:t>调查报告</w:t>
      </w:r>
      <w:bookmarkEnd w:id="0"/>
      <w:bookmarkEnd w:id="1"/>
    </w:p>
    <w:p w14:paraId="7AFF896B">
      <w:pPr>
        <w:pStyle w:val="33"/>
        <w:widowControl w:val="0"/>
        <w:tabs>
          <w:tab w:val="right" w:leader="dot" w:pos="8306"/>
        </w:tabs>
        <w:spacing w:line="560" w:lineRule="exact"/>
        <w:ind w:firstLine="640"/>
        <w:jc w:val="both"/>
        <w:outlineLvl w:val="0"/>
        <w:rPr>
          <w:rFonts w:ascii="Times New Roman" w:hAnsi="Times New Roman" w:eastAsia="方正黑体简体"/>
          <w:sz w:val="32"/>
          <w:szCs w:val="32"/>
        </w:rPr>
      </w:pPr>
    </w:p>
    <w:p w14:paraId="668293B3">
      <w:pPr>
        <w:ind w:firstLine="640"/>
      </w:pPr>
      <w:r>
        <w:t>202</w:t>
      </w:r>
      <w:r>
        <w:rPr>
          <w:rFonts w:hint="eastAsia"/>
        </w:rPr>
        <w:t>4年</w:t>
      </w:r>
      <w:r>
        <w:t>2</w:t>
      </w:r>
      <w:r>
        <w:rPr>
          <w:rFonts w:hint="eastAsia"/>
        </w:rPr>
        <w:t>月</w:t>
      </w:r>
      <w:r>
        <w:t>17</w:t>
      </w:r>
      <w:r>
        <w:rPr>
          <w:rFonts w:hint="eastAsia"/>
        </w:rPr>
        <w:t>日</w:t>
      </w:r>
      <w:r>
        <w:t>14</w:t>
      </w:r>
      <w:r>
        <w:rPr>
          <w:rFonts w:hint="eastAsia"/>
        </w:rPr>
        <w:t>时</w:t>
      </w:r>
      <w:r>
        <w:t>00</w:t>
      </w:r>
      <w:r>
        <w:rPr>
          <w:rFonts w:hint="eastAsia"/>
        </w:rPr>
        <w:t>分左右，位于乌尔禾区新疆油田分公司风城油田作业区二号</w:t>
      </w:r>
      <w:r>
        <w:rPr>
          <w:rFonts w:hint="eastAsia" w:ascii="仿宋_GB2312" w:hAnsi="方正仿宋简体" w:cs="方正仿宋简体"/>
          <w:szCs w:val="32"/>
        </w:rPr>
        <w:t>供汽联合站</w:t>
      </w:r>
      <w:r>
        <w:rPr>
          <w:rFonts w:hint="eastAsia"/>
        </w:rPr>
        <w:t xml:space="preserve">重1 </w:t>
      </w:r>
      <w:r>
        <w:t>SAGD</w:t>
      </w:r>
      <w:r>
        <w:rPr>
          <w:rFonts w:hint="eastAsia"/>
        </w:rPr>
        <w:t>-1#号供热站值班室仪控柜爆燃，造成</w:t>
      </w:r>
      <w:r>
        <w:t>5</w:t>
      </w:r>
      <w:r>
        <w:rPr>
          <w:rFonts w:hint="eastAsia"/>
        </w:rPr>
        <w:t>人轻伤。直接经济损失</w:t>
      </w:r>
      <w:r>
        <w:rPr>
          <w:rFonts w:hint="eastAsia" w:ascii="仿宋_GB2312"/>
          <w:bCs/>
          <w:szCs w:val="32"/>
        </w:rPr>
        <w:t>6.48万元</w:t>
      </w:r>
      <w:r>
        <w:rPr>
          <w:rFonts w:hint="eastAsia"/>
        </w:rPr>
        <w:t>。</w:t>
      </w:r>
    </w:p>
    <w:p w14:paraId="2576F2D4">
      <w:pPr>
        <w:ind w:firstLine="640"/>
      </w:pPr>
      <w:r>
        <w:rPr>
          <w:rFonts w:hint="eastAsia"/>
        </w:rPr>
        <w:t>事故发生后，根据《生产安全事故报告和调查处理条例》（国务院令第</w:t>
      </w:r>
      <w:r>
        <w:t>493</w:t>
      </w:r>
      <w:r>
        <w:rPr>
          <w:rFonts w:hint="eastAsia"/>
        </w:rPr>
        <w:t>号）相关规定，经乌尔禾区人民政府批准，成立了由</w:t>
      </w:r>
      <w:r>
        <w:rPr>
          <w:rFonts w:hint="eastAsia" w:ascii="仿宋_GB2312"/>
          <w:color w:val="000000"/>
          <w:szCs w:val="32"/>
        </w:rPr>
        <w:t>区应急管理局、区纪委监委、区公安分局、区市场监督管理局、区司法局、区总工会</w:t>
      </w:r>
      <w:r>
        <w:rPr>
          <w:rFonts w:hint="eastAsia"/>
        </w:rPr>
        <w:t>等部门相关人员组成的新疆油田分公司风城油田作业区</w:t>
      </w:r>
      <w:r>
        <w:t>“2.</w:t>
      </w:r>
      <w:r>
        <w:rPr>
          <w:rFonts w:hint="eastAsia"/>
        </w:rPr>
        <w:t>1</w:t>
      </w:r>
      <w:r>
        <w:t>7”</w:t>
      </w:r>
      <w:r>
        <w:rPr>
          <w:rFonts w:hint="eastAsia"/>
        </w:rPr>
        <w:t>一般其它爆炸事故调查组（以下简称</w:t>
      </w:r>
      <w:r>
        <w:t>“</w:t>
      </w:r>
      <w:r>
        <w:rPr>
          <w:rFonts w:hint="eastAsia"/>
        </w:rPr>
        <w:t>事故调查组</w:t>
      </w:r>
      <w:r>
        <w:t>”</w:t>
      </w:r>
      <w:r>
        <w:rPr>
          <w:rFonts w:hint="eastAsia"/>
        </w:rPr>
        <w:t>），</w:t>
      </w:r>
      <w:r>
        <w:rPr>
          <w:rFonts w:hint="eastAsia" w:ascii="仿宋_GB2312"/>
          <w:color w:val="000000"/>
          <w:szCs w:val="32"/>
        </w:rPr>
        <w:t>并邀请区检察院同志参加，</w:t>
      </w:r>
      <w:r>
        <w:rPr>
          <w:rFonts w:hint="eastAsia"/>
        </w:rPr>
        <w:t>对该起事故进行调查。事故调查组按照</w:t>
      </w:r>
      <w:r>
        <w:t>“</w:t>
      </w:r>
      <w:r>
        <w:rPr>
          <w:rFonts w:hint="eastAsia"/>
        </w:rPr>
        <w:t>四不放过</w:t>
      </w:r>
      <w:r>
        <w:t>”</w:t>
      </w:r>
      <w:r>
        <w:rPr>
          <w:rFonts w:hint="eastAsia"/>
        </w:rPr>
        <w:t>和</w:t>
      </w:r>
      <w:r>
        <w:t>“</w:t>
      </w:r>
      <w:r>
        <w:rPr>
          <w:rFonts w:hint="eastAsia"/>
        </w:rPr>
        <w:t>科学严谨、依法依规、实事求是、注重实效</w:t>
      </w:r>
      <w:r>
        <w:t>”</w:t>
      </w:r>
      <w:r>
        <w:rPr>
          <w:rFonts w:hint="eastAsia"/>
        </w:rPr>
        <w:t>的原则，通过现场勘验、查阅资料、调查取证、综合分析，查明了事故发生的经过、原因、人员伤亡情况，认定了事故性质，提出了事故防范整改措施建议。</w:t>
      </w:r>
    </w:p>
    <w:p w14:paraId="6423F860">
      <w:pPr>
        <w:ind w:firstLine="640"/>
        <w:rPr>
          <w:szCs w:val="32"/>
        </w:rPr>
      </w:pPr>
      <w:bookmarkStart w:id="2" w:name="_Toc129106713"/>
      <w:r>
        <w:rPr>
          <w:rFonts w:hint="eastAsia"/>
          <w:szCs w:val="32"/>
        </w:rPr>
        <w:t>经事故调查组认定，该事故是</w:t>
      </w:r>
      <w:r>
        <w:rPr>
          <w:rFonts w:hint="eastAsia"/>
        </w:rPr>
        <w:t>室外埋地天然气管线泄漏，天然气沿电缆沟进入值班室仪控柜遇电火花发生爆燃，</w:t>
      </w:r>
      <w:r>
        <w:rPr>
          <w:rFonts w:hint="eastAsia"/>
          <w:szCs w:val="32"/>
        </w:rPr>
        <w:t>造成</w:t>
      </w:r>
      <w:r>
        <w:rPr>
          <w:szCs w:val="32"/>
        </w:rPr>
        <w:t>5</w:t>
      </w:r>
      <w:r>
        <w:rPr>
          <w:rFonts w:hint="eastAsia"/>
          <w:szCs w:val="32"/>
        </w:rPr>
        <w:t>名员工轻伤，是一起生产安全责任事故。</w:t>
      </w:r>
      <w:bookmarkEnd w:id="2"/>
      <w:bookmarkStart w:id="3" w:name="_Toc129106665"/>
    </w:p>
    <w:p w14:paraId="583D9787">
      <w:pPr>
        <w:pStyle w:val="2"/>
        <w:ind w:firstLine="640"/>
      </w:pPr>
      <w:bookmarkStart w:id="4" w:name="_Toc171529897"/>
      <w:r>
        <w:rPr>
          <w:rFonts w:hint="eastAsia"/>
        </w:rPr>
        <w:t>一、事故单位及其他相关单位概况</w:t>
      </w:r>
      <w:bookmarkEnd w:id="3"/>
      <w:bookmarkEnd w:id="4"/>
    </w:p>
    <w:p w14:paraId="242F2EF8">
      <w:pPr>
        <w:pStyle w:val="3"/>
        <w:ind w:firstLine="640"/>
        <w:rPr>
          <w:kern w:val="2"/>
          <w:u w:val="single"/>
        </w:rPr>
      </w:pPr>
      <w:bookmarkStart w:id="5" w:name="_Toc171529898"/>
      <w:bookmarkStart w:id="6" w:name="_Toc129106666"/>
      <w:r>
        <w:rPr>
          <w:rFonts w:hint="eastAsia"/>
          <w:kern w:val="2"/>
        </w:rPr>
        <w:t>（一）事故发生单位及相关单位的基本情况</w:t>
      </w:r>
      <w:bookmarkEnd w:id="5"/>
      <w:bookmarkEnd w:id="6"/>
    </w:p>
    <w:p w14:paraId="58E3D873">
      <w:pPr>
        <w:ind w:firstLine="643"/>
        <w:rPr>
          <w:rFonts w:ascii="仿宋_GB2312"/>
          <w:b/>
          <w:bCs/>
          <w:szCs w:val="32"/>
        </w:rPr>
      </w:pPr>
      <w:bookmarkStart w:id="7" w:name="_Toc129106669"/>
      <w:r>
        <w:rPr>
          <w:rFonts w:hint="eastAsia" w:ascii="仿宋_GB2312"/>
          <w:b/>
          <w:bCs/>
          <w:szCs w:val="32"/>
        </w:rPr>
        <w:t>1.中国石油天然气股份有限公司新疆油田分公司</w:t>
      </w:r>
    </w:p>
    <w:p w14:paraId="042C6163">
      <w:pPr>
        <w:widowControl/>
        <w:tabs>
          <w:tab w:val="right" w:leader="dot" w:pos="8306"/>
        </w:tabs>
        <w:ind w:firstLine="640"/>
        <w:rPr>
          <w:szCs w:val="32"/>
        </w:rPr>
      </w:pPr>
      <w:r>
        <w:rPr>
          <w:rFonts w:hint="eastAsia" w:ascii="仿宋_GB2312"/>
          <w:szCs w:val="32"/>
        </w:rPr>
        <w:t>中国石油天然气股份有限公司新疆油田分公司，</w:t>
      </w:r>
      <w:r>
        <w:rPr>
          <w:rFonts w:hint="eastAsia" w:ascii="仿宋_GB2312" w:cs="宋体"/>
          <w:szCs w:val="32"/>
        </w:rPr>
        <w:t>统一社会信用代码：91650200715597998M，</w:t>
      </w:r>
      <w:r>
        <w:rPr>
          <w:szCs w:val="32"/>
        </w:rPr>
        <w:t>成立于</w:t>
      </w:r>
      <w:r>
        <w:rPr>
          <w:rFonts w:hint="eastAsia"/>
          <w:szCs w:val="32"/>
        </w:rPr>
        <w:t>1999</w:t>
      </w:r>
      <w:r>
        <w:rPr>
          <w:szCs w:val="32"/>
        </w:rPr>
        <w:t>年</w:t>
      </w:r>
      <w:r>
        <w:rPr>
          <w:rFonts w:hint="eastAsia"/>
          <w:szCs w:val="32"/>
        </w:rPr>
        <w:t>12</w:t>
      </w:r>
      <w:r>
        <w:rPr>
          <w:szCs w:val="32"/>
        </w:rPr>
        <w:t>月</w:t>
      </w:r>
      <w:r>
        <w:rPr>
          <w:rFonts w:hint="eastAsia"/>
          <w:szCs w:val="32"/>
        </w:rPr>
        <w:t>28</w:t>
      </w:r>
      <w:r>
        <w:rPr>
          <w:szCs w:val="32"/>
        </w:rPr>
        <w:t>日，类型：股份有限</w:t>
      </w:r>
      <w:r>
        <w:rPr>
          <w:rFonts w:hint="eastAsia"/>
          <w:szCs w:val="32"/>
        </w:rPr>
        <w:t>公司</w:t>
      </w:r>
      <w:r>
        <w:rPr>
          <w:szCs w:val="32"/>
        </w:rPr>
        <w:t>分公司，营业期限：长期，住所</w:t>
      </w:r>
      <w:r>
        <w:rPr>
          <w:rFonts w:hint="eastAsia"/>
          <w:szCs w:val="32"/>
          <w:lang w:eastAsia="zh-CN"/>
        </w:rPr>
        <w:t>：</w:t>
      </w:r>
      <w:r>
        <w:rPr>
          <w:szCs w:val="32"/>
        </w:rPr>
        <w:t>新疆克拉玛依市迎宾大道</w:t>
      </w:r>
      <w:r>
        <w:rPr>
          <w:rFonts w:hint="eastAsia"/>
          <w:szCs w:val="32"/>
        </w:rPr>
        <w:t>36号</w:t>
      </w:r>
      <w:r>
        <w:rPr>
          <w:szCs w:val="32"/>
        </w:rPr>
        <w:t>，负责人：</w:t>
      </w:r>
      <w:r>
        <w:rPr>
          <w:rFonts w:hint="eastAsia"/>
          <w:szCs w:val="32"/>
        </w:rPr>
        <w:t>方庆</w:t>
      </w:r>
      <w:r>
        <w:rPr>
          <w:szCs w:val="32"/>
        </w:rPr>
        <w:t>，经营范围：陆上石油、天然气勘查、生产、销售；炼油、石油石化、化工产品的生产、销售；石油天然气及其产品管道运输、仓储、中转；质检技术服务。</w:t>
      </w:r>
      <w:r>
        <w:rPr>
          <w:rFonts w:hint="eastAsia" w:ascii="仿宋_GB2312"/>
          <w:szCs w:val="32"/>
        </w:rPr>
        <w:t>安全许可证编号：（新）SY安许证（2023）284号，许可范围：陆上采油（气）、井下作业，有效期：2023年9月26日至2026年7月24日。</w:t>
      </w:r>
      <w:r>
        <w:rPr>
          <w:rFonts w:hint="eastAsia"/>
          <w:szCs w:val="32"/>
        </w:rPr>
        <w:t>现有员工近3.1万人，设置有12个机关部门6个直属机构，36个二级单位。</w:t>
      </w:r>
    </w:p>
    <w:p w14:paraId="7A70EEFD">
      <w:pPr>
        <w:ind w:firstLine="643"/>
        <w:rPr>
          <w:rFonts w:ascii="仿宋_GB2312"/>
          <w:b/>
          <w:bCs/>
          <w:szCs w:val="32"/>
        </w:rPr>
      </w:pPr>
      <w:r>
        <w:rPr>
          <w:rFonts w:hint="eastAsia"/>
          <w:b/>
          <w:bCs/>
          <w:szCs w:val="32"/>
        </w:rPr>
        <w:t>2.</w:t>
      </w:r>
      <w:r>
        <w:rPr>
          <w:rFonts w:hint="eastAsia" w:ascii="仿宋_GB2312"/>
          <w:b/>
          <w:bCs/>
          <w:szCs w:val="32"/>
        </w:rPr>
        <w:t>中国石油天然气股份有限公司新疆油田分公司风城油田作业区（以下简称风城油田作业区）</w:t>
      </w:r>
    </w:p>
    <w:p w14:paraId="14969816">
      <w:pPr>
        <w:widowControl/>
        <w:tabs>
          <w:tab w:val="right" w:leader="dot" w:pos="8306"/>
        </w:tabs>
        <w:ind w:firstLine="640"/>
        <w:rPr>
          <w:rFonts w:ascii="仿宋_GB2312"/>
          <w:szCs w:val="32"/>
        </w:rPr>
      </w:pPr>
      <w:r>
        <w:rPr>
          <w:rFonts w:hint="eastAsia" w:ascii="仿宋_GB2312"/>
          <w:szCs w:val="32"/>
        </w:rPr>
        <w:t>中国石油天然气股份有限公司新疆油田分公司风城油田作业区</w:t>
      </w:r>
      <w:r>
        <w:rPr>
          <w:rFonts w:hint="eastAsia" w:ascii="仿宋_GB2312" w:cs="宋体"/>
          <w:szCs w:val="32"/>
        </w:rPr>
        <w:t>是新疆油田公司二级单位，</w:t>
      </w:r>
      <w:r>
        <w:rPr>
          <w:rFonts w:hint="eastAsia" w:ascii="仿宋_GB2312"/>
          <w:szCs w:val="32"/>
        </w:rPr>
        <w:t>成立于2007年12月6日，住所：克拉玛依市乌尔禾区柳树街街道18号，主要负责人：吕其军，负责准噶尔盆地西北缘东段乌尔禾、夏子街、风城3个油田的开发和管理，辖区范围1100平方公里，下设机关科室11个、直属单位4个、基层单位14个、科研研究单位3个，在岗员工2333人。安全许可证编号：（新）SY安许证（2023）283号，许可范围：陆上采油（气），有效期：2023年7月25日至2026年7月24日。</w:t>
      </w:r>
    </w:p>
    <w:p w14:paraId="12DC5578">
      <w:pPr>
        <w:ind w:firstLine="643"/>
        <w:rPr>
          <w:rFonts w:ascii="仿宋_GB2312"/>
          <w:b/>
          <w:bCs/>
          <w:szCs w:val="32"/>
        </w:rPr>
      </w:pPr>
      <w:r>
        <w:rPr>
          <w:rFonts w:hint="eastAsia" w:ascii="仿宋_GB2312"/>
          <w:b/>
          <w:bCs/>
          <w:szCs w:val="32"/>
        </w:rPr>
        <w:t>（1）风城油田作业区二号供汽联合站</w:t>
      </w:r>
    </w:p>
    <w:p w14:paraId="68B4992E">
      <w:pPr>
        <w:widowControl/>
        <w:tabs>
          <w:tab w:val="right" w:leader="dot" w:pos="8306"/>
        </w:tabs>
        <w:ind w:firstLine="640"/>
        <w:rPr>
          <w:rFonts w:ascii="仿宋_GB2312"/>
          <w:szCs w:val="32"/>
        </w:rPr>
      </w:pPr>
      <w:r>
        <w:rPr>
          <w:rFonts w:hint="eastAsia" w:ascii="仿宋_GB2312"/>
          <w:szCs w:val="32"/>
        </w:rPr>
        <w:t>二号供汽联合站是风城油田作业区下属基层单位（正科级），成立于2016年5月，现有员工223人，其中干部35人，操作员工188人。联合站共划分重一班组、重十八班组、一号软化水班组、二号软化水班组4个班组。负责重18井区、重1井区、重45井区、重18SAGD薄层、重58井区、重22井区稠油热力开采供汽，共有注汽站25座</w:t>
      </w:r>
      <w:r>
        <w:rPr>
          <w:rFonts w:hint="eastAsia" w:ascii="仿宋_GB2312"/>
          <w:szCs w:val="32"/>
          <w:lang w:eastAsia="zh-CN"/>
        </w:rPr>
        <w:t>（</w:t>
      </w:r>
      <w:r>
        <w:rPr>
          <w:rFonts w:hint="eastAsia" w:ascii="仿宋_GB2312"/>
          <w:szCs w:val="32"/>
        </w:rPr>
        <w:t>含接转注汽站23座，宇澄燃煤注汽站2座</w:t>
      </w:r>
      <w:r>
        <w:rPr>
          <w:rFonts w:hint="eastAsia" w:ascii="仿宋_GB2312"/>
          <w:szCs w:val="32"/>
          <w:lang w:eastAsia="zh-CN"/>
        </w:rPr>
        <w:t>）</w:t>
      </w:r>
      <w:r>
        <w:rPr>
          <w:rFonts w:hint="eastAsia" w:ascii="仿宋_GB2312"/>
          <w:szCs w:val="32"/>
        </w:rPr>
        <w:t>、热采锅炉55台</w:t>
      </w:r>
      <w:r>
        <w:rPr>
          <w:rFonts w:hint="eastAsia" w:ascii="仿宋_GB2312"/>
          <w:szCs w:val="32"/>
          <w:lang w:eastAsia="zh-CN"/>
        </w:rPr>
        <w:t>（</w:t>
      </w:r>
      <w:r>
        <w:rPr>
          <w:rFonts w:hint="eastAsia" w:ascii="仿宋_GB2312"/>
          <w:szCs w:val="32"/>
        </w:rPr>
        <w:t>含 50 吨热采锅炉</w:t>
      </w:r>
      <w:r>
        <w:rPr>
          <w:rFonts w:hint="eastAsia" w:ascii="仿宋_GB2312"/>
          <w:szCs w:val="32"/>
          <w:lang w:val="en-US" w:eastAsia="zh-CN"/>
        </w:rPr>
        <w:t>2</w:t>
      </w:r>
      <w:r>
        <w:rPr>
          <w:rFonts w:hint="eastAsia" w:ascii="仿宋_GB2312"/>
          <w:szCs w:val="32"/>
        </w:rPr>
        <w:t>台，燃煤锅炉</w:t>
      </w:r>
      <w:r>
        <w:rPr>
          <w:rFonts w:hint="eastAsia" w:ascii="仿宋_GB2312"/>
          <w:szCs w:val="32"/>
          <w:lang w:val="en-US" w:eastAsia="zh-CN"/>
        </w:rPr>
        <w:t>4</w:t>
      </w:r>
      <w:r>
        <w:rPr>
          <w:rFonts w:hint="eastAsia" w:ascii="仿宋_GB2312"/>
          <w:szCs w:val="32"/>
        </w:rPr>
        <w:t>台</w:t>
      </w:r>
      <w:r>
        <w:rPr>
          <w:rFonts w:hint="eastAsia" w:ascii="仿宋_GB2312"/>
          <w:szCs w:val="32"/>
          <w:lang w:eastAsia="zh-CN"/>
        </w:rPr>
        <w:t>）</w:t>
      </w:r>
      <w:r>
        <w:rPr>
          <w:rFonts w:hint="eastAsia" w:ascii="仿宋_GB2312"/>
          <w:szCs w:val="32"/>
        </w:rPr>
        <w:t>。</w:t>
      </w:r>
    </w:p>
    <w:p w14:paraId="44D7778C">
      <w:pPr>
        <w:pStyle w:val="33"/>
        <w:widowControl w:val="0"/>
        <w:tabs>
          <w:tab w:val="right" w:leader="dot" w:pos="8306"/>
        </w:tabs>
        <w:spacing w:line="560" w:lineRule="exact"/>
        <w:ind w:firstLine="643" w:firstLineChars="200"/>
        <w:jc w:val="both"/>
        <w:rPr>
          <w:rFonts w:ascii="仿宋_GB2312" w:hAnsi="Times New Roman" w:eastAsia="仿宋_GB2312"/>
          <w:b/>
          <w:bCs/>
          <w:kern w:val="2"/>
          <w:sz w:val="32"/>
          <w:szCs w:val="32"/>
        </w:rPr>
      </w:pPr>
      <w:r>
        <w:rPr>
          <w:rFonts w:hint="eastAsia" w:ascii="仿宋_GB2312" w:eastAsia="仿宋_GB2312"/>
          <w:b/>
          <w:bCs/>
          <w:kern w:val="2"/>
          <w:sz w:val="32"/>
          <w:szCs w:val="32"/>
        </w:rPr>
        <w:t>①风城油田作业区二号供汽联合站</w:t>
      </w:r>
      <w:r>
        <w:rPr>
          <w:rFonts w:hint="eastAsia" w:ascii="仿宋_GB2312" w:hAnsi="Times New Roman" w:eastAsia="仿宋_GB2312"/>
          <w:b/>
          <w:bCs/>
          <w:kern w:val="2"/>
          <w:sz w:val="32"/>
          <w:szCs w:val="32"/>
        </w:rPr>
        <w:t>二号供汽联合站重一班组</w:t>
      </w:r>
    </w:p>
    <w:p w14:paraId="0684CCB3">
      <w:pPr>
        <w:pStyle w:val="33"/>
        <w:widowControl w:val="0"/>
        <w:tabs>
          <w:tab w:val="right" w:leader="dot" w:pos="8306"/>
        </w:tabs>
        <w:spacing w:line="560" w:lineRule="exact"/>
        <w:ind w:firstLine="640" w:firstLineChars="200"/>
        <w:jc w:val="both"/>
        <w:rPr>
          <w:rFonts w:ascii="仿宋_GB2312" w:hAnsi="方正仿宋简体" w:eastAsia="仿宋_GB2312" w:cs="方正仿宋简体"/>
          <w:sz w:val="32"/>
          <w:szCs w:val="32"/>
        </w:rPr>
      </w:pPr>
      <w:r>
        <w:rPr>
          <w:rFonts w:hint="eastAsia" w:ascii="仿宋_GB2312" w:hAnsi="方正仿宋简体" w:eastAsia="仿宋_GB2312" w:cs="方正仿宋简体"/>
          <w:sz w:val="32"/>
          <w:szCs w:val="32"/>
        </w:rPr>
        <w:t>二号供汽联合站重一班组成立于2019年1月，现有员工40名，其中班长1人，副班长3人，操作工36人，管辖28台过热锅炉，主要给风城SAGD一号采油站、风城SAGD二号采油站、风城采油三站油井供汽。</w:t>
      </w:r>
    </w:p>
    <w:p w14:paraId="45CC8210">
      <w:pPr>
        <w:pStyle w:val="3"/>
        <w:ind w:firstLine="640"/>
        <w:rPr>
          <w:kern w:val="2"/>
        </w:rPr>
      </w:pPr>
      <w:bookmarkStart w:id="8" w:name="_Toc171529899"/>
      <w:r>
        <w:rPr>
          <w:rFonts w:hint="eastAsia"/>
          <w:kern w:val="2"/>
        </w:rPr>
        <w:t>（二）事故发生相关项目情况</w:t>
      </w:r>
      <w:bookmarkEnd w:id="8"/>
    </w:p>
    <w:p w14:paraId="0C8D70C4">
      <w:pPr>
        <w:ind w:firstLine="640"/>
        <w:rPr>
          <w:rFonts w:ascii="仿宋_GB2312" w:hAnsi="Cambria"/>
          <w:bCs/>
          <w:kern w:val="2"/>
          <w:szCs w:val="32"/>
        </w:rPr>
      </w:pPr>
      <w:r>
        <w:rPr>
          <w:rFonts w:hint="eastAsia" w:ascii="仿宋_GB2312" w:hAnsi="Cambria"/>
          <w:bCs/>
          <w:kern w:val="2"/>
          <w:szCs w:val="32"/>
        </w:rPr>
        <w:t>1.风城油田作业区二号供汽联合站重1SAGD-1#接转站情况</w:t>
      </w:r>
    </w:p>
    <w:p w14:paraId="21F1EA63">
      <w:pPr>
        <w:ind w:firstLine="640"/>
        <w:rPr>
          <w:rFonts w:ascii="仿宋_GB2312" w:hAnsi="Cambria"/>
          <w:bCs/>
          <w:kern w:val="2"/>
          <w:szCs w:val="32"/>
        </w:rPr>
      </w:pPr>
      <w:r>
        <w:rPr>
          <w:rFonts w:hint="eastAsia" w:ascii="仿宋_GB2312" w:hAnsi="Cambria"/>
          <w:bCs/>
          <w:kern w:val="2"/>
          <w:szCs w:val="32"/>
        </w:rPr>
        <w:t>该站设有四间砖混房屋、箱式开关站、天然气过滤器、变压器、两台供汽锅炉。房屋分为油料间、值班室、会议室、材料间四间。</w:t>
      </w:r>
    </w:p>
    <w:p w14:paraId="6C380340">
      <w:pPr>
        <w:ind w:firstLine="640"/>
        <w:rPr>
          <w:rFonts w:ascii="仿宋_GB2312" w:hAnsi="Cambria"/>
          <w:bCs/>
          <w:kern w:val="2"/>
          <w:szCs w:val="32"/>
        </w:rPr>
      </w:pPr>
      <w:r>
        <w:rPr>
          <w:rFonts w:hint="eastAsia" w:ascii="仿宋_GB2312" w:hAnsi="Cambria"/>
          <w:bCs/>
          <w:kern w:val="2"/>
          <w:szCs w:val="32"/>
        </w:rPr>
        <w:t>值班室内有计量控制柜、网络机柜、办公桌椅、资料柜，重1SAGD-1#接转站计量控制柜由沈阳工业大学制造，出厂时间为2013年7月，投产日期为2014年7月，设备型号XTG-XTJL-01，用于重1SAGD-1#、重1SAGD-2#、重1SAGD-3#管汇数据采集、计量。</w:t>
      </w:r>
    </w:p>
    <w:p w14:paraId="435E9703">
      <w:pPr>
        <w:ind w:firstLine="640"/>
        <w:rPr>
          <w:rFonts w:ascii="仿宋_GB2312" w:hAnsi="Cambria"/>
          <w:bCs/>
          <w:kern w:val="2"/>
          <w:szCs w:val="32"/>
        </w:rPr>
      </w:pPr>
      <w:r>
        <w:rPr>
          <w:rFonts w:hint="eastAsia" w:ascii="仿宋_GB2312" w:hAnsi="Cambria"/>
          <w:bCs/>
          <w:kern w:val="2"/>
          <w:szCs w:val="32"/>
        </w:rPr>
        <w:t>重1SAGD-1#接转站网络机柜包含工控、视频及办公交换机三台，投用日期分别为2021年5月、2016年5月、2017年8月，品牌型号均为华为5700系列网络设备，主要用于重1SAGD-1#接转站，重1SAGD-1#、2#过热注汽锅炉，重1SAGD-1#、重1SAGD-2#、重1SAGD-3#管汇的生产数据、视频监控及办公网络传输。</w:t>
      </w:r>
    </w:p>
    <w:p w14:paraId="5A9FA174">
      <w:pPr>
        <w:ind w:firstLine="640"/>
        <w:rPr>
          <w:rFonts w:ascii="仿宋_GB2312" w:hAnsi="Cambria"/>
          <w:bCs/>
          <w:kern w:val="2"/>
          <w:szCs w:val="32"/>
        </w:rPr>
      </w:pPr>
      <w:r>
        <w:rPr>
          <w:rFonts w:hint="eastAsia" w:ascii="仿宋_GB2312" w:hAnsi="Cambria"/>
          <w:bCs/>
          <w:kern w:val="2"/>
          <w:szCs w:val="32"/>
        </w:rPr>
        <w:t>重1SAGD-1#、2#过热注汽锅炉，由中国石油天然气第八建设有限公司制造，出厂时间为2012年7月，设计使用年限15年，安装单位是新疆油建公司。设备参数：型号YZG22.5-14/360-G，额定蒸发量22.5t/h，额定工作压力14MPa，额定蒸汽温度360℃，热效率88%，燃烧器型号EBR 10M，厂家ENERGY。两台过热注汽锅炉于2012年12月投产，主要给风城SAGD一号采油站油井供汽。两台过热注汽锅炉于2021年开展降吨位改造，改造后额定蒸发量变更为19.5t/h。事发前24小时内，两台过热注汽锅炉天然气来气压力稳定于0.4MPa，平均水量18.7t/h，天然气流量1060-1100m3/h。</w:t>
      </w:r>
    </w:p>
    <w:p w14:paraId="19A88EF1">
      <w:pPr>
        <w:ind w:firstLine="640"/>
        <w:rPr>
          <w:rFonts w:ascii="仿宋_GB2312" w:hAnsi="Cambria"/>
          <w:bCs/>
          <w:kern w:val="2"/>
          <w:szCs w:val="32"/>
        </w:rPr>
      </w:pPr>
      <w:r>
        <w:rPr>
          <w:rFonts w:hint="eastAsia" w:ascii="仿宋_GB2312" w:hAnsi="Cambria"/>
          <w:bCs/>
          <w:kern w:val="2"/>
          <w:szCs w:val="32"/>
        </w:rPr>
        <w:t>2.泄漏天然气管道情况</w:t>
      </w:r>
    </w:p>
    <w:p w14:paraId="5770072A">
      <w:pPr>
        <w:ind w:firstLine="640"/>
        <w:rPr>
          <w:rFonts w:ascii="仿宋_GB2312" w:hAnsi="Cambria"/>
          <w:bCs/>
          <w:kern w:val="2"/>
          <w:szCs w:val="32"/>
        </w:rPr>
      </w:pPr>
      <w:r>
        <w:rPr>
          <w:rFonts w:hint="eastAsia" w:ascii="仿宋_GB2312" w:hAnsi="Cambria"/>
          <w:bCs/>
          <w:kern w:val="2"/>
          <w:szCs w:val="32"/>
        </w:rPr>
        <w:t>该站天然气管线由东向西走向，布置于锅炉房与重1SAGD-1#接转站中间（距锅炉房约7m，距重1SAGD-1#接转站约6m），长度84m，埋深1.4m，距离电缆沟垂直距离0.43m；锅炉房及值班室电缆沟呈工字形布局，电缆沟与锅炉房及值班室连通处已做填埋封堵处理，1#与2#锅炉电缆沟进口处填埋封堵。供汽锅炉天然气管线总线DN150，支线DN80，设计承压1.6MPa，材质为20碳钢，依据《特种设备安全监察条例》属于特种设备</w:t>
      </w:r>
      <w:r>
        <w:rPr>
          <w:rFonts w:ascii="仿宋_GB2312" w:hAnsi="宋体" w:cs="宋体"/>
          <w:vertAlign w:val="superscript"/>
        </w:rPr>
        <w:t>[</w:t>
      </w:r>
      <w:r>
        <w:rPr>
          <w:rFonts w:ascii="仿宋_GB2312" w:hAnsi="宋体" w:cs="宋体"/>
          <w:vertAlign w:val="superscript"/>
        </w:rPr>
        <w:footnoteReference w:id="0"/>
      </w:r>
      <w:r>
        <w:rPr>
          <w:rFonts w:ascii="仿宋_GB2312" w:hAnsi="宋体" w:cs="宋体"/>
          <w:vertAlign w:val="superscript"/>
        </w:rPr>
        <w:t>]</w:t>
      </w:r>
      <w:r>
        <w:rPr>
          <w:rFonts w:hint="eastAsia" w:ascii="仿宋_GB2312" w:hAnsi="Cambria"/>
          <w:bCs/>
          <w:kern w:val="2"/>
          <w:szCs w:val="32"/>
        </w:rPr>
        <w:t>，于2012年12月29日投用。</w:t>
      </w:r>
    </w:p>
    <w:p w14:paraId="02880875">
      <w:pPr>
        <w:pStyle w:val="3"/>
        <w:ind w:firstLine="640"/>
        <w:rPr>
          <w:kern w:val="2"/>
        </w:rPr>
      </w:pPr>
      <w:bookmarkStart w:id="9" w:name="_Toc171529900"/>
      <w:r>
        <w:rPr>
          <w:rFonts w:hint="eastAsia"/>
          <w:kern w:val="2"/>
        </w:rPr>
        <w:t>（三）事故发生单位安全管理情况</w:t>
      </w:r>
      <w:bookmarkEnd w:id="9"/>
    </w:p>
    <w:p w14:paraId="0E5A0BA1">
      <w:pPr>
        <w:ind w:firstLine="643"/>
        <w:rPr>
          <w:rFonts w:ascii="仿宋_GB2312" w:hAnsi="Cambria"/>
          <w:b/>
          <w:bCs/>
          <w:kern w:val="2"/>
          <w:szCs w:val="32"/>
        </w:rPr>
      </w:pPr>
      <w:r>
        <w:rPr>
          <w:rFonts w:hint="eastAsia" w:ascii="仿宋_GB2312" w:hAnsi="Cambria"/>
          <w:b/>
          <w:bCs/>
          <w:kern w:val="2"/>
          <w:szCs w:val="32"/>
        </w:rPr>
        <w:t>1.安全管理机构及人员</w:t>
      </w:r>
    </w:p>
    <w:p w14:paraId="552C24A8">
      <w:pPr>
        <w:ind w:firstLine="640"/>
        <w:rPr>
          <w:rFonts w:ascii="仿宋_GB2312" w:hAnsi="Cambria"/>
          <w:bCs/>
          <w:kern w:val="2"/>
          <w:szCs w:val="32"/>
        </w:rPr>
      </w:pPr>
      <w:r>
        <w:rPr>
          <w:rFonts w:hint="eastAsia" w:ascii="仿宋_GB2312" w:hAnsi="Cambria"/>
          <w:bCs/>
          <w:kern w:val="2"/>
          <w:szCs w:val="32"/>
        </w:rPr>
        <w:t xml:space="preserve">风城油田作业区设有专职安全管理人员40人，其中安全总监1名，安全副总监1名，其他专职安全管理人员38人，设置质量安全环保科作为专职安全管理部门，符合《中华人民共和国安全生产法》（中华人民共和国主席令第八十八号）“第二十四条矿山应当设置安全生产管理机构或者配备专职安全生产管理人员”的要求。 </w:t>
      </w:r>
    </w:p>
    <w:p w14:paraId="1B47D047">
      <w:pPr>
        <w:ind w:firstLine="643"/>
        <w:rPr>
          <w:rFonts w:ascii="仿宋_GB2312" w:hAnsi="Cambria"/>
          <w:b/>
          <w:bCs/>
          <w:kern w:val="2"/>
          <w:szCs w:val="32"/>
        </w:rPr>
      </w:pPr>
      <w:r>
        <w:rPr>
          <w:rFonts w:hint="eastAsia" w:ascii="仿宋_GB2312" w:hAnsi="Cambria"/>
          <w:b/>
          <w:bCs/>
          <w:kern w:val="2"/>
          <w:szCs w:val="32"/>
        </w:rPr>
        <w:t>2.安全管理制度</w:t>
      </w:r>
    </w:p>
    <w:p w14:paraId="431440E8">
      <w:pPr>
        <w:ind w:firstLine="640"/>
        <w:rPr>
          <w:rFonts w:ascii="仿宋_GB2312" w:hAnsi="Cambria"/>
          <w:bCs/>
          <w:kern w:val="2"/>
          <w:szCs w:val="32"/>
        </w:rPr>
      </w:pPr>
      <w:r>
        <w:rPr>
          <w:rFonts w:hint="eastAsia" w:ascii="仿宋_GB2312" w:hAnsi="Cambria"/>
          <w:bCs/>
          <w:kern w:val="2"/>
          <w:szCs w:val="32"/>
        </w:rPr>
        <w:t>风城油田作业区组织制定了24项安全管理制度，包括《风城油田作业区安全生产管理规定》《风城油田作业区HSE监督管理办法》《风城油田作业区HSE奖励办法》《风城油田作业区安全环保事故隐患管理规定》《风城油田作业区设备操作规程管理办法》等制度和《风城油田作业区操作规程汇编》，编制了《风城油田作业区全员安全生产责任清单》，符合《中华人民共和国安全生产法》（中华人民共和国主席令第八十八号）要求。</w:t>
      </w:r>
    </w:p>
    <w:p w14:paraId="2B98574E">
      <w:pPr>
        <w:ind w:firstLine="643"/>
        <w:rPr>
          <w:rFonts w:ascii="仿宋_GB2312" w:hAnsi="Cambria"/>
          <w:b/>
          <w:bCs/>
          <w:kern w:val="2"/>
          <w:szCs w:val="32"/>
        </w:rPr>
      </w:pPr>
      <w:r>
        <w:rPr>
          <w:rFonts w:hint="eastAsia" w:ascii="仿宋_GB2312" w:hAnsi="Cambria"/>
          <w:b/>
          <w:bCs/>
          <w:kern w:val="2"/>
          <w:szCs w:val="32"/>
        </w:rPr>
        <w:t>3.风险防控</w:t>
      </w:r>
    </w:p>
    <w:p w14:paraId="52606851">
      <w:pPr>
        <w:ind w:firstLine="640"/>
        <w:rPr>
          <w:rFonts w:ascii="仿宋_GB2312" w:hAnsi="Cambria"/>
          <w:bCs/>
          <w:kern w:val="2"/>
          <w:szCs w:val="32"/>
        </w:rPr>
      </w:pPr>
      <w:r>
        <w:rPr>
          <w:rFonts w:hint="eastAsia" w:ascii="仿宋_GB2312" w:hAnsi="Cambria"/>
          <w:bCs/>
          <w:kern w:val="2"/>
          <w:szCs w:val="32"/>
        </w:rPr>
        <w:t>风险辨识和防控措施制定不到位。依据《中华人民共和国特种设备安全法》第三十九条</w:t>
      </w:r>
      <w:r>
        <w:rPr>
          <w:rFonts w:ascii="仿宋_GB2312" w:hAnsi="宋体" w:cs="宋体"/>
          <w:vertAlign w:val="superscript"/>
        </w:rPr>
        <w:t>[</w:t>
      </w:r>
      <w:r>
        <w:rPr>
          <w:rFonts w:ascii="仿宋_GB2312" w:hAnsi="宋体" w:cs="宋体"/>
          <w:vertAlign w:val="superscript"/>
        </w:rPr>
        <w:footnoteReference w:id="1"/>
      </w:r>
      <w:r>
        <w:rPr>
          <w:rFonts w:ascii="仿宋_GB2312" w:hAnsi="宋体" w:cs="宋体"/>
          <w:vertAlign w:val="superscript"/>
        </w:rPr>
        <w:t>]</w:t>
      </w:r>
      <w:r>
        <w:rPr>
          <w:rFonts w:hint="eastAsia" w:ascii="仿宋_GB2312" w:hAnsi="宋体" w:cs="宋体"/>
        </w:rPr>
        <w:t>。</w:t>
      </w:r>
      <w:r>
        <w:rPr>
          <w:rFonts w:hint="eastAsia" w:ascii="仿宋_GB2312" w:hAnsi="Cambria"/>
          <w:bCs/>
          <w:kern w:val="2"/>
          <w:szCs w:val="32"/>
        </w:rPr>
        <w:t>风城油田作业区对涉事故管道风险隐患没有制定行之有效的监管、防控措施，自该管线投入使用至今从未对事故管线进行检测、维修、保养。</w:t>
      </w:r>
    </w:p>
    <w:p w14:paraId="43295BC6">
      <w:pPr>
        <w:ind w:firstLine="643"/>
        <w:rPr>
          <w:rFonts w:ascii="仿宋_GB2312" w:hAnsi="Cambria"/>
          <w:b/>
          <w:bCs/>
          <w:kern w:val="2"/>
          <w:szCs w:val="32"/>
        </w:rPr>
      </w:pPr>
      <w:r>
        <w:rPr>
          <w:rFonts w:hint="eastAsia" w:ascii="仿宋_GB2312" w:hAnsi="Cambria"/>
          <w:b/>
          <w:bCs/>
          <w:kern w:val="2"/>
          <w:szCs w:val="32"/>
        </w:rPr>
        <w:t>4.应急处置预案</w:t>
      </w:r>
    </w:p>
    <w:p w14:paraId="091397DA">
      <w:pPr>
        <w:ind w:firstLine="640"/>
        <w:rPr>
          <w:rFonts w:ascii="仿宋_GB2312" w:hAnsi="Cambria"/>
          <w:bCs/>
          <w:kern w:val="2"/>
          <w:szCs w:val="32"/>
        </w:rPr>
      </w:pPr>
      <w:r>
        <w:rPr>
          <w:rFonts w:hint="eastAsia" w:ascii="仿宋_GB2312" w:hAnsi="Cambria"/>
          <w:bCs/>
          <w:kern w:val="2"/>
          <w:szCs w:val="32"/>
        </w:rPr>
        <w:t>依据《新疆油田公司安全生产应急预案管理办法》“5.应急预案的评审、发布和备案中5.3.2现场处置预案（方案）、应急处置由基层单位主要负责人批准实施。”，《风城油田作业区安全生产应急管理办法》“3.2预案的审核、发布和备案中3.2.3 各属地单位应急处置方案，依据GB/T29639《生产经营单位生产安全事故应急预案编制导则》进行方案编制，并由本单位组织审核，报作业区应急办公室备案。”的相关要求，风城油田作业区二号供汽联合站于2023年3月更新发布了《新疆油田公司风城油田作业区二号供汽联合站现场处置方案》，包括天然气闪爆（泄漏着火）、人员伤害、配电（电气）系统着火等8项现场处置方案，并向作业区应急办公室报备。</w:t>
      </w:r>
    </w:p>
    <w:p w14:paraId="5257DFD7">
      <w:pPr>
        <w:ind w:firstLine="640"/>
        <w:rPr>
          <w:rFonts w:ascii="仿宋_GB2312" w:hAnsi="Cambria"/>
          <w:bCs/>
          <w:kern w:val="2"/>
          <w:szCs w:val="32"/>
        </w:rPr>
      </w:pPr>
      <w:r>
        <w:rPr>
          <w:rFonts w:hint="eastAsia" w:ascii="仿宋_GB2312" w:hAnsi="Cambria"/>
          <w:bCs/>
          <w:kern w:val="2"/>
          <w:szCs w:val="32"/>
        </w:rPr>
        <w:t>现场处置方案9.1天然气闪爆（泄漏着火）现场处置方案中制定了“事故风险描述、应急工作职责、应急处置、事故报告、注意事项”五项具体内容。9.1.1事故风险描述中明确了“天然气管线、引燃管线在检修、更换仪表、设备设施故障维修或管线严重腐蚀、法兰螺栓松动、法兰密封垫老化等情况下，可能会出现泄漏”的事故风险。9.1.2应急工作职责中确定了五项职责。9.1.3现场处置中明确了“发现者使用可燃气体检测仪检测天然气浓度，确定泄漏点，设置警戒区，关闭该锅炉房外的天然气进口总阀门。”等六方面处置流程。9.1.4 事故报告中明确了“事故发生后，由联合站值班领导向作业区值班领导及相关科室汇报事故信息。”等2项报告流程。9.1.5注意事项中提出“参加火灾事件应急救援行动，严禁救援人员在没有采取防护措施的情况下盲目施救。”等五方面要求。</w:t>
      </w:r>
    </w:p>
    <w:p w14:paraId="41E073CA">
      <w:pPr>
        <w:ind w:firstLine="640"/>
        <w:rPr>
          <w:rFonts w:ascii="仿宋_GB2312" w:hAnsi="Cambria"/>
          <w:bCs/>
          <w:kern w:val="2"/>
          <w:szCs w:val="32"/>
        </w:rPr>
      </w:pPr>
      <w:r>
        <w:rPr>
          <w:rFonts w:hint="eastAsia" w:ascii="仿宋_GB2312" w:hAnsi="Cambria"/>
          <w:bCs/>
          <w:kern w:val="2"/>
          <w:szCs w:val="32"/>
        </w:rPr>
        <w:t>经调查《新疆油田公司风城油田作业区二号供汽联合站现场处置方案》编制发布符合《新疆油田公司安全生产应急预案管理办法》《风城油田作业区安全生产应急管理办法》的要求。</w:t>
      </w:r>
    </w:p>
    <w:p w14:paraId="711F9310">
      <w:pPr>
        <w:tabs>
          <w:tab w:val="left" w:pos="312"/>
        </w:tabs>
        <w:ind w:left="640" w:firstLine="0" w:firstLineChars="0"/>
        <w:rPr>
          <w:rFonts w:ascii="仿宋_GB2312" w:hAnsi="Cambria"/>
          <w:b/>
          <w:bCs/>
          <w:kern w:val="2"/>
          <w:szCs w:val="32"/>
        </w:rPr>
      </w:pPr>
      <w:r>
        <w:rPr>
          <w:rFonts w:hint="eastAsia" w:ascii="仿宋_GB2312" w:hAnsi="Cambria"/>
          <w:b/>
          <w:bCs/>
          <w:kern w:val="2"/>
          <w:szCs w:val="32"/>
        </w:rPr>
        <w:t>5.风城油田作业区对天然气管道监管工作开展情况</w:t>
      </w:r>
    </w:p>
    <w:p w14:paraId="3FA9DF43">
      <w:pPr>
        <w:ind w:firstLine="640"/>
        <w:rPr>
          <w:kern w:val="2"/>
          <w:szCs w:val="24"/>
        </w:rPr>
      </w:pPr>
      <w:r>
        <w:rPr>
          <w:rFonts w:hint="eastAsia"/>
          <w:kern w:val="2"/>
          <w:szCs w:val="24"/>
        </w:rPr>
        <w:t>风城油田作业区天然气管道213条共计136.705km，其中II类天然气管道43条，85.43km，占比20.19%；III类天然气管道170条51.27km，占比79.81%，按照《新疆油田公司管道和站场完整性管理规定》进行分类管理，</w:t>
      </w:r>
      <w:r>
        <w:rPr>
          <w:kern w:val="2"/>
          <w:szCs w:val="24"/>
        </w:rPr>
        <w:t>其中II类天然气管道43条，85.43km，占比20.19%；III类天然气管道170条51.27km，占比79.81%</w:t>
      </w:r>
      <w:r>
        <w:rPr>
          <w:rFonts w:hint="eastAsia"/>
          <w:kern w:val="2"/>
          <w:szCs w:val="24"/>
        </w:rPr>
        <w:t>，</w:t>
      </w:r>
      <w:r>
        <w:rPr>
          <w:kern w:val="2"/>
          <w:szCs w:val="24"/>
        </w:rPr>
        <w:t>近四年已检测天然气管道58.325km，剩余78.38km天然气管道计划于2024年度全部检测评价完成。</w:t>
      </w:r>
    </w:p>
    <w:p w14:paraId="0DD52E89">
      <w:pPr>
        <w:tabs>
          <w:tab w:val="left" w:pos="312"/>
        </w:tabs>
        <w:ind w:left="640" w:firstLine="0" w:firstLineChars="0"/>
        <w:rPr>
          <w:rFonts w:ascii="仿宋_GB2312" w:hAnsi="Cambria"/>
          <w:b/>
          <w:bCs/>
          <w:kern w:val="2"/>
          <w:szCs w:val="32"/>
        </w:rPr>
      </w:pPr>
      <w:r>
        <w:rPr>
          <w:rFonts w:hint="eastAsia" w:ascii="仿宋_GB2312" w:hAnsi="Cambria"/>
          <w:b/>
          <w:bCs/>
          <w:kern w:val="2"/>
          <w:szCs w:val="32"/>
        </w:rPr>
        <w:t>6.重大事故隐患专项排查整治行动工作开展情况</w:t>
      </w:r>
    </w:p>
    <w:p w14:paraId="0BB63BFD">
      <w:pPr>
        <w:ind w:firstLine="640"/>
        <w:rPr>
          <w:rFonts w:ascii="仿宋_GB2312" w:hAnsi="Cambria"/>
          <w:b/>
          <w:bCs/>
          <w:kern w:val="2"/>
          <w:szCs w:val="32"/>
        </w:rPr>
      </w:pPr>
      <w:r>
        <w:rPr>
          <w:rFonts w:hint="eastAsia"/>
          <w:kern w:val="2"/>
          <w:szCs w:val="24"/>
        </w:rPr>
        <w:t>风城油田作业区2023年6月7日召开了重大隐患排查整治启动会，制定发布了《安全生产重大事故隐患专项排查整治2023行动方案》，分为通用排查整治重点和专业排查整治重点共11个方面，涵盖安全生产责任落实、特殊作业许可制度执行、自用燃气等11个方面，</w:t>
      </w:r>
      <w:r>
        <w:rPr>
          <w:rFonts w:hint="eastAsia"/>
          <w:kern w:val="2"/>
          <w:szCs w:val="24"/>
          <w:lang w:eastAsia="zh-CN"/>
        </w:rPr>
        <w:t>截至</w:t>
      </w:r>
      <w:r>
        <w:rPr>
          <w:rFonts w:hint="eastAsia"/>
          <w:kern w:val="2"/>
          <w:szCs w:val="24"/>
        </w:rPr>
        <w:t>2023年9月底共排查发现整改隐患113项，其中重大隐患11项，对需要资金立项整改的消防报警控制器主机迁移、注水井防喷管丝扣断裂、锅炉燃烧器及安全联锁保护装置不满足最新标准要求3项隐患申请资金296.21万元实施了治理。</w:t>
      </w:r>
    </w:p>
    <w:p w14:paraId="184F3AD0">
      <w:pPr>
        <w:pStyle w:val="18"/>
        <w:tabs>
          <w:tab w:val="left" w:pos="312"/>
        </w:tabs>
        <w:ind w:left="640" w:firstLine="0" w:firstLineChars="0"/>
        <w:rPr>
          <w:rFonts w:ascii="仿宋_GB2312" w:hAnsi="Cambria"/>
          <w:b/>
          <w:bCs/>
          <w:szCs w:val="32"/>
        </w:rPr>
      </w:pPr>
      <w:r>
        <w:rPr>
          <w:rFonts w:hint="eastAsia" w:ascii="仿宋_GB2312" w:hAnsi="Cambria"/>
          <w:b/>
          <w:bCs/>
          <w:szCs w:val="32"/>
        </w:rPr>
        <w:t>7.风城油田作业区质量安全环保科安全生产履职情况</w:t>
      </w:r>
    </w:p>
    <w:p w14:paraId="42F89F88">
      <w:pPr>
        <w:pStyle w:val="18"/>
        <w:ind w:firstLine="640"/>
      </w:pPr>
      <w:r>
        <w:rPr>
          <w:rFonts w:hint="eastAsia"/>
        </w:rPr>
        <w:t>质量安全环保科2023年7月10日下达了《风城油田作业区天然气及燃气安全排查整治工作实施方案》，涉及天然气井钻试修、天然气集输处理、天然气特种设备、生活场所燃气、家庭自用燃气五个方面，要求将天然气及燃气安全排查整治工作作为安全生产重大事故隐患专项排查整治的一项重要内容</w:t>
      </w:r>
      <w:r>
        <w:rPr>
          <w:rFonts w:hint="eastAsia"/>
          <w:lang w:eastAsia="zh-CN"/>
        </w:rPr>
        <w:t>，</w:t>
      </w:r>
      <w:r>
        <w:rPr>
          <w:rFonts w:hint="eastAsia"/>
          <w:lang w:val="en-US" w:eastAsia="zh-CN"/>
        </w:rPr>
        <w:t>其间</w:t>
      </w:r>
      <w:r>
        <w:rPr>
          <w:rFonts w:hint="eastAsia"/>
        </w:rPr>
        <w:t>共查处整改锅炉天然气相关隐患11个。</w:t>
      </w:r>
    </w:p>
    <w:p w14:paraId="6F65CA0B">
      <w:pPr>
        <w:ind w:firstLine="643"/>
        <w:rPr>
          <w:rFonts w:ascii="仿宋_GB2312" w:hAnsi="Cambria"/>
          <w:b/>
          <w:bCs/>
          <w:kern w:val="2"/>
          <w:szCs w:val="32"/>
        </w:rPr>
      </w:pPr>
      <w:r>
        <w:rPr>
          <w:rFonts w:hint="eastAsia" w:ascii="仿宋_GB2312" w:hAnsi="Cambria"/>
          <w:b/>
          <w:bCs/>
          <w:kern w:val="2"/>
          <w:szCs w:val="32"/>
        </w:rPr>
        <w:t>8.现场作业情况</w:t>
      </w:r>
    </w:p>
    <w:p w14:paraId="6B43C1F1">
      <w:pPr>
        <w:ind w:firstLine="640"/>
        <w:rPr>
          <w:rFonts w:ascii="仿宋_GB2312" w:hAnsi="Cambria"/>
          <w:bCs/>
          <w:kern w:val="2"/>
          <w:szCs w:val="32"/>
        </w:rPr>
      </w:pPr>
      <w:r>
        <w:rPr>
          <w:rFonts w:hint="eastAsia" w:ascii="仿宋_GB2312" w:hAnsi="Cambria"/>
          <w:bCs/>
          <w:kern w:val="2"/>
          <w:szCs w:val="32"/>
        </w:rPr>
        <w:t>事故发生前，该站共有13人在值班室及会议室用午餐，未进行施工作业。事故发生后，应急救援按照《风城油田作业区综合应急预案》开展了现场救援工作，整体过程符合要求。</w:t>
      </w:r>
    </w:p>
    <w:p w14:paraId="595E1C5C">
      <w:pPr>
        <w:ind w:firstLine="640"/>
        <w:outlineLvl w:val="1"/>
        <w:rPr>
          <w:rFonts w:ascii="Cambria" w:hAnsi="Cambria" w:eastAsia="楷体_GB2312"/>
          <w:bCs/>
          <w:kern w:val="2"/>
          <w:szCs w:val="32"/>
        </w:rPr>
      </w:pPr>
      <w:bookmarkStart w:id="10" w:name="_Toc171529901"/>
      <w:r>
        <w:rPr>
          <w:rFonts w:hint="eastAsia" w:ascii="Cambria" w:hAnsi="Cambria" w:eastAsia="楷体_GB2312"/>
          <w:bCs/>
          <w:kern w:val="2"/>
          <w:szCs w:val="32"/>
        </w:rPr>
        <w:t>（四）监管部门履职情况</w:t>
      </w:r>
      <w:bookmarkEnd w:id="10"/>
    </w:p>
    <w:p w14:paraId="07BE9D6A">
      <w:pPr>
        <w:widowControl/>
        <w:tabs>
          <w:tab w:val="right" w:leader="dot" w:pos="8306"/>
        </w:tabs>
        <w:ind w:firstLine="640"/>
        <w:rPr>
          <w:rFonts w:ascii="仿宋_GB2312"/>
          <w:color w:val="000000"/>
          <w:szCs w:val="32"/>
        </w:rPr>
      </w:pPr>
      <w:r>
        <w:rPr>
          <w:rFonts w:hint="eastAsia" w:ascii="仿宋_GB2312"/>
          <w:color w:val="000000"/>
          <w:szCs w:val="32"/>
        </w:rPr>
        <w:t>1.乌尔禾区应急管理局负责辖区非煤矿山企业安全监管工作，制定《乌尔禾区应急管理局2023年安全生产监督检查工作计划》，全年计划检查重点点位26家次，重点单位（包括风城油田作业区）共7家，实际检查风城油田作业区16次，其中风城油田作业区稀油注输联合站5次、风城油田作业区一号稠油联合处理站5次、风城油田作业区二号稠油联合处理站5次，风城采油三站1次，发现隐患63项，已全部整改完毕，未对风城油田作业区二号供汽联合站开展安全检查，行业监管责任未履行到位。</w:t>
      </w:r>
    </w:p>
    <w:p w14:paraId="00A517E6">
      <w:pPr>
        <w:widowControl/>
        <w:tabs>
          <w:tab w:val="right" w:leader="dot" w:pos="8306"/>
        </w:tabs>
        <w:ind w:firstLine="640"/>
        <w:rPr>
          <w:rFonts w:ascii="仿宋_GB2312"/>
          <w:color w:val="000000"/>
          <w:szCs w:val="32"/>
        </w:rPr>
      </w:pPr>
      <w:r>
        <w:rPr>
          <w:rFonts w:hint="eastAsia" w:ascii="仿宋_GB2312"/>
          <w:color w:val="000000"/>
          <w:szCs w:val="32"/>
        </w:rPr>
        <w:t>2.乌尔禾区市场监督管理局负责辖区特种设备使用企业安全监管工作，2023年制定《2023年乌尔禾区市场监督管理局特种设备常规监督检查计划》，计划检查重点点位12家次，实际检查风城油田作业区7次，共监督管理风城油田作业区特种设备、在用压力容器670台，锅炉85台，电梯1台，起重机械8台，压力管道（注汽工业管道）15条，管道长度约为13km，发现隐患14项，下发特种设备监察指令书5份，全部整改完毕，未将风城油田作业区二号供汽联合站天然气管道纳入特种设备监管范围内，对风城油田作业区特种设备监督管理缺失，特种设备监管责任未履行到位。</w:t>
      </w:r>
    </w:p>
    <w:p w14:paraId="0BE8D6D6">
      <w:pPr>
        <w:pStyle w:val="2"/>
        <w:ind w:firstLine="640"/>
        <w:rPr>
          <w:szCs w:val="32"/>
        </w:rPr>
      </w:pPr>
      <w:bookmarkStart w:id="11" w:name="_Toc171529902"/>
      <w:r>
        <w:rPr>
          <w:rFonts w:hint="eastAsia"/>
        </w:rPr>
        <w:t>二、事故发生经过和事故救援情况</w:t>
      </w:r>
      <w:bookmarkEnd w:id="7"/>
      <w:bookmarkEnd w:id="11"/>
    </w:p>
    <w:p w14:paraId="2C8189CE">
      <w:pPr>
        <w:pStyle w:val="3"/>
        <w:ind w:firstLine="640"/>
        <w:rPr>
          <w:kern w:val="2"/>
        </w:rPr>
      </w:pPr>
      <w:bookmarkStart w:id="12" w:name="_Toc129106670"/>
      <w:bookmarkStart w:id="13" w:name="_Toc171529903"/>
      <w:r>
        <w:rPr>
          <w:rFonts w:hint="eastAsia"/>
          <w:kern w:val="2"/>
        </w:rPr>
        <w:t>（一）事故发生经过</w:t>
      </w:r>
      <w:bookmarkEnd w:id="12"/>
      <w:bookmarkEnd w:id="13"/>
    </w:p>
    <w:p w14:paraId="10D87B86">
      <w:pPr>
        <w:ind w:firstLine="640"/>
      </w:pPr>
      <w:r>
        <w:t>2024年2月17日14时03分，风城油田作业区二号供汽联合站重1 SAGD一号供热站值班室突然发生爆燃，造成值班室内门窗被损坏、房顶部分墙皮脱落，值班室内4名人员受伤，会议室内员工张</w:t>
      </w:r>
      <w:r>
        <w:rPr>
          <w:rFonts w:hint="eastAsia"/>
          <w:lang w:val="en-US" w:eastAsia="zh-CN"/>
        </w:rPr>
        <w:t>XX</w:t>
      </w:r>
      <w:r>
        <w:t>被屋顶掉落墙皮砸伤，5名人员立即撤离事故现场。</w:t>
      </w:r>
      <w:bookmarkStart w:id="14" w:name="_Toc161138254"/>
      <w:bookmarkStart w:id="15" w:name="_Toc129106688"/>
    </w:p>
    <w:p w14:paraId="17F908B8">
      <w:pPr>
        <w:pStyle w:val="3"/>
        <w:ind w:firstLine="640"/>
      </w:pPr>
      <w:bookmarkStart w:id="16" w:name="_Toc171529904"/>
      <w:r>
        <w:rPr>
          <w:rFonts w:hint="eastAsia"/>
        </w:rPr>
        <w:t>（二）事故信息接报情况</w:t>
      </w:r>
      <w:bookmarkEnd w:id="14"/>
      <w:bookmarkEnd w:id="16"/>
    </w:p>
    <w:p w14:paraId="21C9DCD1">
      <w:pPr>
        <w:ind w:firstLine="640"/>
        <w:rPr>
          <w:szCs w:val="22"/>
        </w:rPr>
      </w:pPr>
      <w:r>
        <w:rPr>
          <w:szCs w:val="22"/>
        </w:rPr>
        <w:t>2024</w:t>
      </w:r>
      <w:r>
        <w:rPr>
          <w:rFonts w:hAnsi="Calibri"/>
          <w:szCs w:val="22"/>
        </w:rPr>
        <w:t>年</w:t>
      </w:r>
      <w:r>
        <w:rPr>
          <w:szCs w:val="22"/>
        </w:rPr>
        <w:t>2</w:t>
      </w:r>
      <w:r>
        <w:rPr>
          <w:rFonts w:hAnsi="Calibri"/>
          <w:szCs w:val="22"/>
        </w:rPr>
        <w:t>月</w:t>
      </w:r>
      <w:r>
        <w:rPr>
          <w:szCs w:val="22"/>
        </w:rPr>
        <w:t>17</w:t>
      </w:r>
      <w:r>
        <w:rPr>
          <w:rFonts w:hAnsi="Calibri"/>
          <w:szCs w:val="22"/>
        </w:rPr>
        <w:t>日</w:t>
      </w:r>
      <w:r>
        <w:rPr>
          <w:szCs w:val="22"/>
        </w:rPr>
        <w:t>14:19</w:t>
      </w:r>
      <w:r>
        <w:rPr>
          <w:rFonts w:hAnsi="Calibri"/>
          <w:szCs w:val="22"/>
        </w:rPr>
        <w:t>分许，区应急管理局副局长王</w:t>
      </w:r>
      <w:r>
        <w:rPr>
          <w:rFonts w:hint="eastAsia" w:hAnsi="Calibri"/>
          <w:szCs w:val="22"/>
          <w:lang w:val="en-US" w:eastAsia="zh-CN"/>
        </w:rPr>
        <w:t>XX</w:t>
      </w:r>
      <w:r>
        <w:rPr>
          <w:rFonts w:hAnsi="Calibri"/>
          <w:szCs w:val="22"/>
        </w:rPr>
        <w:t>接到</w:t>
      </w:r>
      <w:r>
        <w:rPr>
          <w:szCs w:val="32"/>
        </w:rPr>
        <w:t>区公安分局情报指挥中心通知，风城油田作业区二号供汽联合站重1 SAGD一号供热站值班室突然发生爆燃，随后报告区当日值班领导及相关部门，15时40分许，区应急管理局当日值班人员武</w:t>
      </w:r>
      <w:r>
        <w:rPr>
          <w:rFonts w:hint="eastAsia"/>
          <w:szCs w:val="32"/>
          <w:lang w:val="en-US" w:eastAsia="zh-CN"/>
        </w:rPr>
        <w:t>XX</w:t>
      </w:r>
      <w:r>
        <w:rPr>
          <w:szCs w:val="32"/>
        </w:rPr>
        <w:t>通过办公平台向市应急管理局信息员报送事故信息，16时41分许，区应急管理局武</w:t>
      </w:r>
      <w:r>
        <w:rPr>
          <w:rFonts w:hint="eastAsia"/>
          <w:szCs w:val="32"/>
          <w:lang w:val="en-US" w:eastAsia="zh-CN"/>
        </w:rPr>
        <w:t>XX</w:t>
      </w:r>
      <w:r>
        <w:rPr>
          <w:szCs w:val="32"/>
        </w:rPr>
        <w:t>通过平台向市应急管理局信息员续报事故信息。</w:t>
      </w:r>
    </w:p>
    <w:p w14:paraId="122ACACC">
      <w:pPr>
        <w:pStyle w:val="3"/>
        <w:ind w:firstLine="640"/>
        <w:rPr>
          <w:rFonts w:eastAsia="仿宋_GB2312"/>
        </w:rPr>
      </w:pPr>
      <w:bookmarkStart w:id="17" w:name="_Toc171529905"/>
      <w:r>
        <w:rPr>
          <w:rFonts w:hint="eastAsia"/>
          <w:kern w:val="2"/>
        </w:rPr>
        <w:t>（三）事故应急救援情况</w:t>
      </w:r>
      <w:bookmarkEnd w:id="15"/>
      <w:bookmarkEnd w:id="17"/>
      <w:bookmarkStart w:id="18" w:name="_Toc129106689"/>
    </w:p>
    <w:p w14:paraId="38A1F2FF">
      <w:pPr>
        <w:pStyle w:val="4"/>
        <w:ind w:firstLine="643"/>
        <w:rPr>
          <w:rFonts w:ascii="仿宋_GB2312" w:hAnsi="方正仿宋简体" w:eastAsia="仿宋_GB2312" w:cs="方正仿宋简体"/>
          <w:b/>
          <w:szCs w:val="32"/>
        </w:rPr>
      </w:pPr>
      <w:r>
        <w:rPr>
          <w:rFonts w:hint="eastAsia" w:ascii="仿宋_GB2312" w:hAnsi="方正仿宋简体" w:eastAsia="仿宋_GB2312" w:cs="方正仿宋简体"/>
          <w:b/>
          <w:szCs w:val="32"/>
        </w:rPr>
        <w:t>1.企业自救情况</w:t>
      </w:r>
    </w:p>
    <w:p w14:paraId="2DCD94B5">
      <w:pPr>
        <w:ind w:firstLine="640"/>
      </w:pPr>
      <w:r>
        <w:rPr>
          <w:rFonts w:hint="eastAsia"/>
        </w:rPr>
        <w:t>14时08分，风城油田作业区员工艾力</w:t>
      </w:r>
      <w:r>
        <w:rPr>
          <w:rFonts w:hint="eastAsia"/>
          <w:lang w:val="en-US" w:eastAsia="zh-CN"/>
        </w:rPr>
        <w:t>XXX</w:t>
      </w:r>
      <w:r>
        <w:rPr>
          <w:rFonts w:hint="eastAsia"/>
        </w:rPr>
        <w:t>拨打120（三警合一指挥调度中心），两辆值班车（新JN1531、J58710）将5名伤者送往克拉玛依市第三人民医院；14时20分，风城油田作业区现场人员将值班室内明火扑灭；14时25分，5名伤者送达克拉玛依市第三人民医院进行简单处理；14时35分，克拉玛依市第三人民医院将5名受伤人员送往克拉玛依市中心医院；15时10分，作业区党委书记、经理吕</w:t>
      </w:r>
      <w:r>
        <w:rPr>
          <w:rFonts w:hint="eastAsia"/>
          <w:lang w:val="en-US" w:eastAsia="zh-CN"/>
        </w:rPr>
        <w:t>XX</w:t>
      </w:r>
      <w:r>
        <w:rPr>
          <w:rFonts w:hint="eastAsia"/>
        </w:rPr>
        <w:t>到达克拉玛依市中心医院，与医院进行对接，等待受伤人员；15时40分，受伤人员转送至克拉玛依市中心医院进行住院治疗。</w:t>
      </w:r>
    </w:p>
    <w:p w14:paraId="00C5081E">
      <w:pPr>
        <w:pStyle w:val="4"/>
        <w:ind w:firstLine="643"/>
        <w:rPr>
          <w:rFonts w:ascii="仿宋_GB2312" w:hAnsi="方正仿宋简体" w:eastAsia="仿宋_GB2312" w:cs="方正仿宋简体"/>
          <w:b/>
          <w:szCs w:val="32"/>
        </w:rPr>
      </w:pPr>
      <w:r>
        <w:rPr>
          <w:rFonts w:hint="eastAsia" w:ascii="仿宋_GB2312" w:hAnsi="方正仿宋简体" w:eastAsia="仿宋_GB2312" w:cs="方正仿宋简体"/>
          <w:b/>
          <w:szCs w:val="32"/>
        </w:rPr>
        <w:t>2.有关部门处置情况</w:t>
      </w:r>
    </w:p>
    <w:p w14:paraId="5E3E58F0">
      <w:pPr>
        <w:ind w:firstLine="640"/>
      </w:pPr>
      <w:r>
        <w:rPr>
          <w:rFonts w:hint="eastAsia"/>
        </w:rPr>
        <w:t>14时12分区消防救援大队接到120转警，安排3车15人前往现场，14时57分到达现场进行现场勘查。</w:t>
      </w:r>
    </w:p>
    <w:p w14:paraId="294BA31A">
      <w:pPr>
        <w:ind w:firstLine="640"/>
      </w:pPr>
      <w:r>
        <w:t>14时13分区公安分局情报指挥中心接到风城油田作业区二号供汽联合站现场员工艾力</w:t>
      </w:r>
      <w:r>
        <w:rPr>
          <w:rFonts w:hint="eastAsia"/>
          <w:lang w:val="en-US" w:eastAsia="zh-CN"/>
        </w:rPr>
        <w:t>XXX</w:t>
      </w:r>
      <w:r>
        <w:t>报警</w:t>
      </w:r>
      <w:r>
        <w:rPr>
          <w:rFonts w:hint="eastAsia"/>
        </w:rPr>
        <w:t>，“风城油田作业区二号供汽联合站重一班组配电箱爆炸，有人被炸伤，需要交警开道”，指挥中心派遣乌尔禾派出所、巡逻大队、交警大队、综合办案大队赶赴事发现场，出警处置。约14时40分许，巡逻防控大队大队长刘</w:t>
      </w:r>
      <w:r>
        <w:rPr>
          <w:rFonts w:hint="eastAsia"/>
          <w:lang w:val="en-US" w:eastAsia="zh-CN"/>
        </w:rPr>
        <w:t>XX</w:t>
      </w:r>
      <w:r>
        <w:rPr>
          <w:rFonts w:hint="eastAsia"/>
        </w:rPr>
        <w:t>，交警大队大队长闫</w:t>
      </w:r>
      <w:r>
        <w:rPr>
          <w:rFonts w:hint="eastAsia"/>
          <w:lang w:val="en-US" w:eastAsia="zh-CN"/>
        </w:rPr>
        <w:t>XX</w:t>
      </w:r>
      <w:r>
        <w:rPr>
          <w:rFonts w:hint="eastAsia"/>
        </w:rPr>
        <w:t>等警力到达现场后进行人员警戒。</w:t>
      </w:r>
    </w:p>
    <w:p w14:paraId="72709BD8">
      <w:pPr>
        <w:ind w:firstLine="640"/>
      </w:pPr>
      <w:r>
        <w:t>14时19分区应急管理局王</w:t>
      </w:r>
      <w:r>
        <w:rPr>
          <w:rFonts w:hint="eastAsia"/>
          <w:lang w:val="en-US" w:eastAsia="zh-CN"/>
        </w:rPr>
        <w:t>XX</w:t>
      </w:r>
      <w:r>
        <w:t>接到区公安分局情报指挥中心通知</w:t>
      </w:r>
      <w:r>
        <w:rPr>
          <w:rFonts w:hint="eastAsia"/>
        </w:rPr>
        <w:t>，14时20分王</w:t>
      </w:r>
      <w:r>
        <w:rPr>
          <w:rFonts w:hint="eastAsia"/>
          <w:lang w:val="en-US" w:eastAsia="zh-CN"/>
        </w:rPr>
        <w:t>XX</w:t>
      </w:r>
      <w:r>
        <w:rPr>
          <w:rFonts w:hint="eastAsia"/>
        </w:rPr>
        <w:t>向区应急管理局岳</w:t>
      </w:r>
      <w:r>
        <w:rPr>
          <w:rFonts w:hint="eastAsia"/>
          <w:lang w:val="en-US" w:eastAsia="zh-CN"/>
        </w:rPr>
        <w:t>XX</w:t>
      </w:r>
      <w:r>
        <w:rPr>
          <w:rFonts w:hint="eastAsia"/>
        </w:rPr>
        <w:t>汇报</w:t>
      </w:r>
      <w:r>
        <w:t>；</w:t>
      </w:r>
      <w:r>
        <w:rPr>
          <w:rFonts w:hint="eastAsia"/>
        </w:rPr>
        <w:t>14时21分区应急管理局岳</w:t>
      </w:r>
      <w:r>
        <w:rPr>
          <w:rFonts w:hint="eastAsia"/>
          <w:lang w:val="en-US" w:eastAsia="zh-CN"/>
        </w:rPr>
        <w:t>XX</w:t>
      </w:r>
      <w:r>
        <w:rPr>
          <w:rFonts w:hint="eastAsia"/>
        </w:rPr>
        <w:t>与张</w:t>
      </w:r>
      <w:r>
        <w:rPr>
          <w:rFonts w:hint="eastAsia"/>
          <w:lang w:val="en-US" w:eastAsia="zh-CN"/>
        </w:rPr>
        <w:t>XX</w:t>
      </w:r>
      <w:r>
        <w:rPr>
          <w:rFonts w:hint="eastAsia"/>
        </w:rPr>
        <w:t>前往现场；15时00分岳</w:t>
      </w:r>
      <w:r>
        <w:rPr>
          <w:rFonts w:hint="eastAsia"/>
          <w:lang w:val="en-US" w:eastAsia="zh-CN"/>
        </w:rPr>
        <w:t>XX</w:t>
      </w:r>
      <w:r>
        <w:rPr>
          <w:rFonts w:hint="eastAsia"/>
        </w:rPr>
        <w:t>到达现场向风城油田作业区现场人员进行问询，了解事故情况。</w:t>
      </w:r>
    </w:p>
    <w:bookmarkEnd w:id="18"/>
    <w:p w14:paraId="193574BC">
      <w:pPr>
        <w:ind w:firstLine="640"/>
      </w:pPr>
      <w:bookmarkStart w:id="19" w:name="_Toc129106692"/>
      <w:r>
        <w:rPr>
          <w:rFonts w:hint="eastAsia"/>
        </w:rPr>
        <w:t>接到事故报告后，乌尔禾区立即启动生产安全事故应急预案，区委</w:t>
      </w:r>
      <w:r>
        <w:rPr>
          <w:rFonts w:hint="eastAsia"/>
          <w:lang w:val="en-US" w:eastAsia="zh-CN"/>
        </w:rPr>
        <w:t>领导</w:t>
      </w:r>
      <w:r>
        <w:rPr>
          <w:rFonts w:hint="eastAsia"/>
        </w:rPr>
        <w:t>赶赴事故现场，指挥事故现场救援工作，并要求不惜一切代价救治受伤人员，妥善处理善后事宜</w:t>
      </w:r>
      <w:bookmarkEnd w:id="19"/>
      <w:bookmarkStart w:id="20" w:name="_Toc129106694"/>
      <w:r>
        <w:rPr>
          <w:rFonts w:hint="eastAsia"/>
        </w:rPr>
        <w:t>。</w:t>
      </w:r>
    </w:p>
    <w:p w14:paraId="162CFAD7">
      <w:pPr>
        <w:ind w:firstLine="643"/>
        <w:rPr>
          <w:b/>
        </w:rPr>
      </w:pPr>
      <w:r>
        <w:rPr>
          <w:rFonts w:hint="eastAsia"/>
          <w:b/>
        </w:rPr>
        <w:t>3.伤员救治情况</w:t>
      </w:r>
    </w:p>
    <w:p w14:paraId="2ADB6D1F">
      <w:pPr>
        <w:ind w:firstLine="640"/>
      </w:pPr>
      <w:r>
        <w:rPr>
          <w:rFonts w:hint="eastAsia"/>
        </w:rPr>
        <w:t>事故发生后，风城油田作业区安排两辆值班车（新JN1531、J58710）将5名伤者送往克拉玛依市第三人民医院进行简单处理，15时40分，将受伤人员转送至克拉玛依市中心医院进行住院治疗，张</w:t>
      </w:r>
      <w:r>
        <w:rPr>
          <w:rFonts w:hint="eastAsia"/>
          <w:lang w:val="en-US" w:eastAsia="zh-CN"/>
        </w:rPr>
        <w:t>XX</w:t>
      </w:r>
      <w:r>
        <w:rPr>
          <w:rFonts w:hint="eastAsia"/>
        </w:rPr>
        <w:t>于2月28日出院，彭</w:t>
      </w:r>
      <w:r>
        <w:rPr>
          <w:rFonts w:hint="eastAsia"/>
          <w:lang w:val="en-US" w:eastAsia="zh-CN"/>
        </w:rPr>
        <w:t>XX</w:t>
      </w:r>
      <w:r>
        <w:rPr>
          <w:rFonts w:hint="eastAsia"/>
        </w:rPr>
        <w:t>、于</w:t>
      </w:r>
      <w:r>
        <w:rPr>
          <w:rFonts w:hint="eastAsia"/>
          <w:lang w:val="en-US" w:eastAsia="zh-CN"/>
        </w:rPr>
        <w:t>XX</w:t>
      </w:r>
      <w:r>
        <w:rPr>
          <w:rFonts w:hint="eastAsia"/>
        </w:rPr>
        <w:t>、刘</w:t>
      </w:r>
      <w:r>
        <w:rPr>
          <w:rFonts w:hint="eastAsia"/>
          <w:lang w:val="en-US" w:eastAsia="zh-CN"/>
        </w:rPr>
        <w:t>XX</w:t>
      </w:r>
      <w:r>
        <w:rPr>
          <w:rFonts w:hint="eastAsia"/>
        </w:rPr>
        <w:t>、王</w:t>
      </w:r>
      <w:r>
        <w:rPr>
          <w:rFonts w:hint="eastAsia"/>
          <w:lang w:val="en-US" w:eastAsia="zh-CN"/>
        </w:rPr>
        <w:t>XX</w:t>
      </w:r>
      <w:r>
        <w:rPr>
          <w:rFonts w:hint="eastAsia"/>
        </w:rPr>
        <w:t>4人于3月8日出院，依据《企业职工伤亡事故分类标准》4.1</w:t>
      </w:r>
      <w:r>
        <w:rPr>
          <w:rStyle w:val="24"/>
          <w:rFonts w:hint="eastAsia"/>
        </w:rPr>
        <w:t>[</w:t>
      </w:r>
      <w:r>
        <w:rPr>
          <w:rStyle w:val="24"/>
          <w:rFonts w:hint="eastAsia"/>
        </w:rPr>
        <w:footnoteReference w:id="2"/>
      </w:r>
      <w:r>
        <w:rPr>
          <w:rStyle w:val="24"/>
          <w:rFonts w:hint="eastAsia"/>
        </w:rPr>
        <w:t>]</w:t>
      </w:r>
      <w:r>
        <w:rPr>
          <w:rFonts w:hint="eastAsia"/>
        </w:rPr>
        <w:t>，5名伤员属于轻伤。</w:t>
      </w:r>
    </w:p>
    <w:p w14:paraId="6ABFC27D">
      <w:pPr>
        <w:pStyle w:val="3"/>
        <w:ind w:firstLine="640"/>
      </w:pPr>
      <w:bookmarkStart w:id="21" w:name="_Toc171529906"/>
      <w:r>
        <w:rPr>
          <w:rFonts w:hint="eastAsia"/>
        </w:rPr>
        <w:t>（四）应急处置评估</w:t>
      </w:r>
      <w:bookmarkEnd w:id="20"/>
      <w:bookmarkEnd w:id="21"/>
    </w:p>
    <w:p w14:paraId="0256FE4A">
      <w:pPr>
        <w:overflowPunct w:val="0"/>
        <w:autoSpaceDE w:val="0"/>
        <w:autoSpaceDN w:val="0"/>
        <w:adjustRightInd w:val="0"/>
        <w:snapToGrid w:val="0"/>
        <w:ind w:firstLine="640"/>
        <w:rPr>
          <w:szCs w:val="32"/>
        </w:rPr>
      </w:pPr>
      <w:r>
        <w:rPr>
          <w:rFonts w:hint="eastAsia"/>
          <w:szCs w:val="32"/>
        </w:rPr>
        <w:t>事故发生后，区委、区政府领导高度重视，第一时间赶到现场了解情况，现场指挥调度。区政府相关部门立即开展了应急处置及协调指导善后处理工作。从本起事故应急救援处置总体情况看，事故信息上报及时，应急响应迅速，现场处置科学，最大程度保障了伤者得到及时妥善救治，事故得到妥善有效处置。</w:t>
      </w:r>
      <w:bookmarkStart w:id="22" w:name="_Toc129106695"/>
    </w:p>
    <w:p w14:paraId="2D20B0FC">
      <w:pPr>
        <w:pStyle w:val="2"/>
        <w:ind w:firstLine="640"/>
        <w:rPr>
          <w:spacing w:val="-6"/>
          <w:kern w:val="2"/>
          <w:szCs w:val="32"/>
        </w:rPr>
      </w:pPr>
      <w:bookmarkStart w:id="23" w:name="_Toc171529907"/>
      <w:r>
        <w:rPr>
          <w:rFonts w:hint="eastAsia"/>
        </w:rPr>
        <w:t>三、事故造成的人员伤亡和直接经济损失</w:t>
      </w:r>
      <w:bookmarkEnd w:id="22"/>
      <w:bookmarkEnd w:id="23"/>
    </w:p>
    <w:p w14:paraId="0F599BDE">
      <w:pPr>
        <w:pStyle w:val="3"/>
        <w:ind w:firstLine="640"/>
      </w:pPr>
      <w:bookmarkStart w:id="24" w:name="_Toc171529908"/>
      <w:bookmarkStart w:id="25" w:name="_Toc129106697"/>
      <w:r>
        <w:rPr>
          <w:rFonts w:hint="eastAsia"/>
        </w:rPr>
        <w:t>（一）受伤人员基本信息</w:t>
      </w:r>
      <w:bookmarkEnd w:id="24"/>
    </w:p>
    <w:p w14:paraId="3BD4322E">
      <w:pPr>
        <w:ind w:firstLine="643"/>
      </w:pPr>
      <w:r>
        <w:rPr>
          <w:rFonts w:hint="eastAsia"/>
          <w:b/>
        </w:rPr>
        <w:t>彭</w:t>
      </w:r>
      <w:r>
        <w:rPr>
          <w:rFonts w:hint="eastAsia"/>
          <w:b/>
          <w:lang w:val="en-US" w:eastAsia="zh-CN"/>
        </w:rPr>
        <w:t>XX</w:t>
      </w:r>
      <w:r>
        <w:rPr>
          <w:rFonts w:hint="eastAsia"/>
        </w:rPr>
        <w:t>，女，汉族，身份证号：650204</w:t>
      </w:r>
      <w:r>
        <w:rPr>
          <w:rFonts w:hint="eastAsia"/>
          <w:lang w:val="en-US" w:eastAsia="zh-CN"/>
        </w:rPr>
        <w:t>XXXXX</w:t>
      </w:r>
      <w:r>
        <w:rPr>
          <w:rFonts w:hint="eastAsia"/>
        </w:rPr>
        <w:t>，二号供汽联合站重一班组资料员，根据克拉玛依市中心医院诊断书：面部、双手烧伤，总面积5%，深二度；根据《人体损伤程度鉴定标准》5.12.4</w:t>
      </w:r>
      <w:r>
        <w:rPr>
          <w:rStyle w:val="24"/>
          <w:rFonts w:hint="eastAsia"/>
        </w:rPr>
        <w:t>[</w:t>
      </w:r>
      <w:r>
        <w:rPr>
          <w:rStyle w:val="24"/>
          <w:rFonts w:hint="eastAsia"/>
        </w:rPr>
        <w:footnoteReference w:id="3"/>
      </w:r>
      <w:r>
        <w:rPr>
          <w:rStyle w:val="24"/>
          <w:rFonts w:hint="eastAsia"/>
        </w:rPr>
        <w:t>]</w:t>
      </w:r>
      <w:r>
        <w:rPr>
          <w:rFonts w:hint="eastAsia" w:ascii="仿宋_GB2312" w:hAnsi="方正仿宋简体" w:cs="方正仿宋简体"/>
          <w:szCs w:val="32"/>
        </w:rPr>
        <w:t>规定</w:t>
      </w:r>
      <w:r>
        <w:rPr>
          <w:rFonts w:hint="eastAsia"/>
        </w:rPr>
        <w:t>，该名人员属于轻伤二级。</w:t>
      </w:r>
    </w:p>
    <w:p w14:paraId="0C5DA72D">
      <w:pPr>
        <w:ind w:firstLine="643"/>
      </w:pPr>
      <w:r>
        <w:rPr>
          <w:rFonts w:hint="eastAsia"/>
          <w:b/>
        </w:rPr>
        <w:t>王</w:t>
      </w:r>
      <w:r>
        <w:rPr>
          <w:rFonts w:hint="eastAsia"/>
          <w:b/>
          <w:lang w:val="en-US" w:eastAsia="zh-CN"/>
        </w:rPr>
        <w:t>XX</w:t>
      </w:r>
      <w:r>
        <w:rPr>
          <w:rFonts w:hint="eastAsia"/>
        </w:rPr>
        <w:t>，男，汉族，身份证号：65020419</w:t>
      </w:r>
      <w:r>
        <w:rPr>
          <w:rFonts w:hint="eastAsia"/>
          <w:lang w:val="en-US" w:eastAsia="zh-CN"/>
        </w:rPr>
        <w:t>XXXXX</w:t>
      </w:r>
      <w:r>
        <w:rPr>
          <w:rFonts w:hint="eastAsia"/>
        </w:rPr>
        <w:t>，二号供汽联合站重一班组副班长，根据克拉玛依市中心医院诊断书：头面颈、双上肢烧伤，总面积15%，深二度10%，三度5%；根据《人体损伤程度鉴定标准》5.12.3</w:t>
      </w:r>
      <w:r>
        <w:rPr>
          <w:rStyle w:val="24"/>
          <w:rFonts w:hint="eastAsia"/>
        </w:rPr>
        <w:t>[</w:t>
      </w:r>
      <w:r>
        <w:rPr>
          <w:rStyle w:val="24"/>
          <w:rFonts w:hint="eastAsia"/>
        </w:rPr>
        <w:footnoteReference w:id="4"/>
      </w:r>
      <w:r>
        <w:rPr>
          <w:rStyle w:val="24"/>
          <w:rFonts w:hint="eastAsia"/>
        </w:rPr>
        <w:t>]</w:t>
      </w:r>
      <w:r>
        <w:rPr>
          <w:rFonts w:hint="eastAsia" w:ascii="仿宋_GB2312" w:hAnsi="方正仿宋简体" w:cs="方正仿宋简体"/>
          <w:szCs w:val="32"/>
        </w:rPr>
        <w:t>规定</w:t>
      </w:r>
      <w:r>
        <w:rPr>
          <w:rFonts w:hint="eastAsia"/>
        </w:rPr>
        <w:t>，该名人员属于轻伤一级。</w:t>
      </w:r>
    </w:p>
    <w:p w14:paraId="587136AB">
      <w:pPr>
        <w:ind w:firstLine="643"/>
      </w:pPr>
      <w:r>
        <w:rPr>
          <w:rFonts w:hint="eastAsia"/>
          <w:b/>
        </w:rPr>
        <w:t>于</w:t>
      </w:r>
      <w:r>
        <w:rPr>
          <w:rFonts w:hint="eastAsia"/>
          <w:b/>
          <w:lang w:val="en-US" w:eastAsia="zh-CN"/>
        </w:rPr>
        <w:t>XX</w:t>
      </w:r>
      <w:r>
        <w:rPr>
          <w:rFonts w:hint="eastAsia"/>
        </w:rPr>
        <w:t>，男，汉族，身份证号：65020319</w:t>
      </w:r>
      <w:r>
        <w:rPr>
          <w:rFonts w:hint="eastAsia"/>
          <w:lang w:val="en-US" w:eastAsia="zh-CN"/>
        </w:rPr>
        <w:t>XXXXX</w:t>
      </w:r>
      <w:r>
        <w:rPr>
          <w:rFonts w:hint="eastAsia"/>
        </w:rPr>
        <w:t>，二号供汽联合站重一班组员工，根据克拉玛依市中心医院诊断书：面部、双手烧伤，总面积9%，深二度7%，三度2%；根据《人体损伤程度鉴定标准》5.12.3</w:t>
      </w:r>
      <w:r>
        <w:rPr>
          <w:rFonts w:hint="eastAsia" w:ascii="仿宋_GB2312" w:hAnsi="方正仿宋简体" w:cs="方正仿宋简体"/>
          <w:szCs w:val="32"/>
        </w:rPr>
        <w:t>规定</w:t>
      </w:r>
      <w:r>
        <w:rPr>
          <w:rFonts w:hint="eastAsia"/>
        </w:rPr>
        <w:t>，该名人员属于轻伤一级。</w:t>
      </w:r>
    </w:p>
    <w:p w14:paraId="79741C62">
      <w:pPr>
        <w:ind w:firstLine="643"/>
      </w:pPr>
      <w:r>
        <w:rPr>
          <w:rFonts w:hint="eastAsia"/>
          <w:b/>
        </w:rPr>
        <w:t>张</w:t>
      </w:r>
      <w:r>
        <w:rPr>
          <w:rFonts w:hint="eastAsia"/>
          <w:b/>
          <w:lang w:val="en-US" w:eastAsia="zh-CN"/>
        </w:rPr>
        <w:t>XX</w:t>
      </w:r>
      <w:r>
        <w:rPr>
          <w:rFonts w:hint="eastAsia"/>
        </w:rPr>
        <w:t>，男，汉族，身份证号：65020319</w:t>
      </w:r>
      <w:r>
        <w:rPr>
          <w:rFonts w:hint="eastAsia"/>
          <w:lang w:val="en-US" w:eastAsia="zh-CN"/>
        </w:rPr>
        <w:t>XXX</w:t>
      </w:r>
      <w:r>
        <w:rPr>
          <w:rFonts w:hint="eastAsia"/>
        </w:rPr>
        <w:t>，二号供汽联合站重一班组员工，根据克拉玛依市中心医院诊断书：头皮裂伤；根据《人体损伤程度鉴定标准》5.1.5</w:t>
      </w:r>
      <w:r>
        <w:rPr>
          <w:rStyle w:val="24"/>
          <w:rFonts w:hint="eastAsia"/>
        </w:rPr>
        <w:t>[</w:t>
      </w:r>
      <w:r>
        <w:rPr>
          <w:rStyle w:val="24"/>
          <w:rFonts w:hint="eastAsia"/>
        </w:rPr>
        <w:footnoteReference w:id="5"/>
      </w:r>
      <w:r>
        <w:rPr>
          <w:rStyle w:val="24"/>
          <w:rFonts w:hint="eastAsia"/>
        </w:rPr>
        <w:t>]</w:t>
      </w:r>
      <w:r>
        <w:rPr>
          <w:rFonts w:hint="eastAsia" w:ascii="仿宋_GB2312" w:hAnsi="方正仿宋简体" w:cs="方正仿宋简体"/>
          <w:szCs w:val="32"/>
        </w:rPr>
        <w:t>规定</w:t>
      </w:r>
      <w:r>
        <w:rPr>
          <w:rFonts w:hint="eastAsia"/>
        </w:rPr>
        <w:t>，判断该人员属于轻微伤。</w:t>
      </w:r>
    </w:p>
    <w:p w14:paraId="55D14907">
      <w:pPr>
        <w:ind w:firstLine="643"/>
      </w:pPr>
      <w:r>
        <w:rPr>
          <w:rFonts w:hint="eastAsia"/>
          <w:b/>
        </w:rPr>
        <w:t>刘</w:t>
      </w:r>
      <w:r>
        <w:rPr>
          <w:rFonts w:hint="eastAsia"/>
          <w:b/>
          <w:lang w:val="en-US" w:eastAsia="zh-CN"/>
        </w:rPr>
        <w:t>XX</w:t>
      </w:r>
      <w:r>
        <w:rPr>
          <w:rFonts w:hint="eastAsia"/>
        </w:rPr>
        <w:t>，男，汉族，身份证号：65020219</w:t>
      </w:r>
      <w:r>
        <w:rPr>
          <w:rFonts w:hint="eastAsia"/>
          <w:lang w:val="en-US" w:eastAsia="zh-CN"/>
        </w:rPr>
        <w:t>XXXX</w:t>
      </w:r>
      <w:r>
        <w:rPr>
          <w:rFonts w:hint="eastAsia"/>
        </w:rPr>
        <w:t>，新科澳油田运输有限公司驾驶员，根据克拉玛依市中心医院诊断书：头、面、颈、双上肢火焰烧伤,总面积15%，三度8%，深二度7%。根据《人体损伤程度鉴定标准》5.12.3</w:t>
      </w:r>
      <w:r>
        <w:rPr>
          <w:rFonts w:hint="eastAsia" w:ascii="仿宋_GB2312" w:hAnsi="方正仿宋简体" w:cs="方正仿宋简体"/>
          <w:szCs w:val="32"/>
        </w:rPr>
        <w:t>规定</w:t>
      </w:r>
      <w:r>
        <w:rPr>
          <w:rFonts w:hint="eastAsia"/>
        </w:rPr>
        <w:t>，判断该人员属于轻伤一级。</w:t>
      </w:r>
    </w:p>
    <w:p w14:paraId="123FDDAD">
      <w:pPr>
        <w:ind w:firstLine="56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drawing>
          <wp:anchor distT="0" distB="0" distL="0" distR="0" simplePos="0" relativeHeight="251659264" behindDoc="0" locked="0" layoutInCell="1" allowOverlap="1">
            <wp:simplePos x="0" y="0"/>
            <wp:positionH relativeFrom="column">
              <wp:posOffset>88900</wp:posOffset>
            </wp:positionH>
            <wp:positionV relativeFrom="page">
              <wp:posOffset>1483360</wp:posOffset>
            </wp:positionV>
            <wp:extent cx="5208270" cy="1932305"/>
            <wp:effectExtent l="19050" t="0" r="0" b="0"/>
            <wp:wrapTopAndBottom/>
            <wp:docPr id="1026" name="图片 5" descr="d2d1d8b6b6eaf46db4860e45eaf7125"/>
            <wp:cNvGraphicFramePr/>
            <a:graphic xmlns:a="http://schemas.openxmlformats.org/drawingml/2006/main">
              <a:graphicData uri="http://schemas.openxmlformats.org/drawingml/2006/picture">
                <pic:pic xmlns:pic="http://schemas.openxmlformats.org/drawingml/2006/picture">
                  <pic:nvPicPr>
                    <pic:cNvPr id="1026" name="图片 5" descr="d2d1d8b6b6eaf46db4860e45eaf7125"/>
                    <pic:cNvPicPr/>
                  </pic:nvPicPr>
                  <pic:blipFill>
                    <a:blip r:embed="rId12" cstate="print"/>
                    <a:srcRect/>
                    <a:stretch>
                      <a:fillRect/>
                    </a:stretch>
                  </pic:blipFill>
                  <pic:spPr>
                    <a:xfrm>
                      <a:off x="0" y="0"/>
                      <a:ext cx="5208270" cy="1932305"/>
                    </a:xfrm>
                    <a:prstGeom prst="rect">
                      <a:avLst/>
                    </a:prstGeom>
                    <a:ln>
                      <a:noFill/>
                    </a:ln>
                  </pic:spPr>
                </pic:pic>
              </a:graphicData>
            </a:graphic>
          </wp:anchor>
        </w:drawing>
      </w:r>
      <w:r>
        <w:rPr>
          <w:rFonts w:hint="eastAsia" w:asciiTheme="minorEastAsia" w:hAnsiTheme="minorEastAsia" w:eastAsiaTheme="minorEastAsia"/>
          <w:sz w:val="28"/>
          <w:szCs w:val="28"/>
        </w:rPr>
        <w:t>图1 室内设施布置及人员位置图</w:t>
      </w:r>
    </w:p>
    <w:p w14:paraId="7926B240">
      <w:pPr>
        <w:pStyle w:val="3"/>
        <w:ind w:firstLine="640"/>
        <w:rPr>
          <w:kern w:val="2"/>
        </w:rPr>
      </w:pPr>
      <w:bookmarkStart w:id="26" w:name="_Toc171529909"/>
      <w:r>
        <w:rPr>
          <w:rFonts w:hint="eastAsia"/>
          <w:kern w:val="2"/>
        </w:rPr>
        <w:t>（二）直接经济损失</w:t>
      </w:r>
      <w:bookmarkEnd w:id="25"/>
      <w:bookmarkEnd w:id="26"/>
    </w:p>
    <w:p w14:paraId="3B3F0898">
      <w:pPr>
        <w:ind w:firstLine="640"/>
        <w:rPr>
          <w:bCs/>
          <w:color w:val="000000"/>
          <w:kern w:val="2"/>
        </w:rPr>
      </w:pPr>
      <w:r>
        <w:rPr>
          <w:rFonts w:hint="eastAsia"/>
        </w:rPr>
        <w:t>事故造成在值班室内休息的4名二号供汽联合站员工及1名新科澳值班车司机受伤,直接经济损失6.48万元（医疗费用（含护理）4.41万元、歇工工资1.25万元、固定资产损失价值0.82万元）。</w:t>
      </w:r>
    </w:p>
    <w:p w14:paraId="12921155">
      <w:pPr>
        <w:pStyle w:val="3"/>
        <w:ind w:firstLine="640"/>
        <w:rPr>
          <w:kern w:val="2"/>
        </w:rPr>
      </w:pPr>
      <w:bookmarkStart w:id="27" w:name="_Toc129106699"/>
      <w:bookmarkStart w:id="28" w:name="_Toc171529910"/>
      <w:r>
        <w:rPr>
          <w:rFonts w:hint="eastAsia"/>
          <w:kern w:val="2"/>
        </w:rPr>
        <w:t>（三）事故现场勘查情况</w:t>
      </w:r>
      <w:bookmarkEnd w:id="27"/>
      <w:bookmarkEnd w:id="28"/>
    </w:p>
    <w:p w14:paraId="0D9D2C4E">
      <w:pPr>
        <w:ind w:firstLine="640"/>
        <w:rPr>
          <w:color w:val="000000"/>
          <w:kern w:val="2"/>
          <w:szCs w:val="32"/>
        </w:rPr>
      </w:pPr>
      <w:r>
        <w:rPr>
          <w:rFonts w:hint="eastAsia"/>
          <w:color w:val="000000"/>
          <w:kern w:val="2"/>
          <w:szCs w:val="32"/>
        </w:rPr>
        <w:t>事故发生具体位置位于克拉玛依市乌尔禾区</w:t>
      </w:r>
      <w:r>
        <w:rPr>
          <w:rFonts w:hint="eastAsia" w:ascii="仿宋_GB2312" w:hAnsi="方正仿宋简体" w:cs="方正仿宋简体"/>
          <w:szCs w:val="32"/>
        </w:rPr>
        <w:t>风城油田作业区二号供汽联合站重1SAGD-1#站值班室内</w:t>
      </w:r>
      <w:r>
        <w:rPr>
          <w:rFonts w:hint="eastAsia"/>
          <w:color w:val="000000"/>
          <w:kern w:val="2"/>
          <w:szCs w:val="32"/>
        </w:rPr>
        <w:t>。</w:t>
      </w:r>
      <w:r>
        <w:rPr>
          <w:kern w:val="2"/>
        </w:rPr>
        <w:pict>
          <v:rect id="1027" o:spid="_x0000_s1026" o:spt="1" style="position:absolute;left:0pt;margin-left:12.5pt;margin-top:33.4pt;height:13.5pt;width:22pt;z-index:251675648;mso-width-relative:page;mso-height-relative:page;" filled="f" stroked="f" coordsize="21600,21600">
            <v:path/>
            <v:fill on="f" focussize="0,0"/>
            <v:stroke on="f"/>
            <v:imagedata o:title=""/>
            <o:lock v:ext="edit"/>
            <v:textbox>
              <w:txbxContent>
                <w:p w14:paraId="73B9808D">
                  <w:pPr>
                    <w:ind w:firstLine="640"/>
                  </w:pPr>
                  <w:r>
                    <w:rPr>
                      <w:rFonts w:hint="eastAsia"/>
                    </w:rPr>
                    <w:t>南男男男</w:t>
                  </w:r>
                </w:p>
              </w:txbxContent>
            </v:textbox>
          </v:rect>
        </w:pict>
      </w:r>
    </w:p>
    <w:p w14:paraId="72A6BB81">
      <w:pPr>
        <w:widowControl/>
        <w:snapToGrid w:val="0"/>
        <w:ind w:firstLine="640"/>
        <w:rPr>
          <w:rFonts w:ascii="仿宋_GB2312" w:hAnsi="方正仿宋简体" w:cs="方正仿宋简体"/>
          <w:szCs w:val="32"/>
        </w:rPr>
      </w:pPr>
      <w:r>
        <w:rPr>
          <w:rFonts w:hint="eastAsia"/>
          <w:color w:val="000000"/>
          <w:kern w:val="2"/>
          <w:szCs w:val="32"/>
        </w:rPr>
        <w:t>经现场勘查，</w:t>
      </w:r>
      <w:r>
        <w:rPr>
          <w:rFonts w:hint="eastAsia" w:ascii="仿宋_GB2312" w:hAnsi="方正仿宋简体" w:cs="方正仿宋简体"/>
          <w:szCs w:val="32"/>
        </w:rPr>
        <w:t>二号供汽联合站重1SAGD-1#接转站设有四间砖混房屋、箱式开关站、天然气过滤器、变压器、两台供汽锅炉。房屋分为油料间、值班室、会议室、材料间四间。</w:t>
      </w:r>
    </w:p>
    <w:p w14:paraId="3659FE20">
      <w:pPr>
        <w:widowControl/>
        <w:snapToGrid w:val="0"/>
        <w:ind w:firstLine="640"/>
        <w:rPr>
          <w:rFonts w:ascii="仿宋_GB2312" w:hAnsi="方正仿宋简体" w:cs="方正仿宋简体"/>
          <w:szCs w:val="32"/>
        </w:rPr>
      </w:pPr>
      <w:r>
        <w:rPr>
          <w:rFonts w:hint="eastAsia" w:ascii="仿宋_GB2312" w:hAnsi="方正仿宋简体" w:cs="方正仿宋简体"/>
          <w:szCs w:val="32"/>
        </w:rPr>
        <w:t>值班室内有计量控制柜、</w:t>
      </w:r>
      <w:r>
        <w:rPr>
          <w:rFonts w:hint="eastAsia" w:ascii="仿宋_GB2312" w:hAnsi="方正仿宋简体" w:cs="方正仿宋简体"/>
          <w:szCs w:val="32"/>
          <w:lang w:val="zh-CN"/>
        </w:rPr>
        <w:t>网络机柜</w:t>
      </w:r>
      <w:r>
        <w:rPr>
          <w:rFonts w:hint="eastAsia" w:ascii="仿宋_GB2312" w:hAnsi="方正仿宋简体" w:cs="方正仿宋简体"/>
          <w:szCs w:val="32"/>
        </w:rPr>
        <w:t>、办公桌椅、资料柜（见附图），重1SAGD-1#接转站计量控制柜由沈阳工业大学制造，出厂时间为2013年7月，投产日期为2014年7月，设备型号XTG-XTJL-01，用于重1SAGD-1#、重1SAGD-2#、重1SAGD-3#管汇数据采集、计量。</w:t>
      </w:r>
    </w:p>
    <w:p w14:paraId="5A5A06CE">
      <w:pPr>
        <w:widowControl/>
        <w:snapToGrid w:val="0"/>
        <w:ind w:firstLine="640"/>
        <w:rPr>
          <w:rFonts w:ascii="仿宋_GB2312" w:hAnsi="方正仿宋简体" w:cs="方正仿宋简体"/>
          <w:szCs w:val="32"/>
          <w:lang w:val="zh-CN"/>
        </w:rPr>
      </w:pPr>
      <w:r>
        <w:rPr>
          <w:rFonts w:hint="eastAsia" w:ascii="仿宋_GB2312" w:hAnsi="方正仿宋简体" w:cs="方正仿宋简体"/>
          <w:szCs w:val="32"/>
        </w:rPr>
        <w:drawing>
          <wp:anchor distT="0" distB="0" distL="0" distR="0" simplePos="0" relativeHeight="251674624" behindDoc="0" locked="0" layoutInCell="1" allowOverlap="1">
            <wp:simplePos x="0" y="0"/>
            <wp:positionH relativeFrom="column">
              <wp:posOffset>1089025</wp:posOffset>
            </wp:positionH>
            <wp:positionV relativeFrom="paragraph">
              <wp:posOffset>2105660</wp:posOffset>
            </wp:positionV>
            <wp:extent cx="3522345" cy="2570480"/>
            <wp:effectExtent l="19050" t="0" r="1905" b="0"/>
            <wp:wrapTopAndBottom/>
            <wp:docPr id="1" name="图片 4"/>
            <wp:cNvGraphicFramePr/>
            <a:graphic xmlns:a="http://schemas.openxmlformats.org/drawingml/2006/main">
              <a:graphicData uri="http://schemas.openxmlformats.org/drawingml/2006/picture">
                <pic:pic xmlns:pic="http://schemas.openxmlformats.org/drawingml/2006/picture">
                  <pic:nvPicPr>
                    <pic:cNvPr id="1" name="图片 4"/>
                    <pic:cNvPicPr/>
                  </pic:nvPicPr>
                  <pic:blipFill>
                    <a:blip r:embed="rId13" cstate="print"/>
                    <a:srcRect/>
                    <a:stretch>
                      <a:fillRect/>
                    </a:stretch>
                  </pic:blipFill>
                  <pic:spPr>
                    <a:xfrm>
                      <a:off x="0" y="0"/>
                      <a:ext cx="3522345" cy="2570480"/>
                    </a:xfrm>
                    <a:prstGeom prst="rect">
                      <a:avLst/>
                    </a:prstGeom>
                    <a:ln>
                      <a:noFill/>
                    </a:ln>
                  </pic:spPr>
                </pic:pic>
              </a:graphicData>
            </a:graphic>
          </wp:anchor>
        </w:drawing>
      </w:r>
      <w:r>
        <w:rPr>
          <w:rFonts w:hint="eastAsia" w:ascii="仿宋_GB2312" w:hAnsi="方正仿宋简体" w:cs="方正仿宋简体"/>
          <w:szCs w:val="32"/>
          <w:lang w:val="zh-CN"/>
        </w:rPr>
        <w:t>重1SAGD-1</w:t>
      </w:r>
      <w:r>
        <w:rPr>
          <w:rFonts w:hint="eastAsia" w:ascii="仿宋_GB2312" w:hAnsi="方正仿宋简体" w:cs="方正仿宋简体"/>
          <w:szCs w:val="32"/>
        </w:rPr>
        <w:t>#</w:t>
      </w:r>
      <w:r>
        <w:rPr>
          <w:rFonts w:hint="eastAsia" w:ascii="仿宋_GB2312" w:hAnsi="方正仿宋简体" w:cs="方正仿宋简体"/>
          <w:szCs w:val="32"/>
          <w:lang w:val="zh-CN"/>
        </w:rPr>
        <w:t>接转站网络机柜包含工控、视频及办公交换机三台，投用日期分别为2021年5月、2016年5月、2017年8月，品牌型号均为华为5700系列网络设备，主要用于重1SAGD-1</w:t>
      </w:r>
      <w:r>
        <w:rPr>
          <w:rFonts w:hint="eastAsia" w:ascii="仿宋_GB2312" w:hAnsi="方正仿宋简体" w:cs="方正仿宋简体"/>
          <w:szCs w:val="32"/>
        </w:rPr>
        <w:t>#</w:t>
      </w:r>
      <w:r>
        <w:rPr>
          <w:rFonts w:hint="eastAsia" w:ascii="仿宋_GB2312" w:hAnsi="方正仿宋简体" w:cs="方正仿宋简体"/>
          <w:szCs w:val="32"/>
          <w:lang w:val="zh-CN"/>
        </w:rPr>
        <w:t>接转站，重1SAGD-1</w:t>
      </w:r>
      <w:r>
        <w:rPr>
          <w:rFonts w:hint="eastAsia" w:ascii="仿宋_GB2312" w:hAnsi="方正仿宋简体" w:cs="方正仿宋简体"/>
          <w:szCs w:val="32"/>
        </w:rPr>
        <w:t>#</w:t>
      </w:r>
      <w:r>
        <w:rPr>
          <w:rFonts w:hint="eastAsia" w:ascii="仿宋_GB2312" w:hAnsi="方正仿宋简体" w:cs="方正仿宋简体"/>
          <w:szCs w:val="32"/>
          <w:lang w:val="zh-CN"/>
        </w:rPr>
        <w:t>、2#过热注汽锅炉，重1SAGD-1#、重1SAGD-2#、重1SAGD-3#管汇的生产数据、视频监控及办公网络传输。</w:t>
      </w:r>
    </w:p>
    <w:p w14:paraId="3E187743">
      <w:pPr>
        <w:ind w:firstLine="0" w:firstLineChars="0"/>
        <w:jc w:val="center"/>
        <w:rPr>
          <w:rFonts w:cs="宋体" w:asciiTheme="minorEastAsia" w:hAnsiTheme="minorEastAsia" w:eastAsiaTheme="minorEastAsia"/>
          <w:kern w:val="2"/>
          <w:sz w:val="28"/>
          <w:szCs w:val="32"/>
        </w:rPr>
      </w:pPr>
      <w:r>
        <w:rPr>
          <w:rFonts w:hint="eastAsia" w:cs="宋体" w:asciiTheme="minorEastAsia" w:hAnsiTheme="minorEastAsia" w:eastAsiaTheme="minorEastAsia"/>
          <w:kern w:val="2"/>
          <w:sz w:val="28"/>
          <w:szCs w:val="32"/>
        </w:rPr>
        <w:t>图2</w:t>
      </w:r>
      <w:r>
        <w:rPr>
          <w:rFonts w:cs="宋体" w:asciiTheme="minorEastAsia" w:hAnsiTheme="minorEastAsia" w:eastAsiaTheme="minorEastAsia"/>
          <w:kern w:val="2"/>
          <w:sz w:val="28"/>
          <w:szCs w:val="32"/>
        </w:rPr>
        <w:t xml:space="preserve"> </w:t>
      </w:r>
      <w:r>
        <w:rPr>
          <w:rFonts w:hint="eastAsia" w:cs="宋体" w:asciiTheme="minorEastAsia" w:hAnsiTheme="minorEastAsia" w:eastAsiaTheme="minorEastAsia"/>
          <w:kern w:val="2"/>
          <w:sz w:val="28"/>
          <w:szCs w:val="32"/>
        </w:rPr>
        <w:t>现场航拍图</w:t>
      </w:r>
    </w:p>
    <w:p w14:paraId="134B9518">
      <w:pPr>
        <w:pStyle w:val="4"/>
        <w:rPr>
          <w:rFonts w:ascii="Times New Roman" w:hAnsi="Times New Roman" w:eastAsia="仿宋_GB2312"/>
          <w:szCs w:val="32"/>
        </w:rPr>
      </w:pPr>
    </w:p>
    <w:p w14:paraId="00702083">
      <w:pPr>
        <w:pStyle w:val="4"/>
        <w:rPr>
          <w:rFonts w:ascii="Times New Roman" w:hAnsi="Times New Roman" w:eastAsia="仿宋_GB2312"/>
          <w:szCs w:val="32"/>
        </w:rPr>
      </w:pPr>
      <w:r>
        <w:rPr>
          <w:rFonts w:hint="eastAsia" w:ascii="Times New Roman" w:hAnsi="Times New Roman" w:eastAsia="仿宋_GB2312"/>
          <w:szCs w:val="32"/>
        </w:rPr>
        <w:t>天然气管线由东向西走向，布置于锅炉房与重1SAGD-1#接转站中间（距锅炉房约7m，距重1SAGD-1#接转站约6m），长度84m，埋深1.4m，距离电缆沟垂直距离0.43m；锅炉房及值班室电缆沟呈工字形布局，电缆沟与锅炉房及值班室连通处已做填埋封堵处理，1#与2#锅炉电缆沟进口处填埋封堵。供汽锅炉天然气管线总线DN150，支线DN80，设计承压1.6MPa，材质为20碳钢，于2012年12月29日投用。</w:t>
      </w:r>
    </w:p>
    <w:p w14:paraId="2D64CF51">
      <w:pPr>
        <w:pStyle w:val="2"/>
        <w:ind w:firstLine="640"/>
        <w:rPr>
          <w:color w:val="000000"/>
          <w:kern w:val="2"/>
          <w:szCs w:val="32"/>
        </w:rPr>
      </w:pPr>
      <w:bookmarkStart w:id="29" w:name="_Toc171529911"/>
      <w:r>
        <w:rPr>
          <w:rFonts w:hint="eastAsia"/>
        </w:rPr>
        <w:t>四、现场天气情况</w:t>
      </w:r>
      <w:bookmarkEnd w:id="29"/>
    </w:p>
    <w:p w14:paraId="26C840D6">
      <w:pPr>
        <w:widowControl/>
        <w:ind w:firstLine="640"/>
        <w:rPr>
          <w:szCs w:val="32"/>
        </w:rPr>
      </w:pPr>
      <w:r>
        <w:rPr>
          <w:rFonts w:hint="eastAsia"/>
          <w:szCs w:val="32"/>
        </w:rPr>
        <w:t>据克拉玛依市气象台天气预报，</w:t>
      </w:r>
      <w:r>
        <w:rPr>
          <w:szCs w:val="32"/>
        </w:rPr>
        <w:t>202</w:t>
      </w:r>
      <w:r>
        <w:rPr>
          <w:rFonts w:hint="eastAsia"/>
          <w:szCs w:val="32"/>
        </w:rPr>
        <w:t>4年2月17日至2月18日，乌尔禾城郊最低温度</w:t>
      </w:r>
      <w:r>
        <w:rPr>
          <w:szCs w:val="32"/>
        </w:rPr>
        <w:t>-2</w:t>
      </w:r>
      <w:r>
        <w:rPr>
          <w:rFonts w:hint="eastAsia"/>
          <w:szCs w:val="32"/>
        </w:rPr>
        <w:t>9</w:t>
      </w:r>
      <w:r>
        <w:rPr>
          <w:rFonts w:hint="eastAsia" w:ascii="宋体" w:hAnsi="宋体" w:eastAsia="宋体" w:cs="宋体"/>
          <w:szCs w:val="32"/>
        </w:rPr>
        <w:t>℃</w:t>
      </w:r>
      <w:r>
        <w:rPr>
          <w:rFonts w:hint="eastAsia"/>
          <w:szCs w:val="32"/>
        </w:rPr>
        <w:t>，实际现场比城郊温度低</w:t>
      </w:r>
      <w:r>
        <w:rPr>
          <w:szCs w:val="32"/>
        </w:rPr>
        <w:t>2</w:t>
      </w:r>
      <w:r>
        <w:rPr>
          <w:rFonts w:hint="eastAsia" w:ascii="宋体" w:hAnsi="宋体" w:eastAsia="宋体" w:cs="宋体"/>
          <w:szCs w:val="32"/>
        </w:rPr>
        <w:t>℃</w:t>
      </w:r>
      <w:r>
        <w:rPr>
          <w:rFonts w:hint="eastAsia" w:ascii="仿宋_GB2312"/>
          <w:szCs w:val="32"/>
        </w:rPr>
        <w:t>～</w:t>
      </w:r>
      <w:r>
        <w:rPr>
          <w:szCs w:val="32"/>
        </w:rPr>
        <w:t>3</w:t>
      </w:r>
      <w:r>
        <w:rPr>
          <w:rFonts w:hint="eastAsia" w:ascii="宋体" w:hAnsi="宋体" w:eastAsia="宋体" w:cs="宋体"/>
          <w:szCs w:val="32"/>
        </w:rPr>
        <w:t>℃</w:t>
      </w:r>
      <w:r>
        <w:rPr>
          <w:rFonts w:hint="eastAsia"/>
          <w:szCs w:val="32"/>
        </w:rPr>
        <w:t>，达到</w:t>
      </w:r>
      <w:r>
        <w:rPr>
          <w:szCs w:val="32"/>
        </w:rPr>
        <w:t>-30</w:t>
      </w:r>
      <w:r>
        <w:rPr>
          <w:rFonts w:hint="eastAsia" w:ascii="宋体" w:hAnsi="宋体" w:eastAsia="宋体" w:cs="宋体"/>
          <w:szCs w:val="32"/>
        </w:rPr>
        <w:t>℃</w:t>
      </w:r>
      <w:r>
        <w:rPr>
          <w:rFonts w:hint="eastAsia"/>
          <w:szCs w:val="32"/>
        </w:rPr>
        <w:t>以上。</w:t>
      </w:r>
      <w:bookmarkStart w:id="30" w:name="_Toc129106704"/>
    </w:p>
    <w:p w14:paraId="704185F3">
      <w:pPr>
        <w:pStyle w:val="2"/>
        <w:ind w:firstLine="640"/>
        <w:rPr>
          <w:color w:val="FF0000"/>
        </w:rPr>
      </w:pPr>
      <w:bookmarkStart w:id="31" w:name="_Toc171529912"/>
      <w:r>
        <w:rPr>
          <w:rFonts w:hint="eastAsia"/>
        </w:rPr>
        <w:t>五、事故发生的原因和事故性质</w:t>
      </w:r>
      <w:bookmarkEnd w:id="30"/>
      <w:bookmarkEnd w:id="31"/>
    </w:p>
    <w:p w14:paraId="29872B8F">
      <w:pPr>
        <w:pStyle w:val="3"/>
        <w:ind w:firstLine="640"/>
        <w:rPr>
          <w:kern w:val="2"/>
        </w:rPr>
      </w:pPr>
      <w:bookmarkStart w:id="32" w:name="_Toc129106705"/>
      <w:bookmarkStart w:id="33" w:name="_Toc171529913"/>
      <w:r>
        <w:rPr>
          <w:rFonts w:hint="eastAsia"/>
          <w:kern w:val="2"/>
        </w:rPr>
        <w:t>（一）直接原因</w:t>
      </w:r>
      <w:bookmarkEnd w:id="32"/>
      <w:bookmarkEnd w:id="33"/>
    </w:p>
    <w:p w14:paraId="33D1CFBB">
      <w:pPr>
        <w:ind w:firstLine="640"/>
      </w:pPr>
      <w:r>
        <w:rPr>
          <w:rFonts w:hint="eastAsia" w:ascii="仿宋_GB2312" w:hAnsi="方正仿宋简体" w:cs="方正仿宋简体"/>
          <w:szCs w:val="32"/>
        </w:rPr>
        <w:t>风城油田作业区二号供汽联合站重1 SAGD-1#站值班室</w:t>
      </w:r>
      <w:r>
        <w:rPr>
          <w:rFonts w:hint="eastAsia"/>
        </w:rPr>
        <w:t>室外埋地天然气管线泄漏，天然气沿电缆沟进入值班室仪控柜遇电火花发生爆燃，造成</w:t>
      </w:r>
      <w:r>
        <w:t>5</w:t>
      </w:r>
      <w:r>
        <w:rPr>
          <w:rFonts w:hint="eastAsia"/>
        </w:rPr>
        <w:t>人受伤。</w:t>
      </w:r>
    </w:p>
    <w:p w14:paraId="04BAF4E7">
      <w:pPr>
        <w:pStyle w:val="3"/>
        <w:ind w:firstLine="640"/>
        <w:rPr>
          <w:kern w:val="2"/>
        </w:rPr>
      </w:pPr>
      <w:bookmarkStart w:id="34" w:name="_Toc171529914"/>
      <w:bookmarkStart w:id="35" w:name="_Toc129106707"/>
      <w:r>
        <w:rPr>
          <w:rFonts w:hint="eastAsia"/>
          <w:kern w:val="2"/>
        </w:rPr>
        <w:t>（二）间接原因</w:t>
      </w:r>
      <w:bookmarkEnd w:id="34"/>
      <w:bookmarkEnd w:id="35"/>
    </w:p>
    <w:p w14:paraId="57C235CE">
      <w:pPr>
        <w:ind w:firstLine="640"/>
      </w:pPr>
      <w:bookmarkStart w:id="36" w:name="_Toc129106708"/>
      <w:r>
        <w:rPr>
          <w:lang w:val="zh-CN"/>
        </w:rPr>
        <w:t>1.</w:t>
      </w:r>
      <w:r>
        <w:rPr>
          <w:rFonts w:hint="eastAsia"/>
          <w:lang w:val="zh-CN"/>
        </w:rPr>
        <w:t>2024年2月16日克拉玛依气象局发布大风及强降温天气预警，16日夜间至17日白天风城作业区最低温度为零下19</w:t>
      </w:r>
      <w:r>
        <w:rPr>
          <w:rFonts w:hint="eastAsia" w:ascii="宋体" w:hAnsi="宋体" w:eastAsia="宋体" w:cs="宋体"/>
        </w:rPr>
        <w:t>℃</w:t>
      </w:r>
      <w:r>
        <w:rPr>
          <w:rFonts w:hint="eastAsia"/>
        </w:rPr>
        <w:t>～</w:t>
      </w:r>
      <w:r>
        <w:rPr>
          <w:rFonts w:hint="eastAsia"/>
          <w:lang w:val="zh-CN"/>
        </w:rPr>
        <w:t>30</w:t>
      </w:r>
      <w:r>
        <w:rPr>
          <w:rFonts w:hint="eastAsia" w:ascii="宋体" w:hAnsi="宋体" w:eastAsia="宋体" w:cs="宋体"/>
        </w:rPr>
        <w:t>℃</w:t>
      </w:r>
      <w:r>
        <w:rPr>
          <w:rFonts w:hint="eastAsia"/>
          <w:lang w:val="zh-CN"/>
        </w:rPr>
        <w:t>，强降温天气下该站值班室门窗紧闭，泄漏天然气在电缆沟内聚集，达到爆炸极限。</w:t>
      </w:r>
    </w:p>
    <w:p w14:paraId="3DDD6842">
      <w:pPr>
        <w:ind w:firstLine="640"/>
      </w:pPr>
      <w:r>
        <w:t>2.</w:t>
      </w:r>
      <w:bookmarkEnd w:id="36"/>
      <w:r>
        <w:rPr>
          <w:rFonts w:hint="eastAsia"/>
        </w:rPr>
        <w:t>埋地天然气管线同沟的水管线于2020年破损</w:t>
      </w:r>
      <w:r>
        <w:rPr>
          <w:rFonts w:hint="eastAsia"/>
          <w:lang w:val="en-US" w:eastAsia="zh-CN"/>
        </w:rPr>
        <w:t>泄漏</w:t>
      </w:r>
      <w:r>
        <w:rPr>
          <w:rFonts w:hint="eastAsia"/>
        </w:rPr>
        <w:t>，位于水管线下方天然气管线的三通部位腐蚀，造成天然气</w:t>
      </w:r>
      <w:r>
        <w:rPr>
          <w:rFonts w:hint="eastAsia"/>
          <w:lang w:val="en-US" w:eastAsia="zh-CN"/>
        </w:rPr>
        <w:t>泄漏</w:t>
      </w:r>
      <w:r>
        <w:rPr>
          <w:rFonts w:hint="eastAsia"/>
        </w:rPr>
        <w:t>。</w:t>
      </w:r>
    </w:p>
    <w:p w14:paraId="2DEBF17A">
      <w:pPr>
        <w:ind w:firstLine="640"/>
      </w:pPr>
      <w:bookmarkStart w:id="37" w:name="_Toc129106711"/>
      <w:r>
        <w:t>3.</w:t>
      </w:r>
      <w:bookmarkEnd w:id="37"/>
      <w:r>
        <w:rPr>
          <w:rFonts w:hint="eastAsia"/>
        </w:rPr>
        <w:t>直埋地敷设的电缆与</w:t>
      </w:r>
      <w:bookmarkStart w:id="61" w:name="_GoBack"/>
      <w:r>
        <w:rPr>
          <w:rFonts w:hint="eastAsia"/>
        </w:rPr>
        <w:t>天然气</w:t>
      </w:r>
      <w:bookmarkEnd w:id="61"/>
      <w:r>
        <w:rPr>
          <w:rFonts w:hint="eastAsia"/>
        </w:rPr>
        <w:t>管线交叉时，未按照《电气装置安装工程电缆线路施工及验收规范》GB50168-2018 第6.2.4 条：与可燃气体管道交叉时，最小净距为0.5米。经现场实测，电缆与天然气管道净距为0.1米。</w:t>
      </w:r>
    </w:p>
    <w:p w14:paraId="019337FC">
      <w:pPr>
        <w:ind w:firstLine="640"/>
      </w:pPr>
      <w:r>
        <w:rPr>
          <w:rFonts w:hint="eastAsia"/>
        </w:rPr>
        <w:t>4.电缆护套破损，引发仪控柜电气线路短路产生电火花，导致通过电缆沟聚集在仪控柜内的天然气爆燃。</w:t>
      </w:r>
    </w:p>
    <w:p w14:paraId="1F697498">
      <w:pPr>
        <w:pStyle w:val="3"/>
        <w:ind w:firstLine="640"/>
      </w:pPr>
      <w:bookmarkStart w:id="38" w:name="_Toc171529915"/>
      <w:r>
        <w:rPr>
          <w:rFonts w:hint="eastAsia"/>
        </w:rPr>
        <w:t>（三）存在的主要问题</w:t>
      </w:r>
      <w:bookmarkEnd w:id="38"/>
    </w:p>
    <w:p w14:paraId="4846C17E">
      <w:pPr>
        <w:ind w:firstLine="643"/>
        <w:rPr>
          <w:rFonts w:ascii="仿宋_GB2312"/>
          <w:b/>
          <w:color w:val="000000"/>
          <w:szCs w:val="32"/>
        </w:rPr>
      </w:pPr>
      <w:r>
        <w:rPr>
          <w:rFonts w:hint="eastAsia" w:ascii="仿宋_GB2312"/>
          <w:b/>
          <w:color w:val="000000"/>
          <w:szCs w:val="32"/>
        </w:rPr>
        <w:t>1.风城油田作业区安全生产主体责任落实不到位</w:t>
      </w:r>
    </w:p>
    <w:p w14:paraId="6F897BC6">
      <w:pPr>
        <w:ind w:firstLine="640"/>
        <w:rPr>
          <w:szCs w:val="32"/>
        </w:rPr>
      </w:pPr>
      <w:r>
        <w:rPr>
          <w:rFonts w:ascii="仿宋_GB2312"/>
          <w:szCs w:val="32"/>
        </w:rPr>
        <w:t>（</w:t>
      </w:r>
      <w:r>
        <w:rPr>
          <w:rFonts w:hint="eastAsia" w:ascii="仿宋_GB2312"/>
          <w:szCs w:val="32"/>
        </w:rPr>
        <w:t>1</w:t>
      </w:r>
      <w:r>
        <w:rPr>
          <w:rFonts w:ascii="仿宋_GB2312"/>
          <w:szCs w:val="32"/>
        </w:rPr>
        <w:t>）</w:t>
      </w:r>
      <w:r>
        <w:rPr>
          <w:szCs w:val="32"/>
        </w:rPr>
        <w:t>风险辨识和防控措施制定不到位。</w:t>
      </w:r>
      <w:r>
        <w:rPr>
          <w:rFonts w:hint="eastAsia"/>
          <w:szCs w:val="32"/>
        </w:rPr>
        <w:t>依据《</w:t>
      </w:r>
      <w:r>
        <w:rPr>
          <w:rFonts w:hint="eastAsia" w:ascii="仿宋_GB2312" w:hAnsi="Cambria"/>
          <w:bCs/>
          <w:kern w:val="2"/>
          <w:szCs w:val="32"/>
        </w:rPr>
        <w:t>中华人民共和国特种设备安全法</w:t>
      </w:r>
      <w:r>
        <w:rPr>
          <w:rFonts w:hint="eastAsia"/>
          <w:szCs w:val="32"/>
        </w:rPr>
        <w:t>》第三十九条</w:t>
      </w:r>
      <w:r>
        <w:rPr>
          <w:szCs w:val="32"/>
        </w:rPr>
        <w:t>风城油田作业区</w:t>
      </w:r>
      <w:r>
        <w:rPr>
          <w:rFonts w:hint="eastAsia"/>
          <w:szCs w:val="32"/>
        </w:rPr>
        <w:t xml:space="preserve">对涉事故管道风险隐患没有制定行之有效的监管、防控措施，自该管线2012年投入使用至今未对事故管线进行检测、维修。 </w:t>
      </w:r>
    </w:p>
    <w:p w14:paraId="134D3710">
      <w:pPr>
        <w:ind w:firstLine="640"/>
        <w:rPr>
          <w:color w:val="000000"/>
          <w:szCs w:val="32"/>
        </w:rPr>
      </w:pPr>
      <w:r>
        <w:rPr>
          <w:rFonts w:hint="eastAsia"/>
          <w:color w:val="000000"/>
          <w:szCs w:val="32"/>
        </w:rPr>
        <w:t>（2）</w:t>
      </w:r>
      <w:r>
        <w:rPr>
          <w:color w:val="000000"/>
          <w:szCs w:val="32"/>
        </w:rPr>
        <w:t>安全风险分级管控制度及生产安全事故隐患排查治理制度落实不到位。风城油田作业区管道和站场完整性工作中，</w:t>
      </w:r>
      <w:r>
        <w:rPr>
          <w:rFonts w:hint="eastAsia"/>
          <w:color w:val="000000"/>
          <w:szCs w:val="32"/>
        </w:rPr>
        <w:t>只</w:t>
      </w:r>
      <w:r>
        <w:rPr>
          <w:color w:val="000000"/>
          <w:szCs w:val="32"/>
        </w:rPr>
        <w:t>制定了油气集输管道分类、风险等级，</w:t>
      </w:r>
      <w:r>
        <w:rPr>
          <w:rFonts w:hint="eastAsia"/>
          <w:color w:val="000000"/>
          <w:szCs w:val="32"/>
        </w:rPr>
        <w:t>没有对天然气管道制</w:t>
      </w:r>
      <w:r>
        <w:rPr>
          <w:color w:val="000000"/>
          <w:szCs w:val="32"/>
        </w:rPr>
        <w:t>定</w:t>
      </w:r>
      <w:r>
        <w:rPr>
          <w:rFonts w:hint="eastAsia"/>
          <w:color w:val="000000"/>
          <w:szCs w:val="32"/>
        </w:rPr>
        <w:t>具体的</w:t>
      </w:r>
      <w:r>
        <w:rPr>
          <w:color w:val="000000"/>
          <w:szCs w:val="32"/>
        </w:rPr>
        <w:t>管理方法和工作措施，对</w:t>
      </w:r>
      <w:r>
        <w:rPr>
          <w:rFonts w:hint="eastAsia"/>
          <w:color w:val="000000"/>
          <w:szCs w:val="32"/>
        </w:rPr>
        <w:t>天然气</w:t>
      </w:r>
      <w:r>
        <w:rPr>
          <w:color w:val="000000"/>
          <w:szCs w:val="32"/>
        </w:rPr>
        <w:t>管线安全风险认识不足，没有明确分类分级标准。</w:t>
      </w:r>
    </w:p>
    <w:p w14:paraId="614BB657">
      <w:pPr>
        <w:ind w:firstLine="643"/>
        <w:rPr>
          <w:rFonts w:ascii="仿宋_GB2312"/>
          <w:b/>
          <w:color w:val="000000"/>
          <w:szCs w:val="32"/>
        </w:rPr>
      </w:pPr>
      <w:r>
        <w:rPr>
          <w:rFonts w:hint="eastAsia" w:ascii="仿宋_GB2312"/>
          <w:b/>
          <w:color w:val="000000"/>
          <w:szCs w:val="32"/>
        </w:rPr>
        <w:t>2.监管部门安全生产监管责任履行不到位</w:t>
      </w:r>
    </w:p>
    <w:p w14:paraId="5D30AEAE">
      <w:pPr>
        <w:ind w:firstLine="640"/>
        <w:rPr>
          <w:color w:val="000000"/>
          <w:szCs w:val="32"/>
        </w:rPr>
      </w:pPr>
      <w:r>
        <w:rPr>
          <w:rFonts w:ascii="仿宋_GB2312"/>
          <w:szCs w:val="32"/>
        </w:rPr>
        <w:t>（</w:t>
      </w:r>
      <w:r>
        <w:rPr>
          <w:rFonts w:hint="eastAsia" w:ascii="仿宋_GB2312"/>
          <w:szCs w:val="32"/>
        </w:rPr>
        <w:t>1</w:t>
      </w:r>
      <w:r>
        <w:rPr>
          <w:rFonts w:ascii="仿宋_GB2312"/>
          <w:szCs w:val="32"/>
        </w:rPr>
        <w:t>）</w:t>
      </w:r>
      <w:r>
        <w:rPr>
          <w:rFonts w:hint="eastAsia" w:ascii="仿宋_GB2312"/>
          <w:szCs w:val="32"/>
        </w:rPr>
        <w:t>乌尔禾</w:t>
      </w:r>
      <w:r>
        <w:rPr>
          <w:rFonts w:hint="eastAsia"/>
          <w:color w:val="000000"/>
          <w:szCs w:val="32"/>
        </w:rPr>
        <w:t>区应急管理局督促指导风城油田作业区开展风险分级管控隐患排查管理不到位，对企业在风险辨识、隐患排查治理等方面存在的问题监管执法力度不够，督促指导企业落实安全生产主体责任不到位。</w:t>
      </w:r>
    </w:p>
    <w:p w14:paraId="5BF43B87">
      <w:pPr>
        <w:ind w:firstLine="640"/>
        <w:rPr>
          <w:rFonts w:ascii="仿宋_GB2312"/>
          <w:color w:val="000000"/>
          <w:szCs w:val="32"/>
        </w:rPr>
      </w:pPr>
      <w:r>
        <w:rPr>
          <w:rFonts w:ascii="仿宋_GB2312"/>
          <w:szCs w:val="32"/>
        </w:rPr>
        <w:t>（</w:t>
      </w:r>
      <w:r>
        <w:rPr>
          <w:rFonts w:hint="eastAsia" w:ascii="仿宋_GB2312"/>
          <w:szCs w:val="32"/>
        </w:rPr>
        <w:t>2</w:t>
      </w:r>
      <w:r>
        <w:rPr>
          <w:rFonts w:ascii="仿宋_GB2312"/>
          <w:szCs w:val="32"/>
        </w:rPr>
        <w:t>）</w:t>
      </w:r>
      <w:r>
        <w:rPr>
          <w:rFonts w:hint="eastAsia" w:ascii="仿宋_GB2312"/>
          <w:szCs w:val="32"/>
        </w:rPr>
        <w:t>乌尔禾区市场监督管理局未按照</w:t>
      </w:r>
      <w:r>
        <w:rPr>
          <w:rFonts w:hint="eastAsia"/>
          <w:szCs w:val="32"/>
        </w:rPr>
        <w:t>《中华人民共和国特种设备安全法》第五条规定对风城油田作业区特种设备的安全实施监督管理，使</w:t>
      </w:r>
      <w:r>
        <w:rPr>
          <w:rFonts w:hint="eastAsia" w:ascii="仿宋_GB2312"/>
          <w:color w:val="000000"/>
          <w:szCs w:val="32"/>
        </w:rPr>
        <w:t>风城油田作业区二号供汽联合站天然气管道安全监管缺项，对风城油田作业区特种设备定期检验工作监督指导不够。</w:t>
      </w:r>
    </w:p>
    <w:p w14:paraId="23036146">
      <w:pPr>
        <w:pStyle w:val="3"/>
        <w:ind w:firstLine="640"/>
      </w:pPr>
      <w:bookmarkStart w:id="39" w:name="_Toc171529916"/>
      <w:r>
        <w:rPr>
          <w:rFonts w:hint="eastAsia"/>
        </w:rPr>
        <w:t>（四）事故性质</w:t>
      </w:r>
      <w:bookmarkEnd w:id="39"/>
    </w:p>
    <w:p w14:paraId="6C452D76">
      <w:pPr>
        <w:overflowPunct w:val="0"/>
        <w:autoSpaceDE w:val="0"/>
        <w:autoSpaceDN w:val="0"/>
        <w:adjustRightInd w:val="0"/>
        <w:snapToGrid w:val="0"/>
        <w:ind w:firstLine="640"/>
        <w:rPr>
          <w:color w:val="000000"/>
          <w:szCs w:val="32"/>
        </w:rPr>
      </w:pPr>
      <w:r>
        <w:rPr>
          <w:rFonts w:hint="eastAsia"/>
          <w:color w:val="000000"/>
          <w:szCs w:val="32"/>
        </w:rPr>
        <w:t>经</w:t>
      </w:r>
      <w:r>
        <w:rPr>
          <w:color w:val="000000"/>
          <w:szCs w:val="32"/>
        </w:rPr>
        <w:t>调查认定，</w:t>
      </w:r>
      <w:r>
        <w:rPr>
          <w:rFonts w:hint="eastAsia" w:ascii="仿宋_GB2312"/>
          <w:color w:val="000000"/>
          <w:szCs w:val="32"/>
        </w:rPr>
        <w:t>中国石油天然气股份有限公司新疆油田分公司风城油田作业区“2.17”一般其它爆炸事故</w:t>
      </w:r>
      <w:r>
        <w:rPr>
          <w:color w:val="000000"/>
          <w:szCs w:val="32"/>
        </w:rPr>
        <w:t>是一起</w:t>
      </w:r>
      <w:r>
        <w:rPr>
          <w:rFonts w:hint="eastAsia"/>
          <w:color w:val="000000"/>
          <w:szCs w:val="32"/>
        </w:rPr>
        <w:t>因燃气爆炸造成的</w:t>
      </w:r>
      <w:r>
        <w:rPr>
          <w:color w:val="000000"/>
          <w:szCs w:val="32"/>
        </w:rPr>
        <w:t>一般生产安全责任事故。</w:t>
      </w:r>
      <w:bookmarkStart w:id="40" w:name="_Toc129106714"/>
    </w:p>
    <w:p w14:paraId="5DA8B403">
      <w:pPr>
        <w:pStyle w:val="2"/>
        <w:ind w:firstLine="640"/>
      </w:pPr>
      <w:bookmarkStart w:id="41" w:name="_Toc171529917"/>
      <w:r>
        <w:rPr>
          <w:rFonts w:hint="eastAsia"/>
        </w:rPr>
        <w:t>六、</w:t>
      </w:r>
      <w:bookmarkEnd w:id="40"/>
      <w:r>
        <w:rPr>
          <w:rFonts w:hint="eastAsia"/>
        </w:rPr>
        <w:t>对有关责任人员和单位的处理建议</w:t>
      </w:r>
      <w:bookmarkEnd w:id="41"/>
    </w:p>
    <w:p w14:paraId="1636A2B5">
      <w:pPr>
        <w:pStyle w:val="3"/>
        <w:ind w:firstLine="640"/>
      </w:pPr>
      <w:bookmarkStart w:id="42" w:name="_Toc171529918"/>
      <w:bookmarkStart w:id="43" w:name="_Toc129106715"/>
      <w:r>
        <w:t>（一）建议免于处罚的责任单位</w:t>
      </w:r>
      <w:bookmarkEnd w:id="42"/>
    </w:p>
    <w:p w14:paraId="6C6B1727">
      <w:pPr>
        <w:ind w:firstLine="640"/>
        <w:rPr>
          <w:szCs w:val="32"/>
        </w:rPr>
      </w:pPr>
      <w:r>
        <w:rPr>
          <w:rFonts w:hint="eastAsia" w:ascii="仿宋_GB2312"/>
          <w:color w:val="000000"/>
          <w:szCs w:val="32"/>
        </w:rPr>
        <w:t>根据《中华人民共和国安全生产法》第一百一十四条第一项</w:t>
      </w:r>
      <w:r>
        <w:rPr>
          <w:rStyle w:val="24"/>
          <w:rFonts w:hint="eastAsia" w:ascii="仿宋_GB2312"/>
          <w:color w:val="000000"/>
          <w:szCs w:val="32"/>
        </w:rPr>
        <w:t>[</w:t>
      </w:r>
      <w:r>
        <w:rPr>
          <w:rStyle w:val="24"/>
          <w:rFonts w:hint="eastAsia" w:ascii="仿宋_GB2312"/>
          <w:color w:val="000000"/>
          <w:szCs w:val="32"/>
        </w:rPr>
        <w:footnoteReference w:id="6"/>
      </w:r>
      <w:r>
        <w:rPr>
          <w:rStyle w:val="24"/>
          <w:rFonts w:hint="eastAsia" w:ascii="仿宋_GB2312"/>
          <w:color w:val="000000"/>
          <w:szCs w:val="32"/>
        </w:rPr>
        <w:t>]</w:t>
      </w:r>
      <w:r>
        <w:rPr>
          <w:rFonts w:hint="eastAsia" w:ascii="仿宋_GB2312"/>
          <w:color w:val="000000"/>
          <w:szCs w:val="32"/>
        </w:rPr>
        <w:t>及《新疆维吾尔自治区应急管理系统行政处罚自由裁量基准》6.5.1.1</w:t>
      </w:r>
      <w:r>
        <w:rPr>
          <w:rStyle w:val="24"/>
          <w:rFonts w:hint="eastAsia" w:ascii="仿宋_GB2312"/>
          <w:color w:val="000000"/>
          <w:szCs w:val="32"/>
        </w:rPr>
        <w:t>[</w:t>
      </w:r>
      <w:r>
        <w:rPr>
          <w:rStyle w:val="24"/>
          <w:rFonts w:hint="eastAsia" w:ascii="仿宋_GB2312"/>
          <w:color w:val="000000"/>
          <w:szCs w:val="32"/>
        </w:rPr>
        <w:footnoteReference w:id="7"/>
      </w:r>
      <w:r>
        <w:rPr>
          <w:rStyle w:val="24"/>
          <w:rFonts w:hint="eastAsia" w:ascii="仿宋_GB2312"/>
          <w:color w:val="000000"/>
          <w:szCs w:val="32"/>
        </w:rPr>
        <w:t>]</w:t>
      </w:r>
      <w:r>
        <w:rPr>
          <w:rFonts w:hint="eastAsia" w:ascii="仿宋_GB2312"/>
          <w:color w:val="000000"/>
          <w:szCs w:val="32"/>
        </w:rPr>
        <w:t>规定，建议对新疆油田分公司不予罚款的行政处罚。</w:t>
      </w:r>
    </w:p>
    <w:p w14:paraId="258F26D1">
      <w:pPr>
        <w:pStyle w:val="3"/>
        <w:ind w:firstLine="640"/>
      </w:pPr>
      <w:bookmarkStart w:id="44" w:name="_Toc171529919"/>
      <w:r>
        <w:rPr>
          <w:rFonts w:hint="eastAsia"/>
        </w:rPr>
        <w:t>（二）建议企业内部处理的相关责任人员</w:t>
      </w:r>
      <w:bookmarkEnd w:id="44"/>
    </w:p>
    <w:p w14:paraId="7DAABDD4">
      <w:pPr>
        <w:ind w:firstLine="640"/>
        <w:rPr>
          <w:rFonts w:ascii="仿宋_GB2312" w:hAnsi="宋体" w:cs="宋体"/>
          <w:szCs w:val="32"/>
        </w:rPr>
      </w:pPr>
      <w:r>
        <w:rPr>
          <w:rFonts w:hint="eastAsia" w:ascii="仿宋_GB2312"/>
          <w:szCs w:val="32"/>
        </w:rPr>
        <w:t>(1)</w:t>
      </w:r>
      <w:r>
        <w:rPr>
          <w:rFonts w:hint="eastAsia"/>
          <w:szCs w:val="32"/>
        </w:rPr>
        <w:t>吕</w:t>
      </w:r>
      <w:r>
        <w:rPr>
          <w:rFonts w:hint="eastAsia"/>
          <w:szCs w:val="32"/>
          <w:lang w:val="en-US" w:eastAsia="zh-CN"/>
        </w:rPr>
        <w:t>XX</w:t>
      </w:r>
      <w:r>
        <w:rPr>
          <w:rFonts w:hint="eastAsia" w:ascii="仿宋_GB2312" w:hAnsi="宋体" w:cs="宋体"/>
          <w:szCs w:val="32"/>
        </w:rPr>
        <w:t>，中共党员，风城油田作业区党委书记、经理，负责本单位全面工作，</w:t>
      </w:r>
      <w:r>
        <w:t>组织开展安全风险分级管控和隐患排查治理工作不到位，</w:t>
      </w:r>
      <w:r>
        <w:rPr>
          <w:rFonts w:hint="eastAsia"/>
        </w:rPr>
        <w:t>对管线安全风险分析不足，</w:t>
      </w:r>
      <w:r>
        <w:t>未能及时消除本单位</w:t>
      </w:r>
      <w:r>
        <w:rPr>
          <w:rFonts w:hint="eastAsia"/>
        </w:rPr>
        <w:t>管线长期未检</w:t>
      </w:r>
      <w:r>
        <w:t>事故隐患，</w:t>
      </w:r>
      <w:r>
        <w:rPr>
          <w:rFonts w:hint="eastAsia"/>
        </w:rPr>
        <w:t>造成管线腐蚀泄漏。</w:t>
      </w:r>
    </w:p>
    <w:p w14:paraId="30C526FF">
      <w:pPr>
        <w:ind w:firstLine="640"/>
        <w:rPr>
          <w:szCs w:val="32"/>
        </w:rPr>
      </w:pPr>
      <w:r>
        <w:rPr>
          <w:rFonts w:hint="eastAsia" w:ascii="仿宋_GB2312" w:hAnsi="宋体" w:cs="宋体"/>
          <w:szCs w:val="32"/>
        </w:rPr>
        <w:t>(2)朱</w:t>
      </w:r>
      <w:r>
        <w:rPr>
          <w:rFonts w:hint="eastAsia" w:ascii="仿宋_GB2312" w:hAnsi="宋体" w:cs="宋体"/>
          <w:szCs w:val="32"/>
          <w:lang w:val="en-US" w:eastAsia="zh-CN"/>
        </w:rPr>
        <w:t>XX</w:t>
      </w:r>
      <w:r>
        <w:rPr>
          <w:rFonts w:hint="eastAsia" w:ascii="仿宋_GB2312" w:hAnsi="宋体" w:cs="宋体"/>
          <w:szCs w:val="32"/>
        </w:rPr>
        <w:t>，中共党员，风城油田作业区党委委员、副经理，作为管道完整性业务的分管领导，未督促业务科室加强三类管线管理，对管线安全风险分析不足，没有考虑到环境变化对管线的影响因素，管线长期未检，造成管线腐蚀泄漏，未制定完善有效的</w:t>
      </w:r>
      <w:r>
        <w:rPr>
          <w:rFonts w:hint="eastAsia"/>
          <w:szCs w:val="32"/>
        </w:rPr>
        <w:t>安全生产管理改进措施。</w:t>
      </w:r>
    </w:p>
    <w:p w14:paraId="6D9FE051">
      <w:pPr>
        <w:overflowPunct w:val="0"/>
        <w:autoSpaceDE w:val="0"/>
        <w:autoSpaceDN w:val="0"/>
        <w:adjustRightInd w:val="0"/>
        <w:snapToGrid w:val="0"/>
        <w:ind w:firstLine="640"/>
        <w:rPr>
          <w:szCs w:val="32"/>
        </w:rPr>
      </w:pPr>
      <w:r>
        <w:rPr>
          <w:rFonts w:hint="eastAsia"/>
          <w:szCs w:val="32"/>
        </w:rPr>
        <w:t>（3）王</w:t>
      </w:r>
      <w:r>
        <w:rPr>
          <w:rFonts w:hint="eastAsia"/>
          <w:szCs w:val="32"/>
          <w:lang w:val="en-US" w:eastAsia="zh-CN"/>
        </w:rPr>
        <w:t>XX</w:t>
      </w:r>
      <w:r>
        <w:rPr>
          <w:rFonts w:hint="eastAsia"/>
          <w:szCs w:val="32"/>
        </w:rPr>
        <w:t>，中共党员，风城油田作业区生产技术科科长，负责生产技术科全面工作，是管道完整性工作具体业务负责人，未依据《中华人民共和国特种设备安全法》第三十九条、《天然气管道检验规程》Q/SY05093-2017等法律及标准要求制定完善天然气管道检测时间，管道完整性制度内容缺失。</w:t>
      </w:r>
      <w:bookmarkStart w:id="45" w:name="_Toc145407447"/>
    </w:p>
    <w:p w14:paraId="092EF3E8">
      <w:pPr>
        <w:pStyle w:val="3"/>
        <w:ind w:firstLine="640"/>
      </w:pPr>
      <w:bookmarkStart w:id="46" w:name="_Toc171529920"/>
      <w:r>
        <w:t>（三）其他处理意见</w:t>
      </w:r>
      <w:bookmarkEnd w:id="45"/>
      <w:bookmarkEnd w:id="46"/>
    </w:p>
    <w:p w14:paraId="670BFE94">
      <w:pPr>
        <w:ind w:firstLine="640"/>
        <w:rPr>
          <w:rFonts w:ascii="仿宋_GB2312"/>
          <w:szCs w:val="32"/>
        </w:rPr>
      </w:pPr>
      <w:r>
        <w:rPr>
          <w:rFonts w:hint="eastAsia" w:ascii="仿宋_GB2312"/>
          <w:szCs w:val="32"/>
        </w:rPr>
        <w:t>乌尔禾区应急管理局对辖区非煤矿山企业安全监管不到位，指导企业落实安全生产主体责任不到位，督促企业安全生产风险防控和安全生产隐患排查治理等工作不扎实、不彻底，</w:t>
      </w:r>
      <w:r>
        <w:rPr>
          <w:rFonts w:ascii="仿宋_GB2312"/>
          <w:szCs w:val="32"/>
        </w:rPr>
        <w:t>责成</w:t>
      </w:r>
      <w:r>
        <w:rPr>
          <w:rFonts w:hint="eastAsia" w:ascii="仿宋_GB2312"/>
          <w:szCs w:val="32"/>
        </w:rPr>
        <w:t>乌尔禾</w:t>
      </w:r>
      <w:r>
        <w:rPr>
          <w:rFonts w:ascii="仿宋_GB2312"/>
          <w:szCs w:val="32"/>
        </w:rPr>
        <w:t>区</w:t>
      </w:r>
      <w:r>
        <w:rPr>
          <w:rFonts w:hint="eastAsia" w:ascii="仿宋_GB2312"/>
          <w:szCs w:val="32"/>
        </w:rPr>
        <w:t>应急管理局</w:t>
      </w:r>
      <w:r>
        <w:rPr>
          <w:rFonts w:ascii="仿宋_GB2312"/>
          <w:szCs w:val="32"/>
        </w:rPr>
        <w:t>向区人民政府</w:t>
      </w:r>
      <w:r>
        <w:rPr>
          <w:rFonts w:hint="eastAsia" w:ascii="仿宋_GB2312"/>
          <w:szCs w:val="32"/>
          <w:lang w:val="en-US" w:eastAsia="zh-CN"/>
        </w:rPr>
        <w:t>作出</w:t>
      </w:r>
      <w:r>
        <w:rPr>
          <w:rFonts w:ascii="仿宋_GB2312"/>
          <w:szCs w:val="32"/>
        </w:rPr>
        <w:t>深刻书面检查。</w:t>
      </w:r>
    </w:p>
    <w:p w14:paraId="2240B8E3">
      <w:pPr>
        <w:ind w:firstLine="640"/>
        <w:rPr>
          <w:rFonts w:ascii="仿宋_GB2312"/>
          <w:color w:val="000000"/>
          <w:szCs w:val="32"/>
        </w:rPr>
      </w:pPr>
      <w:r>
        <w:rPr>
          <w:rFonts w:hint="eastAsia" w:ascii="仿宋_GB2312"/>
          <w:color w:val="000000"/>
          <w:szCs w:val="32"/>
        </w:rPr>
        <w:t>乌尔禾区市场监督管理局未按照《中华人民共和国特种设备安全法》第</w:t>
      </w:r>
      <w:r>
        <w:rPr>
          <w:rFonts w:hint="eastAsia"/>
          <w:szCs w:val="32"/>
        </w:rPr>
        <w:t>五条规定对风城油田作业区特种设备的安全实施监督管理，使</w:t>
      </w:r>
      <w:r>
        <w:rPr>
          <w:rFonts w:hint="eastAsia" w:ascii="仿宋_GB2312"/>
          <w:color w:val="000000"/>
          <w:szCs w:val="32"/>
        </w:rPr>
        <w:t>风城油田作业区二号供汽联合站天然气管道安全监管缺项，对风城油田作业区特种设备定期检验工作监督指导不够，</w:t>
      </w:r>
      <w:r>
        <w:rPr>
          <w:rFonts w:ascii="仿宋_GB2312"/>
          <w:szCs w:val="32"/>
        </w:rPr>
        <w:t>责成</w:t>
      </w:r>
      <w:r>
        <w:rPr>
          <w:rFonts w:hint="eastAsia" w:ascii="仿宋_GB2312"/>
          <w:szCs w:val="32"/>
        </w:rPr>
        <w:t>乌尔禾区市场监督管理局</w:t>
      </w:r>
      <w:r>
        <w:rPr>
          <w:rFonts w:ascii="仿宋_GB2312"/>
          <w:szCs w:val="32"/>
        </w:rPr>
        <w:t>向区人民政府</w:t>
      </w:r>
      <w:r>
        <w:rPr>
          <w:rFonts w:hint="eastAsia" w:ascii="仿宋_GB2312"/>
          <w:szCs w:val="32"/>
          <w:lang w:val="en-US" w:eastAsia="zh-CN"/>
        </w:rPr>
        <w:t>作出</w:t>
      </w:r>
      <w:r>
        <w:rPr>
          <w:rFonts w:ascii="仿宋_GB2312"/>
          <w:szCs w:val="32"/>
        </w:rPr>
        <w:t>深刻书面检查</w:t>
      </w:r>
      <w:r>
        <w:rPr>
          <w:rFonts w:hint="eastAsia" w:ascii="仿宋_GB2312"/>
          <w:color w:val="000000"/>
          <w:szCs w:val="32"/>
        </w:rPr>
        <w:t>。</w:t>
      </w:r>
    </w:p>
    <w:p w14:paraId="4B5AB8D5">
      <w:pPr>
        <w:pStyle w:val="2"/>
        <w:ind w:firstLine="640"/>
        <w:rPr>
          <w:kern w:val="2"/>
        </w:rPr>
      </w:pPr>
      <w:bookmarkStart w:id="47" w:name="_Toc171529921"/>
      <w:r>
        <w:rPr>
          <w:rFonts w:hint="eastAsia"/>
        </w:rPr>
        <w:t>七、整改防范措施建议</w:t>
      </w:r>
      <w:bookmarkEnd w:id="47"/>
    </w:p>
    <w:p w14:paraId="64D865BE">
      <w:pPr>
        <w:pStyle w:val="3"/>
        <w:ind w:firstLine="640"/>
        <w:rPr>
          <w:kern w:val="2"/>
        </w:rPr>
      </w:pPr>
      <w:bookmarkStart w:id="48" w:name="_Toc171529922"/>
      <w:r>
        <w:rPr>
          <w:rFonts w:hint="eastAsia"/>
          <w:kern w:val="2"/>
        </w:rPr>
        <w:t>（一）加强管道风险评价，提升本质安全水平</w:t>
      </w:r>
      <w:bookmarkEnd w:id="48"/>
    </w:p>
    <w:p w14:paraId="279A6848">
      <w:pPr>
        <w:ind w:firstLine="640"/>
        <w:rPr>
          <w:kern w:val="2"/>
        </w:rPr>
      </w:pPr>
      <w:bookmarkStart w:id="49" w:name="_Toc129106717"/>
      <w:r>
        <w:rPr>
          <w:rFonts w:hint="eastAsia"/>
          <w:kern w:val="2"/>
        </w:rPr>
        <w:t>企业要加大人力物力投入，加强油气管道日常巡护，组织技术及设备专业人员，全面排查存在的事故隐患，针对敷设地下天然气管道，要组织技术专家开展全过程危害识别，开展风险评价，细化管道分类管理，要认真分析、科学研究，并结合现场实际情况落实本质安全措施，有效实现技防结合人防</w:t>
      </w:r>
      <w:bookmarkStart w:id="50" w:name="_Toc129106716"/>
      <w:r>
        <w:rPr>
          <w:rFonts w:hint="eastAsia"/>
          <w:kern w:val="2"/>
        </w:rPr>
        <w:t>，提升本质安全水平。</w:t>
      </w:r>
    </w:p>
    <w:p w14:paraId="1F0AFC81">
      <w:pPr>
        <w:pStyle w:val="3"/>
        <w:ind w:firstLine="640"/>
        <w:rPr>
          <w:kern w:val="2"/>
        </w:rPr>
      </w:pPr>
      <w:bookmarkStart w:id="51" w:name="_Toc171529923"/>
      <w:r>
        <w:rPr>
          <w:rFonts w:hint="eastAsia"/>
          <w:kern w:val="2"/>
        </w:rPr>
        <w:t>（二）</w:t>
      </w:r>
      <w:bookmarkEnd w:id="49"/>
      <w:bookmarkEnd w:id="50"/>
      <w:r>
        <w:rPr>
          <w:rFonts w:hint="eastAsia"/>
          <w:kern w:val="2"/>
        </w:rPr>
        <w:t>强化全员责任落实，进一步提升风险管控能力</w:t>
      </w:r>
      <w:bookmarkEnd w:id="43"/>
      <w:bookmarkEnd w:id="51"/>
    </w:p>
    <w:p w14:paraId="5CC83D5D">
      <w:pPr>
        <w:ind w:firstLine="640"/>
        <w:rPr>
          <w:rFonts w:ascii="仿宋_GB2312"/>
          <w:szCs w:val="32"/>
        </w:rPr>
      </w:pPr>
      <w:bookmarkStart w:id="52" w:name="_Toc129106718"/>
      <w:r>
        <w:rPr>
          <w:rFonts w:hint="eastAsia" w:ascii="仿宋_GB2312"/>
          <w:szCs w:val="32"/>
        </w:rPr>
        <w:t>全面推进风险分级管控和隐患排查治理双重预防机制建设。结合此次事故暴露出的问题，覆盖全部设备设施、工艺流程以及作业过程，全面辨识安全风险。根据辨识出的各类安全风险分级制定有效的管控措施，明确措施落实责任领导、责任部门和责任人员，进而转化为隐患排查清单，并在日常宣教培训和隐患排查等工作中落实到位，确保风险可控。</w:t>
      </w:r>
    </w:p>
    <w:p w14:paraId="7526245D">
      <w:pPr>
        <w:pStyle w:val="3"/>
        <w:ind w:firstLine="640"/>
        <w:rPr>
          <w:kern w:val="2"/>
        </w:rPr>
      </w:pPr>
      <w:bookmarkStart w:id="53" w:name="_Toc171529924"/>
      <w:r>
        <w:rPr>
          <w:rFonts w:hint="eastAsia"/>
          <w:kern w:val="2"/>
        </w:rPr>
        <w:t>（三）强化安全教育培训，</w:t>
      </w:r>
      <w:bookmarkEnd w:id="52"/>
      <w:r>
        <w:rPr>
          <w:rFonts w:hint="eastAsia"/>
          <w:kern w:val="2"/>
        </w:rPr>
        <w:t>深刻汲取事故教训</w:t>
      </w:r>
      <w:bookmarkEnd w:id="53"/>
      <w:bookmarkStart w:id="54" w:name="_Toc129106722"/>
    </w:p>
    <w:p w14:paraId="3AF32EAA">
      <w:pPr>
        <w:pStyle w:val="15"/>
        <w:spacing w:before="0" w:beforeAutospacing="0" w:after="0" w:afterAutospacing="0"/>
        <w:ind w:firstLine="643"/>
        <w:jc w:val="both"/>
        <w:rPr>
          <w:rFonts w:ascii="仿宋_GB2312" w:hAnsi="Times New Roman" w:cs="Times New Roman"/>
          <w:sz w:val="32"/>
          <w:szCs w:val="32"/>
        </w:rPr>
      </w:pPr>
      <w:r>
        <w:rPr>
          <w:rFonts w:hint="eastAsia" w:ascii="仿宋_GB2312" w:hAnsi="Times New Roman" w:cs="Times New Roman"/>
          <w:b/>
          <w:sz w:val="32"/>
          <w:szCs w:val="32"/>
        </w:rPr>
        <w:t>一是</w:t>
      </w:r>
      <w:r>
        <w:rPr>
          <w:rFonts w:hint="eastAsia" w:ascii="仿宋_GB2312" w:hAnsi="Times New Roman" w:cs="Times New Roman"/>
          <w:sz w:val="32"/>
          <w:szCs w:val="32"/>
        </w:rPr>
        <w:t>督促企业深入学习贯彻习近平总书记关于安全生产重要论述及指示批示精神，组织分析事故原因，开展事故案例警示教育，定期开展事故警示复盘工作，做好新员工、返岗员工的安全教育培训，全面提升员工防火防爆、应急处置、隐患排查的能力；</w:t>
      </w:r>
      <w:r>
        <w:rPr>
          <w:rFonts w:hint="eastAsia" w:ascii="仿宋_GB2312" w:hAnsi="Times New Roman" w:cs="Times New Roman"/>
          <w:b/>
          <w:sz w:val="32"/>
          <w:szCs w:val="32"/>
        </w:rPr>
        <w:t>二是</w:t>
      </w:r>
      <w:r>
        <w:rPr>
          <w:rFonts w:hint="eastAsia" w:ascii="仿宋_GB2312" w:hAnsi="Times New Roman" w:cs="Times New Roman"/>
          <w:sz w:val="32"/>
          <w:szCs w:val="32"/>
        </w:rPr>
        <w:t>严格安全生产考核程序，做好现场员工安全风险防范措施及处置能力考核，考核不合格的不得上岗作业。</w:t>
      </w:r>
      <w:r>
        <w:rPr>
          <w:rFonts w:ascii="仿宋_GB2312" w:hAnsi="Times New Roman" w:cs="Times New Roman"/>
          <w:sz w:val="32"/>
          <w:szCs w:val="32"/>
        </w:rPr>
        <w:t xml:space="preserve"> </w:t>
      </w:r>
    </w:p>
    <w:p w14:paraId="39453699">
      <w:pPr>
        <w:pStyle w:val="3"/>
        <w:ind w:firstLine="640"/>
        <w:rPr>
          <w:kern w:val="2"/>
        </w:rPr>
      </w:pPr>
      <w:bookmarkStart w:id="55" w:name="_Toc171529925"/>
      <w:r>
        <w:rPr>
          <w:rFonts w:hint="eastAsia"/>
          <w:kern w:val="2"/>
        </w:rPr>
        <w:t>（四）加强安全生产统筹协调能力，提升企业全盘管理水平</w:t>
      </w:r>
      <w:bookmarkEnd w:id="55"/>
    </w:p>
    <w:p w14:paraId="49EBE4F6">
      <w:pPr>
        <w:ind w:firstLine="643"/>
      </w:pPr>
      <w:r>
        <w:rPr>
          <w:rFonts w:hint="eastAsia"/>
          <w:b/>
        </w:rPr>
        <w:t>一是</w:t>
      </w:r>
      <w:r>
        <w:rPr>
          <w:rFonts w:hint="eastAsia"/>
        </w:rPr>
        <w:t>企业要进一步完善各单位的安全风险管控清单，明确各类交叉作业安全生产防范措施及各单位工作责任；</w:t>
      </w:r>
      <w:r>
        <w:rPr>
          <w:rFonts w:hint="eastAsia"/>
          <w:b/>
        </w:rPr>
        <w:t>二是</w:t>
      </w:r>
      <w:r>
        <w:rPr>
          <w:rFonts w:hint="eastAsia"/>
        </w:rPr>
        <w:t>严格执行安全生产“五交底”工作，及时向作业现场涉及的相关单位进行报备，确保各项安全生产职责履职到位，没有漏项，从根源上防范此类事故发生。</w:t>
      </w:r>
    </w:p>
    <w:p w14:paraId="35321FBD">
      <w:pPr>
        <w:pStyle w:val="3"/>
        <w:ind w:firstLine="640"/>
        <w:rPr>
          <w:kern w:val="2"/>
        </w:rPr>
      </w:pPr>
      <w:bookmarkStart w:id="56" w:name="_Toc171529926"/>
      <w:r>
        <w:rPr>
          <w:rFonts w:hint="eastAsia"/>
          <w:kern w:val="2"/>
        </w:rPr>
        <w:t>（五）加大执法监察力度，倒逼企业落实安全责任</w:t>
      </w:r>
      <w:bookmarkEnd w:id="54"/>
      <w:bookmarkEnd w:id="56"/>
    </w:p>
    <w:p w14:paraId="07024AB9">
      <w:pPr>
        <w:ind w:firstLine="643"/>
        <w:rPr>
          <w:kern w:val="2"/>
        </w:rPr>
      </w:pPr>
      <w:r>
        <w:rPr>
          <w:rFonts w:hint="eastAsia"/>
          <w:b/>
          <w:kern w:val="2"/>
        </w:rPr>
        <w:t>应急管理局</w:t>
      </w:r>
      <w:r>
        <w:rPr>
          <w:rFonts w:hint="eastAsia"/>
          <w:kern w:val="2"/>
        </w:rPr>
        <w:t>要依法加强对非煤矿山生产经营单位的执法检查，加大对企业主要负责人及安全管理机构依法履职情况检查指导力度，规范检查内容，明确检查标准，提高执法检查的专业性、精准性和有效性，落实发现、纠正、整改、复查和跟踪等执法闭环管理措施。</w:t>
      </w:r>
      <w:r>
        <w:rPr>
          <w:rFonts w:hint="eastAsia"/>
          <w:b/>
          <w:kern w:val="2"/>
        </w:rPr>
        <w:t>市场监督管理局</w:t>
      </w:r>
      <w:r>
        <w:rPr>
          <w:rFonts w:hint="eastAsia"/>
          <w:kern w:val="2"/>
        </w:rPr>
        <w:t>要依据《特种设备安全监察条例》中压力管道的标准，梳理辖区压力管道情况，做好对压力管道安全监管工作，督促企业严格按照法律法规及行业标准要求定期开展压力管道检验，对未按要求检验的严格执法。</w:t>
      </w:r>
    </w:p>
    <w:p w14:paraId="6BBA12DF">
      <w:pPr>
        <w:pStyle w:val="33"/>
        <w:widowControl w:val="0"/>
        <w:tabs>
          <w:tab w:val="right" w:leader="dot" w:pos="8306"/>
        </w:tabs>
        <w:spacing w:line="560" w:lineRule="exact"/>
        <w:ind w:firstLine="640"/>
        <w:jc w:val="both"/>
        <w:outlineLvl w:val="1"/>
        <w:rPr>
          <w:rFonts w:ascii="Times New Roman" w:hAnsi="Times New Roman" w:eastAsia="仿宋_GB2312"/>
          <w:color w:val="000000"/>
          <w:kern w:val="2"/>
          <w:sz w:val="32"/>
          <w:szCs w:val="24"/>
        </w:rPr>
      </w:pPr>
    </w:p>
    <w:p w14:paraId="4AB0890D">
      <w:pPr>
        <w:ind w:firstLine="640"/>
        <w:rPr>
          <w:kern w:val="2"/>
        </w:rPr>
      </w:pPr>
      <w:r>
        <w:t>附件：</w:t>
      </w:r>
      <w:r>
        <w:rPr>
          <w:kern w:val="2"/>
        </w:rPr>
        <w:t>1.关于成立事故调查组的请示</w:t>
      </w:r>
    </w:p>
    <w:p w14:paraId="2EE9A09F">
      <w:pPr>
        <w:ind w:firstLine="640"/>
        <w:rPr>
          <w:kern w:val="2"/>
        </w:rPr>
      </w:pPr>
      <w:bookmarkStart w:id="57" w:name="_Toc129106725"/>
      <w:r>
        <w:rPr>
          <w:kern w:val="2"/>
        </w:rPr>
        <w:t>2.关于成立事故调查组的批复</w:t>
      </w:r>
      <w:bookmarkEnd w:id="57"/>
    </w:p>
    <w:p w14:paraId="0061A622">
      <w:pPr>
        <w:ind w:firstLine="640"/>
        <w:rPr>
          <w:kern w:val="2"/>
        </w:rPr>
      </w:pPr>
      <w:bookmarkStart w:id="58" w:name="_Toc129106726"/>
      <w:r>
        <w:rPr>
          <w:kern w:val="2"/>
        </w:rPr>
        <w:t>3.事故现场示意图</w:t>
      </w:r>
      <w:bookmarkEnd w:id="58"/>
      <w:r>
        <w:rPr>
          <w:rFonts w:hint="eastAsia"/>
          <w:kern w:val="2"/>
        </w:rPr>
        <w:t>及工艺管道图</w:t>
      </w:r>
    </w:p>
    <w:p w14:paraId="37DB7F49">
      <w:pPr>
        <w:ind w:firstLine="640"/>
      </w:pPr>
      <w:bookmarkStart w:id="59" w:name="_Toc129106728"/>
      <w:r>
        <w:rPr>
          <w:rFonts w:hint="eastAsia"/>
          <w:kern w:val="2"/>
        </w:rPr>
        <w:t>4</w:t>
      </w:r>
      <w:bookmarkEnd w:id="59"/>
      <w:bookmarkStart w:id="60" w:name="_Toc129106730"/>
      <w:r>
        <w:t>.事故</w:t>
      </w:r>
      <w:r>
        <w:rPr>
          <w:rFonts w:hint="eastAsia"/>
        </w:rPr>
        <w:t>伤者</w:t>
      </w:r>
      <w:r>
        <w:t>人员名单</w:t>
      </w:r>
      <w:bookmarkEnd w:id="60"/>
    </w:p>
    <w:p w14:paraId="20DC994B">
      <w:pPr>
        <w:ind w:firstLine="640"/>
      </w:pPr>
      <w:r>
        <w:rPr>
          <w:rFonts w:hint="eastAsia"/>
        </w:rPr>
        <w:t>5.伤者诊断书</w:t>
      </w:r>
    </w:p>
    <w:p w14:paraId="7F16E402">
      <w:pPr>
        <w:ind w:firstLine="640"/>
      </w:pPr>
      <w:r>
        <w:rPr>
          <w:rFonts w:hint="eastAsia"/>
        </w:rPr>
        <w:t>6.腐蚀天然气管线图片</w:t>
      </w:r>
    </w:p>
    <w:p w14:paraId="3E63F5B1">
      <w:pPr>
        <w:ind w:firstLine="198" w:firstLineChars="62"/>
      </w:pPr>
    </w:p>
    <w:p w14:paraId="1096F6A3">
      <w:pPr>
        <w:ind w:firstLine="1600" w:firstLineChars="500"/>
      </w:pPr>
    </w:p>
    <w:p w14:paraId="0994D2A1">
      <w:pPr>
        <w:ind w:firstLine="1600" w:firstLineChars="500"/>
      </w:pPr>
    </w:p>
    <w:p w14:paraId="59956872">
      <w:pPr>
        <w:ind w:firstLine="1600" w:firstLineChars="500"/>
      </w:pPr>
    </w:p>
    <w:p w14:paraId="2D0F9853">
      <w:pPr>
        <w:ind w:firstLine="1600" w:firstLineChars="500"/>
      </w:pPr>
    </w:p>
    <w:p w14:paraId="253DC6F9">
      <w:pPr>
        <w:ind w:firstLine="1600" w:firstLineChars="500"/>
      </w:pPr>
    </w:p>
    <w:p w14:paraId="6FCCD59F">
      <w:pPr>
        <w:ind w:firstLine="1600" w:firstLineChars="500"/>
      </w:pPr>
    </w:p>
    <w:p w14:paraId="1D60E072">
      <w:pPr>
        <w:ind w:firstLine="3840" w:firstLineChars="1200"/>
      </w:pPr>
      <w:r>
        <w:rPr>
          <w:rFonts w:hint="eastAsia"/>
        </w:rPr>
        <w:t>新疆油田分公司风城油田作业区</w:t>
      </w:r>
    </w:p>
    <w:p w14:paraId="56242F98">
      <w:pPr>
        <w:ind w:firstLine="4800" w:firstLineChars="1500"/>
      </w:pPr>
      <w:r>
        <w:rPr>
          <w:rFonts w:hint="eastAsia"/>
        </w:rPr>
        <w:t>“2.17”一般其它爆炸</w:t>
      </w:r>
    </w:p>
    <w:p w14:paraId="67267B81">
      <w:pPr>
        <w:ind w:firstLine="5280" w:firstLineChars="1650"/>
      </w:pPr>
      <w:r>
        <w:rPr>
          <w:rFonts w:hint="eastAsia"/>
        </w:rPr>
        <w:t>事故调查组</w:t>
      </w:r>
    </w:p>
    <w:p w14:paraId="7D934D37">
      <w:pPr>
        <w:ind w:firstLine="3680" w:firstLineChars="1150"/>
      </w:pPr>
      <w:r>
        <w:rPr>
          <w:rFonts w:hint="eastAsia"/>
        </w:rPr>
        <w:t xml:space="preserve">         2024年4月7日</w:t>
      </w:r>
    </w:p>
    <w:p w14:paraId="39E5DFCF">
      <w:pPr>
        <w:ind w:firstLine="0" w:firstLineChars="0"/>
        <w:rPr>
          <w:color w:val="000000"/>
        </w:rPr>
      </w:pPr>
    </w:p>
    <w:p w14:paraId="565F1EAA">
      <w:pPr>
        <w:ind w:firstLine="0" w:firstLineChars="0"/>
        <w:rPr>
          <w:color w:val="000000"/>
        </w:rPr>
      </w:pPr>
    </w:p>
    <w:p w14:paraId="505C1D70">
      <w:pPr>
        <w:ind w:firstLine="0" w:firstLineChars="0"/>
        <w:rPr>
          <w:color w:val="000000"/>
        </w:rPr>
      </w:pPr>
    </w:p>
    <w:p w14:paraId="28922397">
      <w:pPr>
        <w:ind w:firstLine="0" w:firstLineChars="0"/>
        <w:rPr>
          <w:color w:val="000000"/>
        </w:rPr>
      </w:pPr>
    </w:p>
    <w:p w14:paraId="78D210E4">
      <w:pPr>
        <w:ind w:firstLine="0" w:firstLineChars="0"/>
        <w:rPr>
          <w:color w:val="000000"/>
        </w:rPr>
      </w:pPr>
    </w:p>
    <w:p w14:paraId="032D23B9">
      <w:pPr>
        <w:ind w:firstLine="0" w:firstLineChars="0"/>
        <w:rPr>
          <w:color w:val="000000"/>
        </w:rPr>
      </w:pPr>
    </w:p>
    <w:p w14:paraId="780399D3">
      <w:pPr>
        <w:ind w:firstLine="0" w:firstLineChars="0"/>
        <w:rPr>
          <w:color w:val="000000"/>
        </w:rPr>
      </w:pPr>
    </w:p>
    <w:p w14:paraId="0FD9B047">
      <w:pPr>
        <w:ind w:firstLine="0" w:firstLineChars="0"/>
        <w:rPr>
          <w:color w:val="000000"/>
        </w:rPr>
      </w:pPr>
    </w:p>
    <w:p w14:paraId="32566484">
      <w:pPr>
        <w:ind w:firstLine="0" w:firstLineChars="0"/>
        <w:rPr>
          <w:rFonts w:hint="eastAsia"/>
          <w:color w:val="000000"/>
        </w:rPr>
      </w:pPr>
    </w:p>
    <w:p w14:paraId="3577EBA2">
      <w:pPr>
        <w:ind w:firstLine="0" w:firstLineChars="0"/>
        <w:rPr>
          <w:rFonts w:hint="eastAsia"/>
          <w:color w:val="000000"/>
        </w:rPr>
      </w:pPr>
    </w:p>
    <w:p w14:paraId="7D82786E">
      <w:pPr>
        <w:ind w:firstLine="0" w:firstLineChars="0"/>
        <w:rPr>
          <w:rFonts w:hint="eastAsia"/>
          <w:color w:val="000000"/>
        </w:rPr>
      </w:pPr>
    </w:p>
    <w:p w14:paraId="1C6DD255">
      <w:pPr>
        <w:ind w:firstLine="0" w:firstLineChars="0"/>
        <w:rPr>
          <w:rFonts w:hint="eastAsia"/>
          <w:color w:val="000000"/>
        </w:rPr>
      </w:pPr>
    </w:p>
    <w:p w14:paraId="5813F8F9">
      <w:pPr>
        <w:ind w:firstLine="0" w:firstLineChars="0"/>
        <w:rPr>
          <w:rFonts w:hint="eastAsia"/>
          <w:color w:val="000000"/>
        </w:rPr>
      </w:pPr>
    </w:p>
    <w:p w14:paraId="6A1F38A5">
      <w:pPr>
        <w:ind w:firstLine="0" w:firstLineChars="0"/>
        <w:rPr>
          <w:rFonts w:hint="eastAsia"/>
          <w:color w:val="000000"/>
        </w:rPr>
      </w:pPr>
    </w:p>
    <w:p w14:paraId="480E315E">
      <w:pPr>
        <w:ind w:firstLine="0" w:firstLineChars="0"/>
        <w:rPr>
          <w:rFonts w:hint="eastAsia"/>
          <w:color w:val="000000"/>
        </w:rPr>
      </w:pPr>
    </w:p>
    <w:p w14:paraId="5242ADBE">
      <w:pPr>
        <w:ind w:firstLine="0" w:firstLineChars="0"/>
        <w:rPr>
          <w:rFonts w:hint="eastAsia"/>
          <w:color w:val="000000"/>
        </w:rPr>
      </w:pPr>
    </w:p>
    <w:p w14:paraId="0FB881A1">
      <w:pPr>
        <w:ind w:firstLine="0" w:firstLineChars="0"/>
        <w:rPr>
          <w:color w:val="000000"/>
        </w:rPr>
      </w:pPr>
    </w:p>
    <w:p w14:paraId="06AE3AC6">
      <w:pPr>
        <w:ind w:firstLine="0" w:firstLineChars="0"/>
        <w:rPr>
          <w:kern w:val="2"/>
          <w:szCs w:val="32"/>
        </w:rPr>
      </w:pPr>
      <w:r>
        <w:rPr>
          <w:szCs w:val="32"/>
        </w:rPr>
        <w:t>附件</w:t>
      </w:r>
      <w:r>
        <w:rPr>
          <w:kern w:val="2"/>
          <w:szCs w:val="32"/>
        </w:rPr>
        <w:t>1</w:t>
      </w:r>
    </w:p>
    <w:p w14:paraId="76412EBC">
      <w:pPr>
        <w:ind w:firstLine="0" w:firstLineChars="0"/>
        <w:jc w:val="center"/>
        <w:rPr>
          <w:kern w:val="2"/>
          <w:szCs w:val="32"/>
        </w:rPr>
      </w:pPr>
      <w:r>
        <w:rPr>
          <w:kern w:val="2"/>
          <w:szCs w:val="32"/>
        </w:rPr>
        <w:t>关于成立事故调查组的请示</w:t>
      </w:r>
    </w:p>
    <w:p w14:paraId="174C0159">
      <w:pPr>
        <w:ind w:firstLine="0" w:firstLineChars="0"/>
        <w:rPr>
          <w:color w:val="000000"/>
        </w:rPr>
      </w:pPr>
    </w:p>
    <w:p w14:paraId="0ABEA152">
      <w:pPr>
        <w:ind w:firstLine="0" w:firstLineChars="0"/>
        <w:rPr>
          <w:color w:val="000000"/>
        </w:rPr>
      </w:pPr>
      <w:r>
        <w:rPr>
          <w:rFonts w:hint="eastAsia"/>
          <w:color w:val="000000"/>
        </w:rPr>
        <w:drawing>
          <wp:anchor distT="0" distB="0" distL="114300" distR="114300" simplePos="0" relativeHeight="251660288" behindDoc="0" locked="0" layoutInCell="1" allowOverlap="1">
            <wp:simplePos x="0" y="0"/>
            <wp:positionH relativeFrom="column">
              <wp:posOffset>170180</wp:posOffset>
            </wp:positionH>
            <wp:positionV relativeFrom="paragraph">
              <wp:posOffset>154305</wp:posOffset>
            </wp:positionV>
            <wp:extent cx="4929505" cy="6673850"/>
            <wp:effectExtent l="0" t="0" r="4445" b="12700"/>
            <wp:wrapSquare wrapText="bothSides"/>
            <wp:docPr id="1029" name="图片 8" descr="微信图片_20240225150831"/>
            <wp:cNvGraphicFramePr/>
            <a:graphic xmlns:a="http://schemas.openxmlformats.org/drawingml/2006/main">
              <a:graphicData uri="http://schemas.openxmlformats.org/drawingml/2006/picture">
                <pic:pic xmlns:pic="http://schemas.openxmlformats.org/drawingml/2006/picture">
                  <pic:nvPicPr>
                    <pic:cNvPr id="1029" name="图片 8" descr="微信图片_20240225150831"/>
                    <pic:cNvPicPr/>
                  </pic:nvPicPr>
                  <pic:blipFill>
                    <a:blip r:embed="rId14" cstate="print"/>
                    <a:srcRect/>
                    <a:stretch>
                      <a:fillRect/>
                    </a:stretch>
                  </pic:blipFill>
                  <pic:spPr>
                    <a:xfrm>
                      <a:off x="0" y="0"/>
                      <a:ext cx="4929505" cy="6673850"/>
                    </a:xfrm>
                    <a:prstGeom prst="rect">
                      <a:avLst/>
                    </a:prstGeom>
                  </pic:spPr>
                </pic:pic>
              </a:graphicData>
            </a:graphic>
          </wp:anchor>
        </w:drawing>
      </w:r>
    </w:p>
    <w:p w14:paraId="25E1BB26">
      <w:pPr>
        <w:ind w:firstLine="0" w:firstLineChars="0"/>
        <w:rPr>
          <w:color w:val="000000"/>
        </w:rPr>
      </w:pPr>
    </w:p>
    <w:p w14:paraId="20D02A3F">
      <w:pPr>
        <w:ind w:firstLine="0" w:firstLineChars="0"/>
        <w:rPr>
          <w:color w:val="000000"/>
        </w:rPr>
      </w:pPr>
    </w:p>
    <w:p w14:paraId="6B924158">
      <w:pPr>
        <w:ind w:firstLine="0" w:firstLineChars="0"/>
        <w:rPr>
          <w:color w:val="000000"/>
        </w:rPr>
      </w:pPr>
    </w:p>
    <w:p w14:paraId="5DFB9E17">
      <w:pPr>
        <w:ind w:firstLine="0" w:firstLineChars="0"/>
        <w:rPr>
          <w:color w:val="000000"/>
        </w:rPr>
      </w:pPr>
    </w:p>
    <w:p w14:paraId="6E457BCD">
      <w:pPr>
        <w:ind w:firstLine="0" w:firstLineChars="0"/>
        <w:rPr>
          <w:color w:val="000000"/>
        </w:rPr>
      </w:pPr>
    </w:p>
    <w:p w14:paraId="742FB076">
      <w:pPr>
        <w:ind w:firstLine="0" w:firstLineChars="0"/>
        <w:rPr>
          <w:color w:val="000000"/>
        </w:rPr>
      </w:pPr>
    </w:p>
    <w:p w14:paraId="612E486B">
      <w:pPr>
        <w:ind w:firstLine="0" w:firstLineChars="0"/>
        <w:rPr>
          <w:color w:val="000000"/>
        </w:rPr>
      </w:pPr>
    </w:p>
    <w:p w14:paraId="37587EF3">
      <w:pPr>
        <w:ind w:firstLine="0" w:firstLineChars="0"/>
        <w:rPr>
          <w:color w:val="000000"/>
        </w:rPr>
      </w:pPr>
    </w:p>
    <w:p w14:paraId="6CCFF2D2">
      <w:pPr>
        <w:ind w:firstLine="0" w:firstLineChars="0"/>
        <w:rPr>
          <w:color w:val="000000"/>
        </w:rPr>
      </w:pPr>
    </w:p>
    <w:p w14:paraId="21402F23">
      <w:pPr>
        <w:ind w:firstLine="0" w:firstLineChars="0"/>
        <w:rPr>
          <w:color w:val="000000"/>
        </w:rPr>
      </w:pPr>
    </w:p>
    <w:p w14:paraId="6346A649">
      <w:pPr>
        <w:ind w:firstLine="0" w:firstLineChars="0"/>
        <w:rPr>
          <w:color w:val="000000"/>
        </w:rPr>
      </w:pPr>
    </w:p>
    <w:p w14:paraId="52F5CA94">
      <w:pPr>
        <w:ind w:firstLine="0" w:firstLineChars="0"/>
        <w:rPr>
          <w:color w:val="000000"/>
        </w:rPr>
      </w:pPr>
    </w:p>
    <w:p w14:paraId="041C9D70">
      <w:pPr>
        <w:ind w:firstLine="0" w:firstLineChars="0"/>
        <w:rPr>
          <w:color w:val="000000"/>
        </w:rPr>
      </w:pPr>
    </w:p>
    <w:p w14:paraId="0D4278B3">
      <w:pPr>
        <w:ind w:firstLine="0" w:firstLineChars="0"/>
        <w:rPr>
          <w:color w:val="000000"/>
        </w:rPr>
      </w:pPr>
    </w:p>
    <w:p w14:paraId="090DCD6F">
      <w:pPr>
        <w:ind w:firstLine="0" w:firstLineChars="0"/>
        <w:rPr>
          <w:color w:val="000000"/>
        </w:rPr>
      </w:pPr>
    </w:p>
    <w:p w14:paraId="1DD5888A">
      <w:pPr>
        <w:ind w:firstLine="0" w:firstLineChars="0"/>
        <w:rPr>
          <w:color w:val="000000"/>
        </w:rPr>
      </w:pPr>
    </w:p>
    <w:p w14:paraId="13A90FDB">
      <w:pPr>
        <w:ind w:firstLine="0" w:firstLineChars="0"/>
        <w:rPr>
          <w:color w:val="000000"/>
        </w:rPr>
      </w:pPr>
    </w:p>
    <w:p w14:paraId="31510A08">
      <w:pPr>
        <w:ind w:firstLine="0" w:firstLineChars="0"/>
        <w:rPr>
          <w:color w:val="000000"/>
        </w:rPr>
      </w:pPr>
    </w:p>
    <w:p w14:paraId="46B8D93F">
      <w:pPr>
        <w:ind w:firstLine="0" w:firstLineChars="0"/>
        <w:rPr>
          <w:color w:val="000000"/>
        </w:rPr>
      </w:pPr>
    </w:p>
    <w:p w14:paraId="01A61630">
      <w:pPr>
        <w:ind w:firstLine="0" w:firstLineChars="0"/>
        <w:rPr>
          <w:color w:val="000000"/>
        </w:rPr>
      </w:pPr>
      <w:r>
        <w:rPr>
          <w:rFonts w:hint="eastAsia"/>
          <w:color w:val="000000"/>
        </w:rPr>
        <w:drawing>
          <wp:anchor distT="0" distB="0" distL="114300" distR="114300" simplePos="0" relativeHeight="251661312" behindDoc="0" locked="0" layoutInCell="1" allowOverlap="1">
            <wp:simplePos x="0" y="0"/>
            <wp:positionH relativeFrom="column">
              <wp:posOffset>305435</wp:posOffset>
            </wp:positionH>
            <wp:positionV relativeFrom="paragraph">
              <wp:posOffset>245745</wp:posOffset>
            </wp:positionV>
            <wp:extent cx="5244465" cy="6977380"/>
            <wp:effectExtent l="0" t="0" r="13334" b="13970"/>
            <wp:wrapSquare wrapText="bothSides"/>
            <wp:docPr id="1030" name="图片 9" descr="2"/>
            <wp:cNvGraphicFramePr/>
            <a:graphic xmlns:a="http://schemas.openxmlformats.org/drawingml/2006/main">
              <a:graphicData uri="http://schemas.openxmlformats.org/drawingml/2006/picture">
                <pic:pic xmlns:pic="http://schemas.openxmlformats.org/drawingml/2006/picture">
                  <pic:nvPicPr>
                    <pic:cNvPr id="1030" name="图片 9" descr="2"/>
                    <pic:cNvPicPr/>
                  </pic:nvPicPr>
                  <pic:blipFill>
                    <a:blip r:embed="rId15" cstate="print"/>
                    <a:srcRect/>
                    <a:stretch>
                      <a:fillRect/>
                    </a:stretch>
                  </pic:blipFill>
                  <pic:spPr>
                    <a:xfrm>
                      <a:off x="0" y="0"/>
                      <a:ext cx="5244465" cy="6977380"/>
                    </a:xfrm>
                    <a:prstGeom prst="rect">
                      <a:avLst/>
                    </a:prstGeom>
                  </pic:spPr>
                </pic:pic>
              </a:graphicData>
            </a:graphic>
          </wp:anchor>
        </w:drawing>
      </w:r>
    </w:p>
    <w:p w14:paraId="29FAB033">
      <w:pPr>
        <w:ind w:firstLine="0" w:firstLineChars="0"/>
        <w:rPr>
          <w:color w:val="000000"/>
        </w:rPr>
      </w:pPr>
      <w:r>
        <w:rPr>
          <w:rFonts w:hint="eastAsia"/>
          <w:color w:val="000000"/>
        </w:rPr>
        <w:drawing>
          <wp:anchor distT="0" distB="0" distL="114300" distR="114300" simplePos="0" relativeHeight="251662336" behindDoc="0" locked="0" layoutInCell="1" allowOverlap="1">
            <wp:simplePos x="0" y="0"/>
            <wp:positionH relativeFrom="column">
              <wp:posOffset>95250</wp:posOffset>
            </wp:positionH>
            <wp:positionV relativeFrom="paragraph">
              <wp:posOffset>444500</wp:posOffset>
            </wp:positionV>
            <wp:extent cx="5403850" cy="6296025"/>
            <wp:effectExtent l="0" t="0" r="6350" b="9525"/>
            <wp:wrapSquare wrapText="bothSides"/>
            <wp:docPr id="1031" name="图片 10" descr="微信截图_20240225151140"/>
            <wp:cNvGraphicFramePr/>
            <a:graphic xmlns:a="http://schemas.openxmlformats.org/drawingml/2006/main">
              <a:graphicData uri="http://schemas.openxmlformats.org/drawingml/2006/picture">
                <pic:pic xmlns:pic="http://schemas.openxmlformats.org/drawingml/2006/picture">
                  <pic:nvPicPr>
                    <pic:cNvPr id="1031" name="图片 10" descr="微信截图_20240225151140"/>
                    <pic:cNvPicPr/>
                  </pic:nvPicPr>
                  <pic:blipFill>
                    <a:blip r:embed="rId16" cstate="print"/>
                    <a:srcRect/>
                    <a:stretch>
                      <a:fillRect/>
                    </a:stretch>
                  </pic:blipFill>
                  <pic:spPr>
                    <a:xfrm>
                      <a:off x="0" y="0"/>
                      <a:ext cx="5403850" cy="6296025"/>
                    </a:xfrm>
                    <a:prstGeom prst="rect">
                      <a:avLst/>
                    </a:prstGeom>
                  </pic:spPr>
                </pic:pic>
              </a:graphicData>
            </a:graphic>
          </wp:anchor>
        </w:drawing>
      </w:r>
    </w:p>
    <w:p w14:paraId="43931703">
      <w:pPr>
        <w:ind w:firstLine="0" w:firstLineChars="0"/>
        <w:rPr>
          <w:color w:val="000000"/>
        </w:rPr>
      </w:pPr>
    </w:p>
    <w:p w14:paraId="4BECFB6C">
      <w:pPr>
        <w:ind w:firstLine="0" w:firstLineChars="0"/>
        <w:rPr>
          <w:color w:val="000000"/>
        </w:rPr>
      </w:pPr>
    </w:p>
    <w:p w14:paraId="0FE22938">
      <w:pPr>
        <w:ind w:firstLine="0" w:firstLineChars="0"/>
        <w:rPr>
          <w:color w:val="000000"/>
        </w:rPr>
      </w:pPr>
    </w:p>
    <w:p w14:paraId="1D5D41DE">
      <w:pPr>
        <w:ind w:firstLine="0" w:firstLineChars="0"/>
        <w:rPr>
          <w:color w:val="000000"/>
        </w:rPr>
      </w:pPr>
      <w:r>
        <w:rPr>
          <w:rFonts w:hint="eastAsia"/>
          <w:color w:val="000000"/>
        </w:rPr>
        <w:t>附件2</w:t>
      </w:r>
    </w:p>
    <w:p w14:paraId="1BBFC8AA">
      <w:pPr>
        <w:ind w:firstLine="0" w:firstLineChars="0"/>
        <w:jc w:val="center"/>
        <w:rPr>
          <w:kern w:val="2"/>
        </w:rPr>
      </w:pPr>
      <w:r>
        <w:rPr>
          <w:rFonts w:hint="eastAsia"/>
          <w:kern w:val="2"/>
        </w:rPr>
        <w:drawing>
          <wp:anchor distT="0" distB="0" distL="114300" distR="114300" simplePos="0" relativeHeight="251663360" behindDoc="0" locked="0" layoutInCell="1" allowOverlap="1">
            <wp:simplePos x="0" y="0"/>
            <wp:positionH relativeFrom="column">
              <wp:posOffset>257175</wp:posOffset>
            </wp:positionH>
            <wp:positionV relativeFrom="paragraph">
              <wp:posOffset>493395</wp:posOffset>
            </wp:positionV>
            <wp:extent cx="4858385" cy="6835140"/>
            <wp:effectExtent l="0" t="0" r="18415" b="3810"/>
            <wp:wrapSquare wrapText="bothSides"/>
            <wp:docPr id="1032" name="图片 11" descr="537b71655f1debf401afb35c55c7f5e"/>
            <wp:cNvGraphicFramePr/>
            <a:graphic xmlns:a="http://schemas.openxmlformats.org/drawingml/2006/main">
              <a:graphicData uri="http://schemas.openxmlformats.org/drawingml/2006/picture">
                <pic:pic xmlns:pic="http://schemas.openxmlformats.org/drawingml/2006/picture">
                  <pic:nvPicPr>
                    <pic:cNvPr id="1032" name="图片 11" descr="537b71655f1debf401afb35c55c7f5e"/>
                    <pic:cNvPicPr/>
                  </pic:nvPicPr>
                  <pic:blipFill>
                    <a:blip r:embed="rId17" cstate="print"/>
                    <a:srcRect/>
                    <a:stretch>
                      <a:fillRect/>
                    </a:stretch>
                  </pic:blipFill>
                  <pic:spPr>
                    <a:xfrm>
                      <a:off x="0" y="0"/>
                      <a:ext cx="4858385" cy="6835140"/>
                    </a:xfrm>
                    <a:prstGeom prst="rect">
                      <a:avLst/>
                    </a:prstGeom>
                  </pic:spPr>
                </pic:pic>
              </a:graphicData>
            </a:graphic>
          </wp:anchor>
        </w:drawing>
      </w:r>
      <w:r>
        <w:rPr>
          <w:kern w:val="2"/>
        </w:rPr>
        <w:t>关于成立事故调查组的批复</w:t>
      </w:r>
    </w:p>
    <w:p w14:paraId="413D8E5F">
      <w:pPr>
        <w:ind w:firstLine="0" w:firstLineChars="0"/>
        <w:jc w:val="center"/>
        <w:rPr>
          <w:kern w:val="2"/>
        </w:rPr>
      </w:pPr>
    </w:p>
    <w:p w14:paraId="46DB0286">
      <w:pPr>
        <w:ind w:firstLine="0" w:firstLineChars="0"/>
        <w:jc w:val="center"/>
        <w:rPr>
          <w:kern w:val="2"/>
        </w:rPr>
      </w:pPr>
    </w:p>
    <w:p w14:paraId="10701274">
      <w:pPr>
        <w:ind w:firstLine="0" w:firstLineChars="0"/>
        <w:jc w:val="center"/>
        <w:rPr>
          <w:kern w:val="2"/>
        </w:rPr>
      </w:pPr>
    </w:p>
    <w:p w14:paraId="79727290">
      <w:pPr>
        <w:ind w:firstLine="0" w:firstLineChars="0"/>
        <w:jc w:val="center"/>
        <w:rPr>
          <w:kern w:val="2"/>
        </w:rPr>
      </w:pPr>
    </w:p>
    <w:p w14:paraId="1D7234C6">
      <w:pPr>
        <w:ind w:firstLine="0" w:firstLineChars="0"/>
        <w:jc w:val="center"/>
        <w:rPr>
          <w:kern w:val="2"/>
        </w:rPr>
      </w:pPr>
    </w:p>
    <w:p w14:paraId="33F37A15">
      <w:pPr>
        <w:ind w:firstLine="0" w:firstLineChars="0"/>
        <w:jc w:val="center"/>
        <w:rPr>
          <w:kern w:val="2"/>
        </w:rPr>
      </w:pPr>
    </w:p>
    <w:p w14:paraId="655F89B4">
      <w:pPr>
        <w:ind w:firstLine="0" w:firstLineChars="0"/>
        <w:jc w:val="center"/>
        <w:rPr>
          <w:kern w:val="2"/>
        </w:rPr>
      </w:pPr>
    </w:p>
    <w:p w14:paraId="4EA1FD72">
      <w:pPr>
        <w:ind w:firstLine="0" w:firstLineChars="0"/>
        <w:jc w:val="center"/>
        <w:rPr>
          <w:kern w:val="2"/>
        </w:rPr>
      </w:pPr>
    </w:p>
    <w:p w14:paraId="05556AE8">
      <w:pPr>
        <w:ind w:firstLine="0" w:firstLineChars="0"/>
        <w:jc w:val="center"/>
        <w:rPr>
          <w:kern w:val="2"/>
        </w:rPr>
      </w:pPr>
    </w:p>
    <w:p w14:paraId="32812CE9">
      <w:pPr>
        <w:ind w:firstLine="0" w:firstLineChars="0"/>
        <w:jc w:val="center"/>
        <w:rPr>
          <w:kern w:val="2"/>
        </w:rPr>
      </w:pPr>
    </w:p>
    <w:p w14:paraId="625021B9">
      <w:pPr>
        <w:ind w:firstLine="0" w:firstLineChars="0"/>
        <w:rPr>
          <w:color w:val="000000"/>
        </w:rPr>
      </w:pPr>
    </w:p>
    <w:p w14:paraId="0194BEEE">
      <w:pPr>
        <w:ind w:firstLine="0" w:firstLineChars="0"/>
        <w:rPr>
          <w:color w:val="000000"/>
        </w:rPr>
      </w:pPr>
    </w:p>
    <w:p w14:paraId="1F964F3C">
      <w:pPr>
        <w:ind w:firstLine="0" w:firstLineChars="0"/>
        <w:rPr>
          <w:color w:val="000000"/>
        </w:rPr>
      </w:pPr>
    </w:p>
    <w:p w14:paraId="6AA333F5">
      <w:pPr>
        <w:ind w:firstLine="0" w:firstLineChars="0"/>
        <w:rPr>
          <w:color w:val="000000"/>
        </w:rPr>
      </w:pPr>
    </w:p>
    <w:p w14:paraId="1867B07A">
      <w:pPr>
        <w:ind w:firstLine="0" w:firstLineChars="0"/>
        <w:rPr>
          <w:color w:val="000000"/>
        </w:rPr>
      </w:pPr>
    </w:p>
    <w:p w14:paraId="3E708B48">
      <w:pPr>
        <w:ind w:firstLine="0" w:firstLineChars="0"/>
        <w:rPr>
          <w:color w:val="000000"/>
        </w:rPr>
      </w:pPr>
    </w:p>
    <w:p w14:paraId="76ECAC76">
      <w:pPr>
        <w:ind w:firstLine="0" w:firstLineChars="0"/>
        <w:rPr>
          <w:color w:val="000000"/>
        </w:rPr>
      </w:pPr>
    </w:p>
    <w:p w14:paraId="697AB3BF">
      <w:pPr>
        <w:ind w:firstLine="0" w:firstLineChars="0"/>
        <w:rPr>
          <w:color w:val="000000"/>
        </w:rPr>
      </w:pPr>
    </w:p>
    <w:p w14:paraId="5B219A8A">
      <w:pPr>
        <w:ind w:firstLine="0" w:firstLineChars="0"/>
        <w:rPr>
          <w:color w:val="000000"/>
        </w:rPr>
      </w:pPr>
    </w:p>
    <w:p w14:paraId="37549236">
      <w:pPr>
        <w:ind w:firstLine="0" w:firstLineChars="0"/>
        <w:rPr>
          <w:color w:val="000000"/>
        </w:rPr>
      </w:pPr>
    </w:p>
    <w:p w14:paraId="196322AA">
      <w:pPr>
        <w:ind w:firstLine="0" w:firstLineChars="0"/>
        <w:rPr>
          <w:color w:val="000000"/>
        </w:rPr>
      </w:pPr>
      <w:r>
        <w:rPr>
          <w:rFonts w:hint="eastAsia"/>
          <w:color w:val="000000"/>
        </w:rPr>
        <w:drawing>
          <wp:anchor distT="0" distB="0" distL="114300" distR="114300" simplePos="0" relativeHeight="251664384" behindDoc="0" locked="0" layoutInCell="1" allowOverlap="1">
            <wp:simplePos x="0" y="0"/>
            <wp:positionH relativeFrom="column">
              <wp:posOffset>323850</wp:posOffset>
            </wp:positionH>
            <wp:positionV relativeFrom="paragraph">
              <wp:posOffset>163195</wp:posOffset>
            </wp:positionV>
            <wp:extent cx="4866640" cy="6898005"/>
            <wp:effectExtent l="0" t="0" r="10160" b="17145"/>
            <wp:wrapSquare wrapText="bothSides"/>
            <wp:docPr id="1033" name="图片 12" descr="717b0352d4cf6287dabc90d16c5c7c1"/>
            <wp:cNvGraphicFramePr/>
            <a:graphic xmlns:a="http://schemas.openxmlformats.org/drawingml/2006/main">
              <a:graphicData uri="http://schemas.openxmlformats.org/drawingml/2006/picture">
                <pic:pic xmlns:pic="http://schemas.openxmlformats.org/drawingml/2006/picture">
                  <pic:nvPicPr>
                    <pic:cNvPr id="1033" name="图片 12" descr="717b0352d4cf6287dabc90d16c5c7c1"/>
                    <pic:cNvPicPr/>
                  </pic:nvPicPr>
                  <pic:blipFill>
                    <a:blip r:embed="rId18" cstate="print"/>
                    <a:srcRect/>
                    <a:stretch>
                      <a:fillRect/>
                    </a:stretch>
                  </pic:blipFill>
                  <pic:spPr>
                    <a:xfrm>
                      <a:off x="0" y="0"/>
                      <a:ext cx="4866640" cy="6898004"/>
                    </a:xfrm>
                    <a:prstGeom prst="rect">
                      <a:avLst/>
                    </a:prstGeom>
                  </pic:spPr>
                </pic:pic>
              </a:graphicData>
            </a:graphic>
          </wp:anchor>
        </w:drawing>
      </w:r>
    </w:p>
    <w:p w14:paraId="18D6212A">
      <w:pPr>
        <w:ind w:firstLine="0" w:firstLineChars="0"/>
        <w:rPr>
          <w:color w:val="000000"/>
        </w:rPr>
      </w:pPr>
    </w:p>
    <w:p w14:paraId="751C906C">
      <w:pPr>
        <w:ind w:firstLine="0" w:firstLineChars="0"/>
        <w:rPr>
          <w:color w:val="000000"/>
        </w:rPr>
      </w:pPr>
    </w:p>
    <w:p w14:paraId="2F6F880F">
      <w:pPr>
        <w:ind w:firstLine="0" w:firstLineChars="0"/>
        <w:rPr>
          <w:color w:val="000000"/>
        </w:rPr>
      </w:pPr>
    </w:p>
    <w:p w14:paraId="1CFFB51F">
      <w:pPr>
        <w:ind w:firstLine="0" w:firstLineChars="0"/>
        <w:rPr>
          <w:color w:val="000000"/>
        </w:rPr>
      </w:pPr>
    </w:p>
    <w:p w14:paraId="3452DD03">
      <w:pPr>
        <w:ind w:firstLine="0" w:firstLineChars="0"/>
        <w:rPr>
          <w:color w:val="000000"/>
        </w:rPr>
      </w:pPr>
    </w:p>
    <w:p w14:paraId="656D97A1">
      <w:pPr>
        <w:ind w:firstLine="0" w:firstLineChars="0"/>
        <w:rPr>
          <w:color w:val="000000"/>
        </w:rPr>
      </w:pPr>
    </w:p>
    <w:p w14:paraId="3EE72B26">
      <w:pPr>
        <w:ind w:firstLine="0" w:firstLineChars="0"/>
        <w:rPr>
          <w:color w:val="000000"/>
        </w:rPr>
      </w:pPr>
    </w:p>
    <w:p w14:paraId="7AA0D26D">
      <w:pPr>
        <w:ind w:firstLine="0" w:firstLineChars="0"/>
        <w:rPr>
          <w:color w:val="000000"/>
        </w:rPr>
      </w:pPr>
    </w:p>
    <w:p w14:paraId="6121FAFB">
      <w:pPr>
        <w:ind w:firstLine="0" w:firstLineChars="0"/>
        <w:rPr>
          <w:color w:val="000000"/>
        </w:rPr>
      </w:pPr>
    </w:p>
    <w:p w14:paraId="377ABC15">
      <w:pPr>
        <w:ind w:firstLine="0" w:firstLineChars="0"/>
        <w:rPr>
          <w:color w:val="000000"/>
        </w:rPr>
      </w:pPr>
    </w:p>
    <w:p w14:paraId="48677B48">
      <w:pPr>
        <w:ind w:firstLine="0" w:firstLineChars="0"/>
        <w:rPr>
          <w:color w:val="000000"/>
        </w:rPr>
      </w:pPr>
    </w:p>
    <w:p w14:paraId="445F7EE8">
      <w:pPr>
        <w:ind w:firstLine="0" w:firstLineChars="0"/>
        <w:rPr>
          <w:color w:val="000000"/>
        </w:rPr>
      </w:pPr>
    </w:p>
    <w:p w14:paraId="23603FE5">
      <w:pPr>
        <w:ind w:firstLine="0" w:firstLineChars="0"/>
        <w:rPr>
          <w:color w:val="000000"/>
        </w:rPr>
      </w:pPr>
    </w:p>
    <w:p w14:paraId="4BA347B7">
      <w:pPr>
        <w:ind w:firstLine="0" w:firstLineChars="0"/>
        <w:rPr>
          <w:color w:val="000000"/>
        </w:rPr>
      </w:pPr>
    </w:p>
    <w:p w14:paraId="71F65591">
      <w:pPr>
        <w:ind w:firstLine="0" w:firstLineChars="0"/>
        <w:rPr>
          <w:color w:val="000000"/>
        </w:rPr>
      </w:pPr>
    </w:p>
    <w:p w14:paraId="0F4D681A">
      <w:pPr>
        <w:ind w:firstLine="0" w:firstLineChars="0"/>
        <w:rPr>
          <w:color w:val="000000"/>
        </w:rPr>
      </w:pPr>
    </w:p>
    <w:p w14:paraId="10CA10C2">
      <w:pPr>
        <w:ind w:firstLine="0" w:firstLineChars="0"/>
        <w:rPr>
          <w:color w:val="000000"/>
        </w:rPr>
      </w:pPr>
    </w:p>
    <w:p w14:paraId="684FD1D3">
      <w:pPr>
        <w:ind w:firstLine="0" w:firstLineChars="0"/>
        <w:rPr>
          <w:color w:val="000000"/>
        </w:rPr>
      </w:pPr>
    </w:p>
    <w:p w14:paraId="44471787">
      <w:pPr>
        <w:ind w:firstLine="0" w:firstLineChars="0"/>
        <w:rPr>
          <w:color w:val="000000"/>
        </w:rPr>
      </w:pPr>
    </w:p>
    <w:p w14:paraId="377C431C">
      <w:pPr>
        <w:ind w:firstLine="0" w:firstLineChars="0"/>
        <w:rPr>
          <w:color w:val="000000"/>
        </w:rPr>
      </w:pPr>
    </w:p>
    <w:p w14:paraId="048EFF1A">
      <w:pPr>
        <w:ind w:firstLine="0" w:firstLineChars="0"/>
        <w:rPr>
          <w:color w:val="000000"/>
        </w:rPr>
      </w:pPr>
    </w:p>
    <w:p w14:paraId="4A84F85D">
      <w:pPr>
        <w:ind w:firstLine="0" w:firstLineChars="0"/>
        <w:rPr>
          <w:color w:val="000000"/>
        </w:rPr>
      </w:pPr>
      <w:r>
        <w:rPr>
          <w:rFonts w:hint="eastAsia"/>
          <w:color w:val="000000"/>
        </w:rPr>
        <w:t>附件3：</w:t>
      </w:r>
    </w:p>
    <w:p w14:paraId="5C279491">
      <w:pPr>
        <w:ind w:firstLine="0" w:firstLineChars="0"/>
        <w:jc w:val="center"/>
        <w:rPr>
          <w:kern w:val="2"/>
        </w:rPr>
      </w:pPr>
      <w:r>
        <w:rPr>
          <w:kern w:val="2"/>
        </w:rPr>
        <w:t>事故现场示意图</w:t>
      </w:r>
      <w:r>
        <w:rPr>
          <w:rFonts w:hint="eastAsia"/>
          <w:kern w:val="2"/>
        </w:rPr>
        <w:t>及工艺管道图</w:t>
      </w:r>
    </w:p>
    <w:p w14:paraId="54965C59">
      <w:pPr>
        <w:ind w:firstLine="0" w:firstLineChars="0"/>
        <w:jc w:val="center"/>
        <w:rPr>
          <w:kern w:val="2"/>
        </w:rPr>
      </w:pPr>
      <w:r>
        <w:drawing>
          <wp:anchor distT="0" distB="0" distL="0" distR="0" simplePos="0" relativeHeight="251665408" behindDoc="0" locked="0" layoutInCell="1" allowOverlap="1">
            <wp:simplePos x="0" y="0"/>
            <wp:positionH relativeFrom="column">
              <wp:posOffset>194945</wp:posOffset>
            </wp:positionH>
            <wp:positionV relativeFrom="paragraph">
              <wp:posOffset>2702560</wp:posOffset>
            </wp:positionV>
            <wp:extent cx="5140960" cy="3995420"/>
            <wp:effectExtent l="0" t="0" r="2540" b="5080"/>
            <wp:wrapTopAndBottom/>
            <wp:docPr id="1034" name="图片 3"/>
            <wp:cNvGraphicFramePr/>
            <a:graphic xmlns:a="http://schemas.openxmlformats.org/drawingml/2006/main">
              <a:graphicData uri="http://schemas.openxmlformats.org/drawingml/2006/picture">
                <pic:pic xmlns:pic="http://schemas.openxmlformats.org/drawingml/2006/picture">
                  <pic:nvPicPr>
                    <pic:cNvPr id="1034" name="图片 3"/>
                    <pic:cNvPicPr/>
                  </pic:nvPicPr>
                  <pic:blipFill>
                    <a:blip r:embed="rId19" cstate="print"/>
                    <a:srcRect/>
                    <a:stretch>
                      <a:fillRect/>
                    </a:stretch>
                  </pic:blipFill>
                  <pic:spPr>
                    <a:xfrm>
                      <a:off x="0" y="0"/>
                      <a:ext cx="5140960" cy="3995420"/>
                    </a:xfrm>
                    <a:prstGeom prst="rect">
                      <a:avLst/>
                    </a:prstGeom>
                    <a:ln>
                      <a:noFill/>
                    </a:ln>
                  </pic:spPr>
                </pic:pic>
              </a:graphicData>
            </a:graphic>
          </wp:anchor>
        </w:drawing>
      </w:r>
      <w:r>
        <w:rPr>
          <w:rFonts w:cs="宋体"/>
          <w:color w:val="000000"/>
          <w:szCs w:val="32"/>
        </w:rPr>
        <w:drawing>
          <wp:anchor distT="0" distB="0" distL="0" distR="0" simplePos="0" relativeHeight="251666432" behindDoc="0" locked="0" layoutInCell="1" allowOverlap="1">
            <wp:simplePos x="0" y="0"/>
            <wp:positionH relativeFrom="column">
              <wp:posOffset>184785</wp:posOffset>
            </wp:positionH>
            <wp:positionV relativeFrom="page">
              <wp:posOffset>2393315</wp:posOffset>
            </wp:positionV>
            <wp:extent cx="5204460" cy="1929130"/>
            <wp:effectExtent l="0" t="0" r="15240" b="13970"/>
            <wp:wrapTopAndBottom/>
            <wp:docPr id="1035" name="图片 5" descr="d2d1d8b6b6eaf46db4860e45eaf7125"/>
            <wp:cNvGraphicFramePr/>
            <a:graphic xmlns:a="http://schemas.openxmlformats.org/drawingml/2006/main">
              <a:graphicData uri="http://schemas.openxmlformats.org/drawingml/2006/picture">
                <pic:pic xmlns:pic="http://schemas.openxmlformats.org/drawingml/2006/picture">
                  <pic:nvPicPr>
                    <pic:cNvPr id="1035" name="图片 5" descr="d2d1d8b6b6eaf46db4860e45eaf7125"/>
                    <pic:cNvPicPr/>
                  </pic:nvPicPr>
                  <pic:blipFill>
                    <a:blip r:embed="rId12" cstate="print"/>
                    <a:srcRect/>
                    <a:stretch>
                      <a:fillRect/>
                    </a:stretch>
                  </pic:blipFill>
                  <pic:spPr>
                    <a:xfrm>
                      <a:off x="0" y="0"/>
                      <a:ext cx="5204460" cy="1929129"/>
                    </a:xfrm>
                    <a:prstGeom prst="rect">
                      <a:avLst/>
                    </a:prstGeom>
                    <a:ln>
                      <a:noFill/>
                    </a:ln>
                  </pic:spPr>
                </pic:pic>
              </a:graphicData>
            </a:graphic>
          </wp:anchor>
        </w:drawing>
      </w:r>
    </w:p>
    <w:p w14:paraId="4DB54396">
      <w:pPr>
        <w:ind w:firstLine="0" w:firstLineChars="0"/>
        <w:jc w:val="center"/>
        <w:rPr>
          <w:kern w:val="2"/>
        </w:rPr>
      </w:pPr>
    </w:p>
    <w:p w14:paraId="6BB5D3CA">
      <w:pPr>
        <w:ind w:firstLine="0" w:firstLineChars="0"/>
        <w:rPr>
          <w:kern w:val="2"/>
        </w:rPr>
      </w:pPr>
      <w:r>
        <w:rPr>
          <w:rFonts w:hint="eastAsia"/>
          <w:kern w:val="2"/>
        </w:rPr>
        <w:t>附件4</w:t>
      </w:r>
    </w:p>
    <w:p w14:paraId="3A13FC75">
      <w:pPr>
        <w:ind w:firstLine="640"/>
        <w:jc w:val="center"/>
      </w:pPr>
      <w:r>
        <w:t>事故</w:t>
      </w:r>
      <w:r>
        <w:rPr>
          <w:rFonts w:hint="eastAsia"/>
        </w:rPr>
        <w:t>伤者</w:t>
      </w:r>
      <w:r>
        <w:t>人员名单</w:t>
      </w:r>
    </w:p>
    <w:p w14:paraId="0B0BC0F2">
      <w:pPr>
        <w:ind w:firstLine="0" w:firstLineChars="0"/>
        <w:jc w:val="center"/>
        <w:rPr>
          <w:kern w:val="2"/>
        </w:rPr>
      </w:pPr>
    </w:p>
    <w:tbl>
      <w:tblPr>
        <w:tblStyle w:val="19"/>
        <w:tblW w:w="0" w:type="auto"/>
        <w:tblInd w:w="5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19"/>
        <w:gridCol w:w="1028"/>
        <w:gridCol w:w="806"/>
        <w:gridCol w:w="2080"/>
        <w:gridCol w:w="1807"/>
        <w:gridCol w:w="1657"/>
      </w:tblGrid>
      <w:tr w14:paraId="1168D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1" w:hRule="atLeast"/>
        </w:trPr>
        <w:tc>
          <w:tcPr>
            <w:tcW w:w="1019" w:type="dxa"/>
            <w:vAlign w:val="center"/>
          </w:tcPr>
          <w:p w14:paraId="14483873">
            <w:pPr>
              <w:spacing w:line="240" w:lineRule="auto"/>
              <w:ind w:firstLine="0" w:firstLineChars="0"/>
              <w:jc w:val="center"/>
              <w:rPr>
                <w:kern w:val="2"/>
                <w:szCs w:val="32"/>
              </w:rPr>
            </w:pPr>
            <w:r>
              <w:rPr>
                <w:kern w:val="2"/>
                <w:szCs w:val="32"/>
              </w:rPr>
              <w:t>序号</w:t>
            </w:r>
          </w:p>
        </w:tc>
        <w:tc>
          <w:tcPr>
            <w:tcW w:w="1028" w:type="dxa"/>
            <w:vAlign w:val="center"/>
          </w:tcPr>
          <w:p w14:paraId="6E991A15">
            <w:pPr>
              <w:spacing w:line="240" w:lineRule="auto"/>
              <w:ind w:firstLine="0" w:firstLineChars="0"/>
              <w:jc w:val="center"/>
              <w:rPr>
                <w:kern w:val="2"/>
                <w:szCs w:val="32"/>
              </w:rPr>
            </w:pPr>
            <w:r>
              <w:rPr>
                <w:kern w:val="2"/>
                <w:szCs w:val="32"/>
              </w:rPr>
              <w:t>姓名</w:t>
            </w:r>
          </w:p>
        </w:tc>
        <w:tc>
          <w:tcPr>
            <w:tcW w:w="806" w:type="dxa"/>
            <w:vAlign w:val="center"/>
          </w:tcPr>
          <w:p w14:paraId="0E1138F0">
            <w:pPr>
              <w:spacing w:line="240" w:lineRule="auto"/>
              <w:ind w:firstLine="0" w:firstLineChars="0"/>
              <w:jc w:val="center"/>
              <w:rPr>
                <w:kern w:val="2"/>
                <w:szCs w:val="32"/>
              </w:rPr>
            </w:pPr>
            <w:r>
              <w:rPr>
                <w:kern w:val="2"/>
                <w:szCs w:val="32"/>
              </w:rPr>
              <w:t>年龄</w:t>
            </w:r>
          </w:p>
        </w:tc>
        <w:tc>
          <w:tcPr>
            <w:tcW w:w="2080" w:type="dxa"/>
            <w:vAlign w:val="center"/>
          </w:tcPr>
          <w:p w14:paraId="3785347E">
            <w:pPr>
              <w:spacing w:line="240" w:lineRule="auto"/>
              <w:ind w:firstLine="0" w:firstLineChars="0"/>
              <w:jc w:val="center"/>
              <w:rPr>
                <w:kern w:val="2"/>
                <w:szCs w:val="32"/>
              </w:rPr>
            </w:pPr>
            <w:r>
              <w:rPr>
                <w:kern w:val="2"/>
                <w:szCs w:val="32"/>
              </w:rPr>
              <w:t>工种</w:t>
            </w:r>
          </w:p>
        </w:tc>
        <w:tc>
          <w:tcPr>
            <w:tcW w:w="1807" w:type="dxa"/>
            <w:vAlign w:val="center"/>
          </w:tcPr>
          <w:p w14:paraId="7B527C7E">
            <w:pPr>
              <w:spacing w:line="240" w:lineRule="auto"/>
              <w:ind w:firstLine="0" w:firstLineChars="0"/>
              <w:jc w:val="center"/>
              <w:rPr>
                <w:kern w:val="2"/>
                <w:szCs w:val="32"/>
              </w:rPr>
            </w:pPr>
            <w:r>
              <w:rPr>
                <w:kern w:val="2"/>
                <w:szCs w:val="32"/>
              </w:rPr>
              <w:t>培训情况</w:t>
            </w:r>
          </w:p>
        </w:tc>
        <w:tc>
          <w:tcPr>
            <w:tcW w:w="1657" w:type="dxa"/>
            <w:vAlign w:val="center"/>
          </w:tcPr>
          <w:p w14:paraId="1B459C3B">
            <w:pPr>
              <w:spacing w:line="240" w:lineRule="auto"/>
              <w:ind w:firstLine="0" w:firstLineChars="0"/>
              <w:jc w:val="center"/>
              <w:rPr>
                <w:kern w:val="2"/>
                <w:szCs w:val="32"/>
              </w:rPr>
            </w:pPr>
            <w:r>
              <w:rPr>
                <w:kern w:val="2"/>
                <w:szCs w:val="32"/>
              </w:rPr>
              <w:t>伤害程度</w:t>
            </w:r>
          </w:p>
        </w:tc>
      </w:tr>
      <w:tr w14:paraId="4DE39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5" w:hRule="atLeast"/>
        </w:trPr>
        <w:tc>
          <w:tcPr>
            <w:tcW w:w="1019" w:type="dxa"/>
            <w:vAlign w:val="center"/>
          </w:tcPr>
          <w:p w14:paraId="3D53CEB0">
            <w:pPr>
              <w:spacing w:line="240" w:lineRule="auto"/>
              <w:ind w:firstLine="0" w:firstLineChars="0"/>
              <w:jc w:val="center"/>
              <w:rPr>
                <w:kern w:val="2"/>
                <w:szCs w:val="32"/>
              </w:rPr>
            </w:pPr>
            <w:r>
              <w:rPr>
                <w:kern w:val="2"/>
                <w:szCs w:val="32"/>
              </w:rPr>
              <w:t>1</w:t>
            </w:r>
          </w:p>
        </w:tc>
        <w:tc>
          <w:tcPr>
            <w:tcW w:w="1028" w:type="dxa"/>
            <w:vAlign w:val="center"/>
          </w:tcPr>
          <w:p w14:paraId="4009F5F1">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彭玉洁</w:t>
            </w:r>
          </w:p>
        </w:tc>
        <w:tc>
          <w:tcPr>
            <w:tcW w:w="806" w:type="dxa"/>
            <w:vAlign w:val="center"/>
          </w:tcPr>
          <w:p w14:paraId="2CF6B427">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36</w:t>
            </w:r>
          </w:p>
        </w:tc>
        <w:tc>
          <w:tcPr>
            <w:tcW w:w="2080" w:type="dxa"/>
            <w:vAlign w:val="center"/>
          </w:tcPr>
          <w:p w14:paraId="22C11248">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热注运行工</w:t>
            </w:r>
          </w:p>
        </w:tc>
        <w:tc>
          <w:tcPr>
            <w:tcW w:w="1807" w:type="dxa"/>
            <w:vAlign w:val="center"/>
          </w:tcPr>
          <w:p w14:paraId="0F75B5AC">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培训合格，取得</w:t>
            </w:r>
            <w:r>
              <w:rPr>
                <w:rFonts w:hint="eastAsia" w:ascii="仿宋_GB2312" w:hAnsi="仿宋_GB2312" w:cs="仿宋_GB2312"/>
                <w:sz w:val="18"/>
                <w:szCs w:val="18"/>
              </w:rPr>
              <w:t>工业锅炉司炉G1</w:t>
            </w:r>
          </w:p>
        </w:tc>
        <w:tc>
          <w:tcPr>
            <w:tcW w:w="1657" w:type="dxa"/>
            <w:vAlign w:val="center"/>
          </w:tcPr>
          <w:p w14:paraId="6C5EAC12">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面部、双手烧伤 总面积5%，深二度</w:t>
            </w:r>
          </w:p>
        </w:tc>
      </w:tr>
      <w:tr w14:paraId="35827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5" w:hRule="atLeast"/>
        </w:trPr>
        <w:tc>
          <w:tcPr>
            <w:tcW w:w="1019" w:type="dxa"/>
            <w:vAlign w:val="center"/>
          </w:tcPr>
          <w:p w14:paraId="0E00CA8C">
            <w:pPr>
              <w:spacing w:line="240" w:lineRule="auto"/>
              <w:ind w:firstLine="0" w:firstLineChars="0"/>
              <w:jc w:val="center"/>
              <w:rPr>
                <w:kern w:val="2"/>
                <w:szCs w:val="32"/>
              </w:rPr>
            </w:pPr>
            <w:r>
              <w:rPr>
                <w:kern w:val="2"/>
                <w:szCs w:val="32"/>
              </w:rPr>
              <w:t>2</w:t>
            </w:r>
          </w:p>
        </w:tc>
        <w:tc>
          <w:tcPr>
            <w:tcW w:w="1028" w:type="dxa"/>
            <w:vAlign w:val="center"/>
          </w:tcPr>
          <w:p w14:paraId="6CEC376C">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于健健</w:t>
            </w:r>
          </w:p>
        </w:tc>
        <w:tc>
          <w:tcPr>
            <w:tcW w:w="806" w:type="dxa"/>
            <w:vAlign w:val="center"/>
          </w:tcPr>
          <w:p w14:paraId="71FF9196">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42</w:t>
            </w:r>
          </w:p>
        </w:tc>
        <w:tc>
          <w:tcPr>
            <w:tcW w:w="2080" w:type="dxa"/>
            <w:vAlign w:val="center"/>
          </w:tcPr>
          <w:p w14:paraId="09043E25">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热注运行工</w:t>
            </w:r>
          </w:p>
        </w:tc>
        <w:tc>
          <w:tcPr>
            <w:tcW w:w="1807" w:type="dxa"/>
            <w:vAlign w:val="center"/>
          </w:tcPr>
          <w:p w14:paraId="00059FAE">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培训合格，取得</w:t>
            </w:r>
            <w:r>
              <w:rPr>
                <w:rFonts w:hint="eastAsia" w:ascii="仿宋_GB2312" w:hAnsi="仿宋_GB2312" w:cs="仿宋_GB2312"/>
                <w:sz w:val="18"/>
                <w:szCs w:val="18"/>
              </w:rPr>
              <w:t>工业锅炉司炉G1</w:t>
            </w:r>
          </w:p>
        </w:tc>
        <w:tc>
          <w:tcPr>
            <w:tcW w:w="1657" w:type="dxa"/>
            <w:vAlign w:val="center"/>
          </w:tcPr>
          <w:p w14:paraId="7A8A5E92">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面部、双手烧伤 总面积9%，深二度7%、三度2%</w:t>
            </w:r>
          </w:p>
        </w:tc>
      </w:tr>
      <w:tr w14:paraId="4F361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5" w:hRule="atLeast"/>
        </w:trPr>
        <w:tc>
          <w:tcPr>
            <w:tcW w:w="1019" w:type="dxa"/>
            <w:vAlign w:val="center"/>
          </w:tcPr>
          <w:p w14:paraId="15C81D30">
            <w:pPr>
              <w:spacing w:line="240" w:lineRule="auto"/>
              <w:ind w:firstLine="0" w:firstLineChars="0"/>
              <w:jc w:val="center"/>
              <w:rPr>
                <w:kern w:val="2"/>
                <w:szCs w:val="32"/>
              </w:rPr>
            </w:pPr>
            <w:r>
              <w:rPr>
                <w:kern w:val="2"/>
                <w:szCs w:val="32"/>
              </w:rPr>
              <w:t>3</w:t>
            </w:r>
          </w:p>
        </w:tc>
        <w:tc>
          <w:tcPr>
            <w:tcW w:w="1028" w:type="dxa"/>
            <w:vAlign w:val="center"/>
          </w:tcPr>
          <w:p w14:paraId="329DAC8C">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王军辉</w:t>
            </w:r>
          </w:p>
        </w:tc>
        <w:tc>
          <w:tcPr>
            <w:tcW w:w="806" w:type="dxa"/>
            <w:vAlign w:val="center"/>
          </w:tcPr>
          <w:p w14:paraId="33D18422">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39</w:t>
            </w:r>
          </w:p>
        </w:tc>
        <w:tc>
          <w:tcPr>
            <w:tcW w:w="2080" w:type="dxa"/>
            <w:vAlign w:val="center"/>
          </w:tcPr>
          <w:p w14:paraId="6437F205">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热注运行工</w:t>
            </w:r>
          </w:p>
        </w:tc>
        <w:tc>
          <w:tcPr>
            <w:tcW w:w="1807" w:type="dxa"/>
            <w:vAlign w:val="center"/>
          </w:tcPr>
          <w:p w14:paraId="7EBBF108">
            <w:pPr>
              <w:pStyle w:val="9"/>
              <w:spacing w:line="600" w:lineRule="exact"/>
              <w:jc w:val="center"/>
              <w:rPr>
                <w:rFonts w:ascii="仿宋_GB2312" w:hAnsi="仿宋_GB2312" w:eastAsia="仿宋_GB2312" w:cs="仿宋_GB2312"/>
              </w:rPr>
            </w:pPr>
            <w:r>
              <w:rPr>
                <w:rFonts w:hint="eastAsia" w:ascii="仿宋_GB2312" w:hAnsi="仿宋_GB2312" w:eastAsia="仿宋_GB2312" w:cs="仿宋_GB2312"/>
                <w:sz w:val="22"/>
                <w:szCs w:val="22"/>
              </w:rPr>
              <w:t>培训合格，取得</w:t>
            </w:r>
            <w:r>
              <w:rPr>
                <w:rFonts w:hint="eastAsia" w:ascii="仿宋_GB2312" w:hAnsi="仿宋_GB2312" w:eastAsia="仿宋_GB2312" w:cs="仿宋_GB2312"/>
              </w:rPr>
              <w:t>工业锅炉司炉G1</w:t>
            </w:r>
          </w:p>
          <w:p w14:paraId="1406A732">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sz w:val="18"/>
                <w:szCs w:val="18"/>
              </w:rPr>
              <w:t>二级锅炉水处理G3</w:t>
            </w:r>
          </w:p>
        </w:tc>
        <w:tc>
          <w:tcPr>
            <w:tcW w:w="1657" w:type="dxa"/>
            <w:vAlign w:val="center"/>
          </w:tcPr>
          <w:p w14:paraId="7227837A">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头面颈、双上肢烧伤，总面积15% 深二度10% 三度5%</w:t>
            </w:r>
          </w:p>
        </w:tc>
      </w:tr>
      <w:tr w14:paraId="45119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5" w:hRule="atLeast"/>
        </w:trPr>
        <w:tc>
          <w:tcPr>
            <w:tcW w:w="1019" w:type="dxa"/>
            <w:vAlign w:val="center"/>
          </w:tcPr>
          <w:p w14:paraId="1EEC1A53">
            <w:pPr>
              <w:spacing w:line="240" w:lineRule="auto"/>
              <w:ind w:firstLine="0" w:firstLineChars="0"/>
              <w:jc w:val="center"/>
              <w:rPr>
                <w:kern w:val="2"/>
                <w:szCs w:val="32"/>
              </w:rPr>
            </w:pPr>
            <w:r>
              <w:rPr>
                <w:rFonts w:hint="eastAsia"/>
                <w:kern w:val="2"/>
                <w:szCs w:val="32"/>
              </w:rPr>
              <w:t>4</w:t>
            </w:r>
          </w:p>
        </w:tc>
        <w:tc>
          <w:tcPr>
            <w:tcW w:w="1028" w:type="dxa"/>
            <w:vAlign w:val="center"/>
          </w:tcPr>
          <w:p w14:paraId="069F3C45">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张程炜</w:t>
            </w:r>
          </w:p>
        </w:tc>
        <w:tc>
          <w:tcPr>
            <w:tcW w:w="806" w:type="dxa"/>
            <w:vAlign w:val="center"/>
          </w:tcPr>
          <w:p w14:paraId="67BC7ADC">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39</w:t>
            </w:r>
          </w:p>
        </w:tc>
        <w:tc>
          <w:tcPr>
            <w:tcW w:w="2080" w:type="dxa"/>
            <w:vAlign w:val="center"/>
          </w:tcPr>
          <w:p w14:paraId="00D57F44">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热注运行工</w:t>
            </w:r>
          </w:p>
        </w:tc>
        <w:tc>
          <w:tcPr>
            <w:tcW w:w="1807" w:type="dxa"/>
            <w:vAlign w:val="center"/>
          </w:tcPr>
          <w:p w14:paraId="78AFE457">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培训合格，取得</w:t>
            </w:r>
            <w:r>
              <w:rPr>
                <w:rFonts w:hint="eastAsia" w:ascii="仿宋_GB2312" w:hAnsi="仿宋_GB2312" w:cs="仿宋_GB2312"/>
                <w:sz w:val="18"/>
                <w:szCs w:val="18"/>
              </w:rPr>
              <w:t>工业锅炉司炉G1</w:t>
            </w:r>
          </w:p>
        </w:tc>
        <w:tc>
          <w:tcPr>
            <w:tcW w:w="1657" w:type="dxa"/>
            <w:vAlign w:val="center"/>
          </w:tcPr>
          <w:p w14:paraId="3DE59BE0">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头皮裂伤</w:t>
            </w:r>
          </w:p>
        </w:tc>
      </w:tr>
      <w:tr w14:paraId="53E54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5" w:hRule="atLeast"/>
        </w:trPr>
        <w:tc>
          <w:tcPr>
            <w:tcW w:w="1019" w:type="dxa"/>
            <w:vAlign w:val="center"/>
          </w:tcPr>
          <w:p w14:paraId="45B3B940">
            <w:pPr>
              <w:spacing w:line="240" w:lineRule="auto"/>
              <w:ind w:firstLine="0" w:firstLineChars="0"/>
              <w:jc w:val="center"/>
              <w:rPr>
                <w:kern w:val="2"/>
                <w:szCs w:val="32"/>
              </w:rPr>
            </w:pPr>
            <w:r>
              <w:rPr>
                <w:rFonts w:hint="eastAsia"/>
                <w:kern w:val="2"/>
                <w:szCs w:val="32"/>
              </w:rPr>
              <w:t>5</w:t>
            </w:r>
          </w:p>
        </w:tc>
        <w:tc>
          <w:tcPr>
            <w:tcW w:w="1028" w:type="dxa"/>
            <w:vAlign w:val="center"/>
          </w:tcPr>
          <w:p w14:paraId="281078C7">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刘伟</w:t>
            </w:r>
          </w:p>
        </w:tc>
        <w:tc>
          <w:tcPr>
            <w:tcW w:w="806" w:type="dxa"/>
            <w:vAlign w:val="center"/>
          </w:tcPr>
          <w:p w14:paraId="267EA2BA">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45</w:t>
            </w:r>
          </w:p>
        </w:tc>
        <w:tc>
          <w:tcPr>
            <w:tcW w:w="2080" w:type="dxa"/>
            <w:vAlign w:val="center"/>
          </w:tcPr>
          <w:p w14:paraId="6F012CF1">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司机</w:t>
            </w:r>
          </w:p>
        </w:tc>
        <w:tc>
          <w:tcPr>
            <w:tcW w:w="1807" w:type="dxa"/>
            <w:vAlign w:val="center"/>
          </w:tcPr>
          <w:p w14:paraId="57851DA5">
            <w:pPr>
              <w:spacing w:line="240" w:lineRule="auto"/>
              <w:ind w:firstLine="0" w:firstLineChars="0"/>
              <w:jc w:val="center"/>
              <w:rPr>
                <w:rFonts w:ascii="仿宋_GB2312" w:hAnsi="仿宋_GB2312" w:cs="仿宋_GB2312"/>
                <w:kern w:val="2"/>
                <w:sz w:val="22"/>
                <w:szCs w:val="22"/>
              </w:rPr>
            </w:pPr>
          </w:p>
        </w:tc>
        <w:tc>
          <w:tcPr>
            <w:tcW w:w="1657" w:type="dxa"/>
            <w:vAlign w:val="center"/>
          </w:tcPr>
          <w:p w14:paraId="117019BB">
            <w:pPr>
              <w:spacing w:line="240" w:lineRule="auto"/>
              <w:ind w:firstLine="0" w:firstLineChars="0"/>
              <w:jc w:val="center"/>
              <w:rPr>
                <w:rFonts w:ascii="仿宋_GB2312" w:hAnsi="仿宋_GB2312" w:cs="仿宋_GB2312"/>
                <w:kern w:val="2"/>
                <w:sz w:val="22"/>
                <w:szCs w:val="22"/>
              </w:rPr>
            </w:pPr>
            <w:r>
              <w:rPr>
                <w:rFonts w:hint="eastAsia" w:ascii="仿宋_GB2312" w:hAnsi="仿宋_GB2312" w:cs="仿宋_GB2312"/>
                <w:kern w:val="2"/>
                <w:sz w:val="22"/>
                <w:szCs w:val="22"/>
              </w:rPr>
              <w:t>头、面、颈、双上肢火焰烧伤 总面积15%，三度8%，深二度7%</w:t>
            </w:r>
          </w:p>
        </w:tc>
      </w:tr>
    </w:tbl>
    <w:p w14:paraId="0E41C425">
      <w:pPr>
        <w:ind w:firstLine="0" w:firstLineChars="0"/>
        <w:jc w:val="center"/>
        <w:rPr>
          <w:kern w:val="2"/>
        </w:rPr>
      </w:pPr>
    </w:p>
    <w:p w14:paraId="03418415">
      <w:pPr>
        <w:ind w:firstLine="0" w:firstLineChars="0"/>
        <w:jc w:val="center"/>
        <w:rPr>
          <w:kern w:val="2"/>
        </w:rPr>
      </w:pPr>
    </w:p>
    <w:p w14:paraId="146CDE2C">
      <w:pPr>
        <w:ind w:firstLine="0" w:firstLineChars="0"/>
        <w:jc w:val="center"/>
        <w:rPr>
          <w:kern w:val="2"/>
        </w:rPr>
      </w:pPr>
    </w:p>
    <w:p w14:paraId="22BACE57">
      <w:pPr>
        <w:ind w:firstLine="0" w:firstLineChars="0"/>
        <w:rPr>
          <w:kern w:val="2"/>
        </w:rPr>
      </w:pPr>
      <w:r>
        <w:rPr>
          <w:rFonts w:hint="eastAsia"/>
          <w:kern w:val="2"/>
        </w:rPr>
        <w:t>附件5</w:t>
      </w:r>
    </w:p>
    <w:p w14:paraId="3984520C">
      <w:pPr>
        <w:ind w:firstLine="0" w:firstLineChars="0"/>
        <w:jc w:val="center"/>
        <w:rPr>
          <w:kern w:val="2"/>
        </w:rPr>
      </w:pPr>
      <w:r>
        <w:rPr>
          <w:rFonts w:hint="eastAsia"/>
          <w:kern w:val="2"/>
        </w:rPr>
        <w:t>诊断书</w:t>
      </w:r>
    </w:p>
    <w:p w14:paraId="381C2D5B">
      <w:pPr>
        <w:ind w:firstLine="0" w:firstLineChars="0"/>
        <w:rPr>
          <w:kern w:val="2"/>
        </w:rPr>
      </w:pPr>
      <w:r>
        <w:rPr>
          <w:rFonts w:cs="宋体"/>
          <w:color w:val="000000"/>
          <w:szCs w:val="32"/>
        </w:rPr>
        <w:drawing>
          <wp:anchor distT="0" distB="0" distL="114300" distR="114300" simplePos="0" relativeHeight="251667456" behindDoc="0" locked="0" layoutInCell="1" allowOverlap="1">
            <wp:simplePos x="0" y="0"/>
            <wp:positionH relativeFrom="column">
              <wp:posOffset>903605</wp:posOffset>
            </wp:positionH>
            <wp:positionV relativeFrom="paragraph">
              <wp:posOffset>159385</wp:posOffset>
            </wp:positionV>
            <wp:extent cx="3496945" cy="3617595"/>
            <wp:effectExtent l="9525" t="9525" r="17780" b="11430"/>
            <wp:wrapSquare wrapText="bothSides"/>
            <wp:docPr id="1036" name="图片 1"/>
            <wp:cNvGraphicFramePr/>
            <a:graphic xmlns:a="http://schemas.openxmlformats.org/drawingml/2006/main">
              <a:graphicData uri="http://schemas.openxmlformats.org/drawingml/2006/picture">
                <pic:pic xmlns:pic="http://schemas.openxmlformats.org/drawingml/2006/picture">
                  <pic:nvPicPr>
                    <pic:cNvPr id="1036" name="图片 1"/>
                    <pic:cNvPicPr/>
                  </pic:nvPicPr>
                  <pic:blipFill>
                    <a:blip r:embed="rId20" cstate="print"/>
                    <a:srcRect/>
                    <a:stretch>
                      <a:fillRect/>
                    </a:stretch>
                  </pic:blipFill>
                  <pic:spPr>
                    <a:xfrm>
                      <a:off x="0" y="0"/>
                      <a:ext cx="3496945" cy="3617595"/>
                    </a:xfrm>
                    <a:prstGeom prst="rect">
                      <a:avLst/>
                    </a:prstGeom>
                    <a:ln w="9525" cap="flat" cmpd="sng">
                      <a:solidFill>
                        <a:srgbClr val="000000"/>
                      </a:solidFill>
                      <a:prstDash val="solid"/>
                      <a:round/>
                      <a:headEnd type="none" w="med" len="med"/>
                      <a:tailEnd type="none" w="med" len="med"/>
                    </a:ln>
                  </pic:spPr>
                </pic:pic>
              </a:graphicData>
            </a:graphic>
          </wp:anchor>
        </w:drawing>
      </w:r>
    </w:p>
    <w:p w14:paraId="73833398">
      <w:pPr>
        <w:ind w:firstLine="0" w:firstLineChars="0"/>
        <w:rPr>
          <w:kern w:val="2"/>
        </w:rPr>
      </w:pPr>
    </w:p>
    <w:p w14:paraId="3F940DC0">
      <w:pPr>
        <w:ind w:firstLine="0" w:firstLineChars="0"/>
        <w:rPr>
          <w:kern w:val="2"/>
        </w:rPr>
      </w:pPr>
    </w:p>
    <w:p w14:paraId="6BEB07E2">
      <w:pPr>
        <w:ind w:firstLine="0" w:firstLineChars="0"/>
        <w:rPr>
          <w:kern w:val="2"/>
        </w:rPr>
      </w:pPr>
    </w:p>
    <w:p w14:paraId="3D566FA3">
      <w:pPr>
        <w:ind w:firstLine="0" w:firstLineChars="0"/>
        <w:rPr>
          <w:kern w:val="2"/>
        </w:rPr>
      </w:pPr>
    </w:p>
    <w:p w14:paraId="3E8AFC94">
      <w:pPr>
        <w:ind w:firstLine="0" w:firstLineChars="0"/>
        <w:rPr>
          <w:kern w:val="2"/>
        </w:rPr>
      </w:pPr>
    </w:p>
    <w:p w14:paraId="170FFDE6">
      <w:pPr>
        <w:ind w:firstLine="0" w:firstLineChars="0"/>
        <w:rPr>
          <w:kern w:val="2"/>
        </w:rPr>
      </w:pPr>
    </w:p>
    <w:p w14:paraId="1C7C4896">
      <w:pPr>
        <w:ind w:firstLine="0" w:firstLineChars="0"/>
        <w:rPr>
          <w:kern w:val="2"/>
        </w:rPr>
      </w:pPr>
    </w:p>
    <w:p w14:paraId="4BEC92AC">
      <w:pPr>
        <w:ind w:firstLine="0" w:firstLineChars="0"/>
        <w:rPr>
          <w:kern w:val="2"/>
        </w:rPr>
      </w:pPr>
    </w:p>
    <w:p w14:paraId="1F6B30E7">
      <w:pPr>
        <w:ind w:firstLine="0" w:firstLineChars="0"/>
        <w:rPr>
          <w:kern w:val="2"/>
        </w:rPr>
      </w:pPr>
    </w:p>
    <w:p w14:paraId="43A76A89">
      <w:pPr>
        <w:ind w:firstLine="0" w:firstLineChars="0"/>
        <w:rPr>
          <w:kern w:val="2"/>
        </w:rPr>
      </w:pPr>
      <w:r>
        <w:rPr>
          <w:rFonts w:cs="宋体"/>
          <w:color w:val="000000"/>
          <w:szCs w:val="32"/>
        </w:rPr>
        <w:drawing>
          <wp:anchor distT="0" distB="0" distL="114300" distR="114300" simplePos="0" relativeHeight="251668480" behindDoc="0" locked="0" layoutInCell="1" allowOverlap="1">
            <wp:simplePos x="0" y="0"/>
            <wp:positionH relativeFrom="column">
              <wp:posOffset>962025</wp:posOffset>
            </wp:positionH>
            <wp:positionV relativeFrom="paragraph">
              <wp:posOffset>327025</wp:posOffset>
            </wp:positionV>
            <wp:extent cx="3479165" cy="3780790"/>
            <wp:effectExtent l="9525" t="9525" r="16510" b="19685"/>
            <wp:wrapSquare wrapText="bothSides"/>
            <wp:docPr id="1037" name="图片 2"/>
            <wp:cNvGraphicFramePr/>
            <a:graphic xmlns:a="http://schemas.openxmlformats.org/drawingml/2006/main">
              <a:graphicData uri="http://schemas.openxmlformats.org/drawingml/2006/picture">
                <pic:pic xmlns:pic="http://schemas.openxmlformats.org/drawingml/2006/picture">
                  <pic:nvPicPr>
                    <pic:cNvPr id="1037" name="图片 2"/>
                    <pic:cNvPicPr/>
                  </pic:nvPicPr>
                  <pic:blipFill>
                    <a:blip r:embed="rId21" cstate="print"/>
                    <a:srcRect/>
                    <a:stretch>
                      <a:fillRect/>
                    </a:stretch>
                  </pic:blipFill>
                  <pic:spPr>
                    <a:xfrm>
                      <a:off x="0" y="0"/>
                      <a:ext cx="3479165" cy="3780790"/>
                    </a:xfrm>
                    <a:prstGeom prst="rect">
                      <a:avLst/>
                    </a:prstGeom>
                    <a:ln w="9525" cap="flat" cmpd="sng">
                      <a:solidFill>
                        <a:srgbClr val="000000"/>
                      </a:solidFill>
                      <a:prstDash val="solid"/>
                      <a:round/>
                      <a:headEnd type="none" w="med" len="med"/>
                      <a:tailEnd type="none" w="med" len="med"/>
                    </a:ln>
                  </pic:spPr>
                </pic:pic>
              </a:graphicData>
            </a:graphic>
          </wp:anchor>
        </w:drawing>
      </w:r>
    </w:p>
    <w:p w14:paraId="1BE54A15">
      <w:pPr>
        <w:ind w:firstLine="0" w:firstLineChars="0"/>
        <w:rPr>
          <w:kern w:val="2"/>
        </w:rPr>
      </w:pPr>
    </w:p>
    <w:p w14:paraId="4B09BC54">
      <w:pPr>
        <w:ind w:firstLine="0" w:firstLineChars="0"/>
        <w:rPr>
          <w:kern w:val="2"/>
        </w:rPr>
      </w:pPr>
    </w:p>
    <w:p w14:paraId="6E69E3D4">
      <w:pPr>
        <w:ind w:firstLine="0" w:firstLineChars="0"/>
        <w:rPr>
          <w:kern w:val="2"/>
        </w:rPr>
      </w:pPr>
    </w:p>
    <w:p w14:paraId="08CD4698">
      <w:pPr>
        <w:ind w:firstLine="0" w:firstLineChars="0"/>
        <w:rPr>
          <w:kern w:val="2"/>
        </w:rPr>
      </w:pPr>
    </w:p>
    <w:p w14:paraId="6A24DD71">
      <w:pPr>
        <w:ind w:firstLine="0" w:firstLineChars="0"/>
        <w:rPr>
          <w:kern w:val="2"/>
        </w:rPr>
      </w:pPr>
    </w:p>
    <w:p w14:paraId="58520103">
      <w:pPr>
        <w:ind w:firstLine="0" w:firstLineChars="0"/>
        <w:rPr>
          <w:kern w:val="2"/>
        </w:rPr>
      </w:pPr>
    </w:p>
    <w:p w14:paraId="00847087">
      <w:pPr>
        <w:ind w:firstLine="0" w:firstLineChars="0"/>
        <w:rPr>
          <w:kern w:val="2"/>
        </w:rPr>
      </w:pPr>
    </w:p>
    <w:p w14:paraId="27E1F7C7">
      <w:pPr>
        <w:ind w:firstLine="0" w:firstLineChars="0"/>
        <w:rPr>
          <w:kern w:val="2"/>
        </w:rPr>
      </w:pPr>
    </w:p>
    <w:p w14:paraId="7773A12F">
      <w:pPr>
        <w:ind w:firstLine="0" w:firstLineChars="0"/>
        <w:rPr>
          <w:kern w:val="2"/>
        </w:rPr>
      </w:pPr>
    </w:p>
    <w:p w14:paraId="69347D26">
      <w:pPr>
        <w:ind w:firstLine="0" w:firstLineChars="0"/>
        <w:rPr>
          <w:kern w:val="2"/>
        </w:rPr>
      </w:pPr>
    </w:p>
    <w:p w14:paraId="00871915">
      <w:pPr>
        <w:ind w:firstLine="0" w:firstLineChars="0"/>
        <w:rPr>
          <w:kern w:val="2"/>
        </w:rPr>
      </w:pPr>
      <w:r>
        <w:rPr>
          <w:rFonts w:cs="宋体"/>
          <w:color w:val="000000"/>
          <w:szCs w:val="32"/>
        </w:rPr>
        <w:drawing>
          <wp:anchor distT="0" distB="0" distL="114300" distR="114300" simplePos="0" relativeHeight="251669504" behindDoc="0" locked="0" layoutInCell="1" allowOverlap="1">
            <wp:simplePos x="0" y="0"/>
            <wp:positionH relativeFrom="column">
              <wp:posOffset>831215</wp:posOffset>
            </wp:positionH>
            <wp:positionV relativeFrom="paragraph">
              <wp:posOffset>34925</wp:posOffset>
            </wp:positionV>
            <wp:extent cx="3728085" cy="3956050"/>
            <wp:effectExtent l="9525" t="9525" r="15240" b="15875"/>
            <wp:wrapSquare wrapText="bothSides"/>
            <wp:docPr id="1038" name="图片 3"/>
            <wp:cNvGraphicFramePr/>
            <a:graphic xmlns:a="http://schemas.openxmlformats.org/drawingml/2006/main">
              <a:graphicData uri="http://schemas.openxmlformats.org/drawingml/2006/picture">
                <pic:pic xmlns:pic="http://schemas.openxmlformats.org/drawingml/2006/picture">
                  <pic:nvPicPr>
                    <pic:cNvPr id="1038" name="图片 3"/>
                    <pic:cNvPicPr/>
                  </pic:nvPicPr>
                  <pic:blipFill>
                    <a:blip r:embed="rId22" cstate="print"/>
                    <a:srcRect/>
                    <a:stretch>
                      <a:fillRect/>
                    </a:stretch>
                  </pic:blipFill>
                  <pic:spPr>
                    <a:xfrm>
                      <a:off x="0" y="0"/>
                      <a:ext cx="3728084" cy="3956050"/>
                    </a:xfrm>
                    <a:prstGeom prst="rect">
                      <a:avLst/>
                    </a:prstGeom>
                    <a:ln w="9525" cap="flat" cmpd="sng">
                      <a:solidFill>
                        <a:srgbClr val="000000"/>
                      </a:solidFill>
                      <a:prstDash val="solid"/>
                      <a:round/>
                      <a:headEnd type="none" w="med" len="med"/>
                      <a:tailEnd type="none" w="med" len="med"/>
                    </a:ln>
                  </pic:spPr>
                </pic:pic>
              </a:graphicData>
            </a:graphic>
          </wp:anchor>
        </w:drawing>
      </w:r>
    </w:p>
    <w:p w14:paraId="20478AC0">
      <w:pPr>
        <w:ind w:firstLine="0" w:firstLineChars="0"/>
        <w:rPr>
          <w:kern w:val="2"/>
        </w:rPr>
      </w:pPr>
    </w:p>
    <w:p w14:paraId="6D393980">
      <w:pPr>
        <w:ind w:firstLine="0" w:firstLineChars="0"/>
        <w:rPr>
          <w:kern w:val="2"/>
        </w:rPr>
      </w:pPr>
    </w:p>
    <w:p w14:paraId="492C2F24">
      <w:pPr>
        <w:ind w:firstLine="0" w:firstLineChars="0"/>
        <w:rPr>
          <w:kern w:val="2"/>
        </w:rPr>
      </w:pPr>
    </w:p>
    <w:p w14:paraId="4918BC59">
      <w:pPr>
        <w:ind w:firstLine="0" w:firstLineChars="0"/>
        <w:rPr>
          <w:kern w:val="2"/>
        </w:rPr>
      </w:pPr>
    </w:p>
    <w:p w14:paraId="52CD5153">
      <w:pPr>
        <w:ind w:firstLine="0" w:firstLineChars="0"/>
        <w:rPr>
          <w:kern w:val="2"/>
        </w:rPr>
      </w:pPr>
    </w:p>
    <w:p w14:paraId="29B4BE40">
      <w:pPr>
        <w:ind w:firstLine="0" w:firstLineChars="0"/>
        <w:rPr>
          <w:kern w:val="2"/>
        </w:rPr>
      </w:pPr>
    </w:p>
    <w:p w14:paraId="488254F0">
      <w:pPr>
        <w:ind w:firstLine="0" w:firstLineChars="0"/>
        <w:rPr>
          <w:kern w:val="2"/>
        </w:rPr>
      </w:pPr>
    </w:p>
    <w:p w14:paraId="0A7720F7">
      <w:pPr>
        <w:ind w:firstLine="0" w:firstLineChars="0"/>
        <w:rPr>
          <w:kern w:val="2"/>
        </w:rPr>
      </w:pPr>
    </w:p>
    <w:p w14:paraId="5D0356B3">
      <w:pPr>
        <w:ind w:firstLine="0" w:firstLineChars="0"/>
        <w:rPr>
          <w:kern w:val="2"/>
        </w:rPr>
      </w:pPr>
    </w:p>
    <w:p w14:paraId="3B706348">
      <w:pPr>
        <w:ind w:firstLine="0" w:firstLineChars="0"/>
        <w:rPr>
          <w:kern w:val="2"/>
        </w:rPr>
      </w:pPr>
    </w:p>
    <w:p w14:paraId="172D7E5A">
      <w:pPr>
        <w:ind w:firstLine="0" w:firstLineChars="0"/>
        <w:rPr>
          <w:kern w:val="2"/>
        </w:rPr>
      </w:pPr>
      <w:r>
        <w:rPr>
          <w:rFonts w:cs="宋体"/>
          <w:color w:val="000000"/>
          <w:szCs w:val="32"/>
        </w:rPr>
        <w:drawing>
          <wp:anchor distT="0" distB="0" distL="114300" distR="114300" simplePos="0" relativeHeight="251670528" behindDoc="0" locked="0" layoutInCell="1" allowOverlap="1">
            <wp:simplePos x="0" y="0"/>
            <wp:positionH relativeFrom="column">
              <wp:posOffset>890905</wp:posOffset>
            </wp:positionH>
            <wp:positionV relativeFrom="paragraph">
              <wp:posOffset>293370</wp:posOffset>
            </wp:positionV>
            <wp:extent cx="3721100" cy="3655060"/>
            <wp:effectExtent l="9525" t="9525" r="22225" b="12065"/>
            <wp:wrapSquare wrapText="bothSides"/>
            <wp:docPr id="1039" name="图片 4"/>
            <wp:cNvGraphicFramePr/>
            <a:graphic xmlns:a="http://schemas.openxmlformats.org/drawingml/2006/main">
              <a:graphicData uri="http://schemas.openxmlformats.org/drawingml/2006/picture">
                <pic:pic xmlns:pic="http://schemas.openxmlformats.org/drawingml/2006/picture">
                  <pic:nvPicPr>
                    <pic:cNvPr id="1039" name="图片 4"/>
                    <pic:cNvPicPr/>
                  </pic:nvPicPr>
                  <pic:blipFill>
                    <a:blip r:embed="rId23" cstate="print"/>
                    <a:srcRect/>
                    <a:stretch>
                      <a:fillRect/>
                    </a:stretch>
                  </pic:blipFill>
                  <pic:spPr>
                    <a:xfrm>
                      <a:off x="0" y="0"/>
                      <a:ext cx="3721100" cy="3655059"/>
                    </a:xfrm>
                    <a:prstGeom prst="rect">
                      <a:avLst/>
                    </a:prstGeom>
                    <a:ln w="9525" cap="flat" cmpd="sng">
                      <a:solidFill>
                        <a:srgbClr val="000000"/>
                      </a:solidFill>
                      <a:prstDash val="solid"/>
                      <a:round/>
                      <a:headEnd type="none" w="med" len="med"/>
                      <a:tailEnd type="none" w="med" len="med"/>
                    </a:ln>
                  </pic:spPr>
                </pic:pic>
              </a:graphicData>
            </a:graphic>
          </wp:anchor>
        </w:drawing>
      </w:r>
    </w:p>
    <w:p w14:paraId="5246F179">
      <w:pPr>
        <w:ind w:firstLine="0" w:firstLineChars="0"/>
        <w:rPr>
          <w:kern w:val="2"/>
        </w:rPr>
      </w:pPr>
    </w:p>
    <w:p w14:paraId="287D3ED5">
      <w:pPr>
        <w:ind w:firstLine="0" w:firstLineChars="0"/>
        <w:rPr>
          <w:kern w:val="2"/>
        </w:rPr>
      </w:pPr>
    </w:p>
    <w:p w14:paraId="25E8C2E2">
      <w:pPr>
        <w:ind w:firstLine="0" w:firstLineChars="0"/>
        <w:rPr>
          <w:kern w:val="2"/>
        </w:rPr>
      </w:pPr>
    </w:p>
    <w:p w14:paraId="0E783421">
      <w:pPr>
        <w:ind w:firstLine="0" w:firstLineChars="0"/>
        <w:rPr>
          <w:kern w:val="2"/>
        </w:rPr>
      </w:pPr>
    </w:p>
    <w:p w14:paraId="769B5168">
      <w:pPr>
        <w:ind w:firstLine="0" w:firstLineChars="0"/>
        <w:rPr>
          <w:kern w:val="2"/>
        </w:rPr>
      </w:pPr>
    </w:p>
    <w:p w14:paraId="2615ED2C">
      <w:pPr>
        <w:ind w:firstLine="0" w:firstLineChars="0"/>
        <w:rPr>
          <w:kern w:val="2"/>
        </w:rPr>
      </w:pPr>
    </w:p>
    <w:p w14:paraId="12F34DFB">
      <w:pPr>
        <w:ind w:firstLine="0" w:firstLineChars="0"/>
        <w:rPr>
          <w:kern w:val="2"/>
        </w:rPr>
      </w:pPr>
    </w:p>
    <w:p w14:paraId="3D166588">
      <w:pPr>
        <w:ind w:firstLine="0" w:firstLineChars="0"/>
        <w:rPr>
          <w:kern w:val="2"/>
        </w:rPr>
      </w:pPr>
    </w:p>
    <w:p w14:paraId="20AB1C24">
      <w:pPr>
        <w:ind w:firstLine="0" w:firstLineChars="0"/>
        <w:rPr>
          <w:kern w:val="2"/>
        </w:rPr>
      </w:pPr>
    </w:p>
    <w:p w14:paraId="65D12EAC">
      <w:pPr>
        <w:ind w:firstLine="0" w:firstLineChars="0"/>
        <w:rPr>
          <w:kern w:val="2"/>
        </w:rPr>
      </w:pPr>
    </w:p>
    <w:p w14:paraId="7874C256">
      <w:pPr>
        <w:ind w:firstLine="0" w:firstLineChars="0"/>
        <w:rPr>
          <w:kern w:val="2"/>
        </w:rPr>
      </w:pPr>
      <w:r>
        <w:rPr>
          <w:rFonts w:cs="宋体"/>
          <w:color w:val="000000"/>
          <w:szCs w:val="32"/>
        </w:rPr>
        <w:drawing>
          <wp:anchor distT="0" distB="0" distL="114300" distR="114300" simplePos="0" relativeHeight="251671552" behindDoc="0" locked="0" layoutInCell="1" allowOverlap="1">
            <wp:simplePos x="0" y="0"/>
            <wp:positionH relativeFrom="column">
              <wp:posOffset>795020</wp:posOffset>
            </wp:positionH>
            <wp:positionV relativeFrom="paragraph">
              <wp:posOffset>81915</wp:posOffset>
            </wp:positionV>
            <wp:extent cx="3689985" cy="4076065"/>
            <wp:effectExtent l="9525" t="9525" r="15240" b="10160"/>
            <wp:wrapSquare wrapText="bothSides"/>
            <wp:docPr id="1040" name="图片 5"/>
            <wp:cNvGraphicFramePr/>
            <a:graphic xmlns:a="http://schemas.openxmlformats.org/drawingml/2006/main">
              <a:graphicData uri="http://schemas.openxmlformats.org/drawingml/2006/picture">
                <pic:pic xmlns:pic="http://schemas.openxmlformats.org/drawingml/2006/picture">
                  <pic:nvPicPr>
                    <pic:cNvPr id="1040" name="图片 5"/>
                    <pic:cNvPicPr/>
                  </pic:nvPicPr>
                  <pic:blipFill>
                    <a:blip r:embed="rId24" cstate="print"/>
                    <a:srcRect/>
                    <a:stretch>
                      <a:fillRect/>
                    </a:stretch>
                  </pic:blipFill>
                  <pic:spPr>
                    <a:xfrm>
                      <a:off x="0" y="0"/>
                      <a:ext cx="3689985" cy="4076064"/>
                    </a:xfrm>
                    <a:prstGeom prst="rect">
                      <a:avLst/>
                    </a:prstGeom>
                    <a:ln w="9525" cap="flat" cmpd="sng">
                      <a:solidFill>
                        <a:srgbClr val="000000"/>
                      </a:solidFill>
                      <a:prstDash val="solid"/>
                      <a:round/>
                      <a:headEnd type="none" w="med" len="med"/>
                      <a:tailEnd type="none" w="med" len="med"/>
                    </a:ln>
                  </pic:spPr>
                </pic:pic>
              </a:graphicData>
            </a:graphic>
          </wp:anchor>
        </w:drawing>
      </w:r>
    </w:p>
    <w:p w14:paraId="611CA61F">
      <w:pPr>
        <w:ind w:firstLine="0" w:firstLineChars="0"/>
        <w:rPr>
          <w:kern w:val="2"/>
        </w:rPr>
      </w:pPr>
    </w:p>
    <w:p w14:paraId="48C1431A">
      <w:pPr>
        <w:ind w:firstLine="0" w:firstLineChars="0"/>
        <w:rPr>
          <w:kern w:val="2"/>
        </w:rPr>
      </w:pPr>
    </w:p>
    <w:p w14:paraId="6F2EEAA9">
      <w:pPr>
        <w:ind w:firstLine="0" w:firstLineChars="0"/>
        <w:rPr>
          <w:kern w:val="2"/>
        </w:rPr>
      </w:pPr>
    </w:p>
    <w:p w14:paraId="041D6317">
      <w:pPr>
        <w:ind w:firstLine="0" w:firstLineChars="0"/>
        <w:rPr>
          <w:kern w:val="2"/>
        </w:rPr>
      </w:pPr>
    </w:p>
    <w:p w14:paraId="10755469">
      <w:pPr>
        <w:ind w:firstLine="0" w:firstLineChars="0"/>
        <w:rPr>
          <w:kern w:val="2"/>
        </w:rPr>
      </w:pPr>
    </w:p>
    <w:p w14:paraId="6D157FE1">
      <w:pPr>
        <w:ind w:firstLine="0" w:firstLineChars="0"/>
        <w:rPr>
          <w:kern w:val="2"/>
        </w:rPr>
      </w:pPr>
    </w:p>
    <w:p w14:paraId="0D1AD4A5">
      <w:pPr>
        <w:ind w:firstLine="0" w:firstLineChars="0"/>
        <w:rPr>
          <w:kern w:val="2"/>
        </w:rPr>
      </w:pPr>
    </w:p>
    <w:p w14:paraId="39A5C119">
      <w:pPr>
        <w:ind w:firstLine="0" w:firstLineChars="0"/>
        <w:rPr>
          <w:kern w:val="2"/>
        </w:rPr>
      </w:pPr>
    </w:p>
    <w:p w14:paraId="3D134DDD">
      <w:pPr>
        <w:ind w:firstLine="0" w:firstLineChars="0"/>
        <w:rPr>
          <w:kern w:val="2"/>
        </w:rPr>
      </w:pPr>
    </w:p>
    <w:p w14:paraId="50653982">
      <w:pPr>
        <w:ind w:firstLine="0" w:firstLineChars="0"/>
        <w:rPr>
          <w:kern w:val="2"/>
        </w:rPr>
      </w:pPr>
    </w:p>
    <w:p w14:paraId="27036608">
      <w:pPr>
        <w:ind w:firstLine="0" w:firstLineChars="0"/>
        <w:rPr>
          <w:kern w:val="2"/>
        </w:rPr>
      </w:pPr>
    </w:p>
    <w:p w14:paraId="7E55B482">
      <w:pPr>
        <w:ind w:firstLine="0" w:firstLineChars="0"/>
        <w:rPr>
          <w:kern w:val="2"/>
        </w:rPr>
      </w:pPr>
    </w:p>
    <w:p w14:paraId="1DD4D182">
      <w:pPr>
        <w:ind w:firstLine="0" w:firstLineChars="0"/>
        <w:rPr>
          <w:kern w:val="2"/>
        </w:rPr>
      </w:pPr>
    </w:p>
    <w:p w14:paraId="62BF8502">
      <w:pPr>
        <w:ind w:firstLine="0" w:firstLineChars="0"/>
        <w:rPr>
          <w:kern w:val="2"/>
        </w:rPr>
      </w:pPr>
    </w:p>
    <w:p w14:paraId="0B0AC98F">
      <w:pPr>
        <w:ind w:firstLine="0" w:firstLineChars="0"/>
        <w:rPr>
          <w:kern w:val="2"/>
        </w:rPr>
      </w:pPr>
    </w:p>
    <w:p w14:paraId="6530D469">
      <w:pPr>
        <w:ind w:firstLine="0" w:firstLineChars="0"/>
        <w:rPr>
          <w:kern w:val="2"/>
        </w:rPr>
      </w:pPr>
    </w:p>
    <w:p w14:paraId="2DFD3462">
      <w:pPr>
        <w:ind w:firstLine="0" w:firstLineChars="0"/>
        <w:rPr>
          <w:kern w:val="2"/>
        </w:rPr>
      </w:pPr>
    </w:p>
    <w:p w14:paraId="24FAF628">
      <w:pPr>
        <w:ind w:firstLine="0" w:firstLineChars="0"/>
        <w:rPr>
          <w:kern w:val="2"/>
        </w:rPr>
      </w:pPr>
    </w:p>
    <w:p w14:paraId="3C196E43">
      <w:pPr>
        <w:ind w:firstLine="0" w:firstLineChars="0"/>
        <w:rPr>
          <w:kern w:val="2"/>
        </w:rPr>
      </w:pPr>
    </w:p>
    <w:p w14:paraId="3734AD18">
      <w:pPr>
        <w:ind w:firstLine="0" w:firstLineChars="0"/>
        <w:rPr>
          <w:kern w:val="2"/>
        </w:rPr>
      </w:pPr>
    </w:p>
    <w:p w14:paraId="542E0189">
      <w:pPr>
        <w:ind w:firstLine="0" w:firstLineChars="0"/>
        <w:rPr>
          <w:kern w:val="2"/>
        </w:rPr>
      </w:pPr>
      <w:r>
        <w:rPr>
          <w:rFonts w:hint="eastAsia"/>
          <w:kern w:val="2"/>
        </w:rPr>
        <w:t>附件6</w:t>
      </w:r>
    </w:p>
    <w:p w14:paraId="7A456EFD">
      <w:pPr>
        <w:ind w:firstLine="0" w:firstLineChars="0"/>
        <w:jc w:val="center"/>
        <w:rPr>
          <w:kern w:val="2"/>
        </w:rPr>
      </w:pPr>
      <w:r>
        <w:rPr>
          <w:rFonts w:hint="eastAsia"/>
          <w:kern w:val="2"/>
        </w:rPr>
        <w:t>腐蚀天然气管线</w:t>
      </w:r>
    </w:p>
    <w:p w14:paraId="32B5056F">
      <w:pPr>
        <w:ind w:firstLine="0" w:firstLineChars="0"/>
        <w:rPr>
          <w:kern w:val="2"/>
        </w:rPr>
      </w:pPr>
      <w:r>
        <w:rPr>
          <w:rFonts w:hint="eastAsia" w:ascii="仿宋_GB2312"/>
          <w:szCs w:val="32"/>
        </w:rPr>
        <w:drawing>
          <wp:anchor distT="0" distB="0" distL="114300" distR="114300" simplePos="0" relativeHeight="251672576" behindDoc="0" locked="0" layoutInCell="1" allowOverlap="1">
            <wp:simplePos x="0" y="0"/>
            <wp:positionH relativeFrom="column">
              <wp:posOffset>855980</wp:posOffset>
            </wp:positionH>
            <wp:positionV relativeFrom="paragraph">
              <wp:posOffset>12700</wp:posOffset>
            </wp:positionV>
            <wp:extent cx="3873500" cy="2905125"/>
            <wp:effectExtent l="0" t="0" r="12700" b="9525"/>
            <wp:wrapSquare wrapText="bothSides"/>
            <wp:docPr id="1041" name="图片 2" descr="9e78d8e0141337af781a39ae4ac44f1"/>
            <wp:cNvGraphicFramePr/>
            <a:graphic xmlns:a="http://schemas.openxmlformats.org/drawingml/2006/main">
              <a:graphicData uri="http://schemas.openxmlformats.org/drawingml/2006/picture">
                <pic:pic xmlns:pic="http://schemas.openxmlformats.org/drawingml/2006/picture">
                  <pic:nvPicPr>
                    <pic:cNvPr id="1041" name="图片 2" descr="9e78d8e0141337af781a39ae4ac44f1"/>
                    <pic:cNvPicPr/>
                  </pic:nvPicPr>
                  <pic:blipFill>
                    <a:blip r:embed="rId25" cstate="print"/>
                    <a:srcRect/>
                    <a:stretch>
                      <a:fillRect/>
                    </a:stretch>
                  </pic:blipFill>
                  <pic:spPr>
                    <a:xfrm>
                      <a:off x="0" y="0"/>
                      <a:ext cx="3873500" cy="2905125"/>
                    </a:xfrm>
                    <a:prstGeom prst="rect">
                      <a:avLst/>
                    </a:prstGeom>
                  </pic:spPr>
                </pic:pic>
              </a:graphicData>
            </a:graphic>
          </wp:anchor>
        </w:drawing>
      </w:r>
    </w:p>
    <w:p w14:paraId="6C168D15">
      <w:pPr>
        <w:ind w:firstLine="0" w:firstLineChars="0"/>
        <w:rPr>
          <w:kern w:val="2"/>
        </w:rPr>
      </w:pPr>
    </w:p>
    <w:p w14:paraId="5F96E407">
      <w:pPr>
        <w:ind w:firstLine="0" w:firstLineChars="0"/>
        <w:rPr>
          <w:kern w:val="2"/>
        </w:rPr>
      </w:pPr>
    </w:p>
    <w:p w14:paraId="4780FCC0">
      <w:pPr>
        <w:ind w:firstLine="0" w:firstLineChars="0"/>
        <w:rPr>
          <w:kern w:val="2"/>
        </w:rPr>
      </w:pPr>
      <w:r>
        <w:pict>
          <v:roundrect id="1042" o:spid="_x0000_s1027" o:spt="2" style="position:absolute;left:0pt;margin-left:192.85pt;margin-top:8.65pt;height:63.45pt;width:106.35pt;z-index:251676672;v-text-anchor:middle;mso-width-relative:page;mso-height-relative:page;" filled="f" stroked="t" coordsize="21600,21600" arcsize="0">
            <v:path/>
            <v:fill on="f" focussize="0,0"/>
            <v:stroke weight="2pt" color="#FF0000"/>
            <v:imagedata o:title=""/>
            <o:lock v:ext="edit"/>
            <v:textbox>
              <w:txbxContent>
                <w:p w14:paraId="13CF248E">
                  <w:pPr>
                    <w:ind w:firstLine="640"/>
                    <w:jc w:val="center"/>
                  </w:pPr>
                </w:p>
              </w:txbxContent>
            </v:textbox>
          </v:roundrect>
        </w:pict>
      </w:r>
    </w:p>
    <w:p w14:paraId="13D45367">
      <w:pPr>
        <w:ind w:firstLine="0" w:firstLineChars="0"/>
        <w:rPr>
          <w:kern w:val="2"/>
        </w:rPr>
      </w:pPr>
    </w:p>
    <w:p w14:paraId="563BFB6A">
      <w:pPr>
        <w:ind w:firstLine="0" w:firstLineChars="0"/>
        <w:rPr>
          <w:kern w:val="2"/>
        </w:rPr>
      </w:pPr>
    </w:p>
    <w:p w14:paraId="47ABF5CC">
      <w:pPr>
        <w:ind w:firstLine="0" w:firstLineChars="0"/>
        <w:rPr>
          <w:kern w:val="2"/>
        </w:rPr>
      </w:pPr>
    </w:p>
    <w:p w14:paraId="187FA794">
      <w:pPr>
        <w:ind w:firstLine="0" w:firstLineChars="0"/>
        <w:rPr>
          <w:kern w:val="2"/>
        </w:rPr>
      </w:pPr>
    </w:p>
    <w:p w14:paraId="66CA7810">
      <w:pPr>
        <w:ind w:firstLine="0" w:firstLineChars="0"/>
        <w:rPr>
          <w:kern w:val="2"/>
        </w:rPr>
      </w:pPr>
    </w:p>
    <w:p w14:paraId="3EA47A89">
      <w:pPr>
        <w:ind w:firstLine="0" w:firstLineChars="0"/>
        <w:rPr>
          <w:kern w:val="2"/>
        </w:rPr>
      </w:pPr>
      <w:r>
        <w:rPr>
          <w:rFonts w:hint="eastAsia" w:ascii="仿宋_GB2312"/>
          <w:szCs w:val="32"/>
        </w:rPr>
        <w:drawing>
          <wp:anchor distT="0" distB="0" distL="114300" distR="114300" simplePos="0" relativeHeight="251673600" behindDoc="0" locked="0" layoutInCell="1" allowOverlap="1">
            <wp:simplePos x="0" y="0"/>
            <wp:positionH relativeFrom="column">
              <wp:posOffset>440690</wp:posOffset>
            </wp:positionH>
            <wp:positionV relativeFrom="paragraph">
              <wp:posOffset>14605</wp:posOffset>
            </wp:positionV>
            <wp:extent cx="4722495" cy="3542030"/>
            <wp:effectExtent l="0" t="0" r="1905" b="1270"/>
            <wp:wrapSquare wrapText="bothSides"/>
            <wp:docPr id="1043" name="图片 1" descr="0bf0ea6f5fcabb0460e7d78761fc137"/>
            <wp:cNvGraphicFramePr/>
            <a:graphic xmlns:a="http://schemas.openxmlformats.org/drawingml/2006/main">
              <a:graphicData uri="http://schemas.openxmlformats.org/drawingml/2006/picture">
                <pic:pic xmlns:pic="http://schemas.openxmlformats.org/drawingml/2006/picture">
                  <pic:nvPicPr>
                    <pic:cNvPr id="1043" name="图片 1" descr="0bf0ea6f5fcabb0460e7d78761fc137"/>
                    <pic:cNvPicPr/>
                  </pic:nvPicPr>
                  <pic:blipFill>
                    <a:blip r:embed="rId26" cstate="print"/>
                    <a:srcRect/>
                    <a:stretch>
                      <a:fillRect/>
                    </a:stretch>
                  </pic:blipFill>
                  <pic:spPr>
                    <a:xfrm>
                      <a:off x="0" y="0"/>
                      <a:ext cx="4722495" cy="3542029"/>
                    </a:xfrm>
                    <a:prstGeom prst="rect">
                      <a:avLst/>
                    </a:prstGeom>
                  </pic:spPr>
                </pic:pic>
              </a:graphicData>
            </a:graphic>
          </wp:anchor>
        </w:drawing>
      </w:r>
    </w:p>
    <w:p w14:paraId="68D70E04">
      <w:pPr>
        <w:ind w:firstLine="0" w:firstLineChars="0"/>
        <w:rPr>
          <w:kern w:val="2"/>
        </w:rPr>
      </w:pPr>
      <w:r>
        <w:pict>
          <v:group id="1044" o:spid="_x0000_s1028" o:spt="203" style="position:absolute;left:0pt;margin-left:78.4pt;margin-top:22.2pt;height:177.8pt;width:357.7pt;z-index:251677696;mso-width-relative:page;mso-height-relative:page;" coordorigin="6429,89205" coordsize="7154,-738764093">
            <o:lock v:ext="edit"/>
            <v:shape id="1046" o:spid="_x0000_s1029" o:spt="61" type="#_x0000_t61" style="position:absolute;left:9096;top:92025;height:737;width:1431;rotation:-11796480f;" coordsize="21600,21600" adj="2870,45300">
              <v:path/>
              <v:fill focussize="0,0"/>
              <v:stroke joinstyle="miter"/>
              <v:imagedata o:title=""/>
              <o:lock v:ext="edit"/>
              <v:textbox>
                <w:txbxContent>
                  <w:p w14:paraId="2CCAC2D7">
                    <w:pPr>
                      <w:ind w:firstLine="0" w:firstLineChars="0"/>
                      <w:rPr>
                        <w:rFonts w:eastAsia="宋体"/>
                        <w:sz w:val="18"/>
                        <w:szCs w:val="18"/>
                      </w:rPr>
                    </w:pPr>
                    <w:r>
                      <w:rPr>
                        <w:rFonts w:hint="eastAsia"/>
                        <w:sz w:val="18"/>
                        <w:szCs w:val="18"/>
                      </w:rPr>
                      <w:t>天然气管线</w:t>
                    </w:r>
                  </w:p>
                </w:txbxContent>
              </v:textbox>
            </v:shape>
            <v:shape id="1047" o:spid="_x0000_s1030" o:spt="61" type="#_x0000_t61" style="position:absolute;left:6429;top:89701;height:737;width:982;rotation:-11796480f;" coordsize="21600,21600" adj="-20588,14156">
              <v:path/>
              <v:fill focussize="0,0"/>
              <v:stroke joinstyle="miter"/>
              <v:imagedata o:title=""/>
              <o:lock v:ext="edit"/>
              <v:textbox>
                <w:txbxContent>
                  <w:p w14:paraId="2C70210D">
                    <w:pPr>
                      <w:ind w:firstLine="0" w:firstLineChars="0"/>
                      <w:rPr>
                        <w:rFonts w:eastAsia="宋体"/>
                      </w:rPr>
                    </w:pPr>
                    <w:r>
                      <w:rPr>
                        <w:rFonts w:hint="eastAsia"/>
                        <w:sz w:val="21"/>
                        <w:szCs w:val="21"/>
                      </w:rPr>
                      <w:t>水管线</w:t>
                    </w:r>
                    <w:r>
                      <w:rPr>
                        <w:rFonts w:hint="eastAsia"/>
                      </w:rPr>
                      <w:t>管线</w:t>
                    </w:r>
                  </w:p>
                </w:txbxContent>
              </v:textbox>
            </v:shape>
            <v:shape id="1048" o:spid="_x0000_s1031" o:spt="61" type="#_x0000_t61" style="position:absolute;left:12416;top:89133;height:1239;width:1095;rotation:5701632f;" coordsize="21600,21600" adj="3653,36994">
              <v:path/>
              <v:fill focussize="0,0"/>
              <v:stroke joinstyle="miter"/>
              <v:imagedata o:title=""/>
              <o:lock v:ext="edit"/>
              <v:textbox>
                <w:txbxContent>
                  <w:p w14:paraId="21425591">
                    <w:pPr>
                      <w:ind w:firstLine="0" w:firstLineChars="0"/>
                      <w:rPr>
                        <w:sz w:val="21"/>
                        <w:szCs w:val="21"/>
                      </w:rPr>
                    </w:pPr>
                    <w:r>
                      <w:rPr>
                        <w:rFonts w:hint="eastAsia"/>
                        <w:sz w:val="21"/>
                        <w:szCs w:val="21"/>
                      </w:rPr>
                      <w:t>泄漏点</w:t>
                    </w:r>
                  </w:p>
                </w:txbxContent>
              </v:textbox>
            </v:shape>
          </v:group>
        </w:pict>
      </w:r>
    </w:p>
    <w:p w14:paraId="695AF433">
      <w:pPr>
        <w:ind w:firstLine="0" w:firstLineChars="0"/>
        <w:rPr>
          <w:kern w:val="2"/>
        </w:rPr>
      </w:pPr>
    </w:p>
    <w:p w14:paraId="10076807">
      <w:pPr>
        <w:ind w:firstLine="0" w:firstLineChars="0"/>
        <w:rPr>
          <w:kern w:val="2"/>
        </w:rPr>
      </w:pPr>
    </w:p>
    <w:p w14:paraId="641FFAC4">
      <w:pPr>
        <w:ind w:firstLine="0" w:firstLineChars="0"/>
        <w:rPr>
          <w:kern w:val="2"/>
        </w:rPr>
      </w:pPr>
    </w:p>
    <w:p w14:paraId="216E9C04">
      <w:pPr>
        <w:ind w:firstLine="0" w:firstLineChars="0"/>
        <w:rPr>
          <w:kern w:val="2"/>
        </w:rPr>
      </w:pPr>
    </w:p>
    <w:p w14:paraId="74BE5EE0">
      <w:pPr>
        <w:ind w:firstLine="0" w:firstLineChars="0"/>
        <w:rPr>
          <w:kern w:val="2"/>
        </w:rPr>
      </w:pPr>
    </w:p>
    <w:p w14:paraId="7490FF60">
      <w:pPr>
        <w:ind w:firstLine="0" w:firstLineChars="0"/>
        <w:rPr>
          <w:kern w:val="2"/>
        </w:rPr>
      </w:pPr>
    </w:p>
    <w:p w14:paraId="6765A567">
      <w:pPr>
        <w:ind w:firstLine="0" w:firstLineChars="0"/>
        <w:rPr>
          <w:kern w:val="2"/>
        </w:rPr>
      </w:pPr>
    </w:p>
    <w:p w14:paraId="2E1A4C6E">
      <w:pPr>
        <w:ind w:firstLine="0" w:firstLineChars="0"/>
        <w:rPr>
          <w:kern w:val="2"/>
        </w:rPr>
      </w:pPr>
    </w:p>
    <w:p w14:paraId="14306663">
      <w:pPr>
        <w:ind w:firstLine="0" w:firstLineChars="0"/>
        <w:rPr>
          <w:kern w:val="2"/>
        </w:rPr>
      </w:pPr>
    </w:p>
    <w:sectPr>
      <w:pgSz w:w="11906" w:h="16838"/>
      <w:pgMar w:top="2098" w:right="1474" w:bottom="1985" w:left="1588" w:header="851" w:footer="992" w:gutter="0"/>
      <w:pgNumType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黑体简体">
    <w:altName w:val="微软雅黑"/>
    <w:panose1 w:val="00000000000000000000"/>
    <w:charset w:val="86"/>
    <w:family w:val="auto"/>
    <w:pitch w:val="default"/>
    <w:sig w:usb0="00000000" w:usb1="00000000" w:usb2="00000012" w:usb3="00000000" w:csb0="00040001" w:csb1="00000000"/>
  </w:font>
  <w:font w:name="方正仿宋简体">
    <w:altName w:val="微软雅黑"/>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11200"/>
    </w:sdtPr>
    <w:sdtEndPr>
      <w:rPr>
        <w:rFonts w:asciiTheme="minorEastAsia" w:hAnsiTheme="minorEastAsia" w:eastAsiaTheme="minorEastAsia"/>
        <w:sz w:val="28"/>
        <w:szCs w:val="28"/>
      </w:rPr>
    </w:sdtEndPr>
    <w:sdtContent>
      <w:p w14:paraId="5B076D56">
        <w:pPr>
          <w:pStyle w:val="9"/>
          <w:ind w:firstLine="640"/>
          <w:jc w:val="cente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25</w:t>
        </w:r>
        <w:r>
          <w:rPr>
            <w:rFonts w:asciiTheme="minorEastAsia" w:hAnsiTheme="minorEastAsia" w:eastAsiaTheme="minorEastAsia"/>
            <w:sz w:val="28"/>
            <w:szCs w:val="28"/>
          </w:rPr>
          <w:fldChar w:fldCharType="end"/>
        </w:r>
      </w:p>
    </w:sdtContent>
  </w:sdt>
  <w:p w14:paraId="336C542A">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5481">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D02AA">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pPr>
        <w:spacing w:line="240" w:lineRule="auto"/>
        <w:ind w:firstLine="640"/>
      </w:pPr>
      <w:r>
        <w:separator/>
      </w:r>
    </w:p>
  </w:footnote>
  <w:footnote w:type="continuationSeparator" w:id="17">
    <w:p>
      <w:pPr>
        <w:spacing w:line="240" w:lineRule="auto"/>
        <w:ind w:firstLine="640"/>
      </w:pPr>
      <w:r>
        <w:continuationSeparator/>
      </w:r>
    </w:p>
  </w:footnote>
  <w:footnote w:id="0">
    <w:p w14:paraId="6388A676">
      <w:pPr>
        <w:pStyle w:val="13"/>
        <w:rPr>
          <w:rFonts w:asciiTheme="minorEastAsia" w:hAnsiTheme="minorEastAsia" w:eastAsiaTheme="minorEastAsia"/>
        </w:rPr>
      </w:pPr>
      <w:r>
        <w:rPr>
          <w:rStyle w:val="24"/>
        </w:rPr>
        <w:t>[</w:t>
      </w:r>
      <w:r>
        <w:rPr>
          <w:rStyle w:val="24"/>
        </w:rPr>
        <w:footnoteRef/>
      </w:r>
      <w:r>
        <w:rPr>
          <w:rStyle w:val="24"/>
        </w:rPr>
        <w:t>]</w:t>
      </w:r>
      <w:r>
        <w:t xml:space="preserve"> </w:t>
      </w:r>
      <w:r>
        <w:rPr>
          <w:rFonts w:hint="eastAsia" w:asciiTheme="minorEastAsia" w:hAnsiTheme="minorEastAsia" w:eastAsiaTheme="minorEastAsia"/>
        </w:rPr>
        <w:t>《特种设备安全监察条例》第八章 第九十九条 （三）压力管道，是指利用一定的压力，用于输送气体或者液体的管状设备，其范围规定为最高工作压力大于或者等于0.1MPa（表压）的气体、液化气体、蒸汽介质或者可燃、易爆、有毒、有腐蚀性、最高工作温度高于或者等于标准沸点的液体介质，且公称直径大于25mm的管道。</w:t>
      </w:r>
    </w:p>
    <w:p w14:paraId="0A5D81A0">
      <w:pPr>
        <w:pStyle w:val="13"/>
        <w:ind w:firstLine="270" w:firstLineChars="150"/>
      </w:pPr>
    </w:p>
  </w:footnote>
  <w:footnote w:id="1">
    <w:p w14:paraId="629F32E2">
      <w:pPr>
        <w:pStyle w:val="13"/>
      </w:pPr>
      <w:r>
        <w:rPr>
          <w:rStyle w:val="24"/>
        </w:rPr>
        <w:t>[</w:t>
      </w:r>
      <w:r>
        <w:rPr>
          <w:rStyle w:val="24"/>
        </w:rPr>
        <w:footnoteRef/>
      </w:r>
      <w:r>
        <w:rPr>
          <w:rStyle w:val="24"/>
        </w:rPr>
        <w:t>]</w:t>
      </w:r>
      <w:r>
        <w:t xml:space="preserve"> </w:t>
      </w:r>
      <w:r>
        <w:rPr>
          <w:rFonts w:hint="eastAsia"/>
        </w:rPr>
        <w:t>《中华人民共和国特种设备安全法》第三十九条 特种设备使用单位应当对其使用的特种设备进行经常性维护保养和定期自行检查，并</w:t>
      </w:r>
      <w:r>
        <w:rPr>
          <w:rFonts w:hint="eastAsia"/>
          <w:lang w:val="en-US" w:eastAsia="zh-CN"/>
        </w:rPr>
        <w:t>做</w:t>
      </w:r>
      <w:r>
        <w:rPr>
          <w:rFonts w:hint="eastAsia"/>
        </w:rPr>
        <w:t>出记录。</w:t>
      </w:r>
    </w:p>
    <w:p w14:paraId="2D5FD9EC">
      <w:pPr>
        <w:pStyle w:val="13"/>
        <w:ind w:firstLine="270" w:firstLineChars="150"/>
      </w:pPr>
      <w:r>
        <w:rPr>
          <w:rFonts w:hint="eastAsia"/>
        </w:rPr>
        <w:t>特种设备使用单位应当对其使用的特种设备的安全附件、安全保护装置进行定期校验、检修，并</w:t>
      </w:r>
      <w:r>
        <w:rPr>
          <w:rFonts w:hint="eastAsia"/>
          <w:lang w:val="en-US" w:eastAsia="zh-CN"/>
        </w:rPr>
        <w:t>做</w:t>
      </w:r>
      <w:r>
        <w:rPr>
          <w:rFonts w:hint="eastAsia"/>
        </w:rPr>
        <w:t>出记录。</w:t>
      </w:r>
    </w:p>
  </w:footnote>
  <w:footnote w:id="2">
    <w:p w14:paraId="16D07EB3">
      <w:pPr>
        <w:pStyle w:val="13"/>
        <w:rPr>
          <w:rFonts w:asciiTheme="minorEastAsia" w:hAnsiTheme="minorEastAsia" w:eastAsiaTheme="minorEastAsia" w:cstheme="minorEastAsia"/>
        </w:rPr>
      </w:pPr>
      <w:r>
        <w:rPr>
          <w:rStyle w:val="24"/>
          <w:rFonts w:hint="eastAsia" w:asciiTheme="minorEastAsia" w:hAnsiTheme="minorEastAsia" w:eastAsiaTheme="minorEastAsia" w:cstheme="minorEastAsia"/>
        </w:rPr>
        <w:t>[</w:t>
      </w:r>
      <w:r>
        <w:rPr>
          <w:rStyle w:val="24"/>
          <w:rFonts w:hint="eastAsia" w:asciiTheme="minorEastAsia" w:hAnsiTheme="minorEastAsia" w:eastAsiaTheme="minorEastAsia" w:cstheme="minorEastAsia"/>
        </w:rPr>
        <w:footnoteRef/>
      </w:r>
      <w:r>
        <w:rPr>
          <w:rStyle w:val="24"/>
          <w:rFonts w:hint="eastAsia" w:asciiTheme="minorEastAsia" w:hAnsiTheme="minorEastAsia" w:eastAsiaTheme="minorEastAsia" w:cstheme="minorEastAsia"/>
        </w:rPr>
        <w:t>]</w:t>
      </w:r>
      <w:r>
        <w:rPr>
          <w:rFonts w:hint="eastAsia" w:asciiTheme="minorEastAsia" w:hAnsiTheme="minorEastAsia" w:eastAsiaTheme="minorEastAsia" w:cstheme="minorEastAsia"/>
        </w:rPr>
        <w:t xml:space="preserve"> 《企业职工伤亡事故分类标准》4.1轻伤 指损失工作日低于105日失能伤害。</w:t>
      </w:r>
    </w:p>
  </w:footnote>
  <w:footnote w:id="3">
    <w:p w14:paraId="4F678BF9">
      <w:pPr>
        <w:pStyle w:val="13"/>
        <w:rPr>
          <w:rFonts w:asciiTheme="minorEastAsia" w:hAnsiTheme="minorEastAsia" w:eastAsiaTheme="minorEastAsia" w:cstheme="minorEastAsia"/>
        </w:rPr>
      </w:pPr>
      <w:r>
        <w:rPr>
          <w:rStyle w:val="24"/>
          <w:rFonts w:hint="eastAsia" w:asciiTheme="minorEastAsia" w:hAnsiTheme="minorEastAsia" w:eastAsiaTheme="minorEastAsia" w:cstheme="minorEastAsia"/>
        </w:rPr>
        <w:t>[</w:t>
      </w:r>
      <w:r>
        <w:rPr>
          <w:rStyle w:val="24"/>
          <w:rFonts w:hint="eastAsia" w:asciiTheme="minorEastAsia" w:hAnsiTheme="minorEastAsia" w:eastAsiaTheme="minorEastAsia" w:cstheme="minorEastAsia"/>
        </w:rPr>
        <w:footnoteRef/>
      </w:r>
      <w:r>
        <w:rPr>
          <w:rStyle w:val="24"/>
          <w:rFonts w:hint="eastAsia" w:asciiTheme="minorEastAsia" w:hAnsiTheme="minorEastAsia" w:eastAsiaTheme="minorEastAsia" w:cstheme="minorEastAsia"/>
        </w:rPr>
        <w:t>]</w:t>
      </w:r>
      <w:r>
        <w:rPr>
          <w:rFonts w:hint="eastAsia" w:asciiTheme="minorEastAsia" w:hAnsiTheme="minorEastAsia" w:eastAsiaTheme="minorEastAsia" w:cstheme="minorEastAsia"/>
        </w:rPr>
        <w:t xml:space="preserve"> 《人体损伤程度鉴定标准》5.12.4：轻伤二级 a)II</w:t>
      </w:r>
      <w:r>
        <w:rPr>
          <w:rFonts w:hint="eastAsia" w:asciiTheme="minorEastAsia" w:hAnsiTheme="minorEastAsia" w:eastAsiaTheme="minorEastAsia" w:cstheme="minorEastAsia"/>
          <w:vertAlign w:val="superscript"/>
        </w:rPr>
        <w:t>o</w:t>
      </w:r>
      <w:r>
        <w:rPr>
          <w:rFonts w:hint="eastAsia" w:asciiTheme="minorEastAsia" w:hAnsiTheme="minorEastAsia" w:eastAsiaTheme="minorEastAsia" w:cstheme="minorEastAsia"/>
        </w:rPr>
        <w:t>以上烧烫伤面积达体表面积 5％或者 III</w:t>
      </w:r>
      <w:r>
        <w:rPr>
          <w:rFonts w:hint="eastAsia" w:asciiTheme="minorEastAsia" w:hAnsiTheme="minorEastAsia" w:eastAsiaTheme="minorEastAsia" w:cstheme="minorEastAsia"/>
          <w:vertAlign w:val="superscript"/>
        </w:rPr>
        <w:t>o</w:t>
      </w:r>
      <w:r>
        <w:rPr>
          <w:rFonts w:hint="eastAsia" w:asciiTheme="minorEastAsia" w:hAnsiTheme="minorEastAsia" w:eastAsiaTheme="minorEastAsia" w:cstheme="minorEastAsia"/>
        </w:rPr>
        <w:t>面积达 0.5％。 b)呼吸道烧伤。 c)挤压综合征（I 级）。 d)电击伤（Ⅰ</w:t>
      </w:r>
      <w:r>
        <w:rPr>
          <w:rFonts w:hint="eastAsia" w:asciiTheme="minorEastAsia" w:hAnsiTheme="minorEastAsia" w:eastAsiaTheme="minorEastAsia" w:cstheme="minorEastAsia"/>
          <w:vertAlign w:val="superscript"/>
        </w:rPr>
        <w:t>o</w:t>
      </w:r>
      <w:r>
        <w:rPr>
          <w:rFonts w:hint="eastAsia" w:asciiTheme="minorEastAsia" w:hAnsiTheme="minorEastAsia" w:eastAsiaTheme="minorEastAsia" w:cstheme="minorEastAsia"/>
        </w:rPr>
        <w:t>）。 e)溺水（轻度）。 f)各种损伤引起休克（轻度）。 g)呼吸功能障碍，出现窒息征象。 h)面部异物存留；眶内异物存留；鼻窦异物存留。 i)胸腔内异物存留；腹腔内异物存留；盆腔内异物存留。 j)深部组织内异物存留。 k)骨折内固定物损坏需要手术更换或者修复。 l)各种置入式假体装置损坏需要手术更换或者修复。 m)器质性阴茎勃起障碍（轻度）</w:t>
      </w:r>
    </w:p>
  </w:footnote>
  <w:footnote w:id="4">
    <w:p w14:paraId="4CEE8B77">
      <w:pPr>
        <w:pStyle w:val="13"/>
        <w:rPr>
          <w:rFonts w:asciiTheme="minorEastAsia" w:hAnsiTheme="minorEastAsia" w:eastAsiaTheme="minorEastAsia" w:cstheme="minorEastAsia"/>
        </w:rPr>
      </w:pPr>
      <w:r>
        <w:rPr>
          <w:rStyle w:val="24"/>
          <w:rFonts w:hint="eastAsia" w:asciiTheme="minorEastAsia" w:hAnsiTheme="minorEastAsia" w:eastAsiaTheme="minorEastAsia" w:cstheme="minorEastAsia"/>
        </w:rPr>
        <w:t>[</w:t>
      </w:r>
      <w:r>
        <w:rPr>
          <w:rStyle w:val="24"/>
          <w:rFonts w:hint="eastAsia" w:asciiTheme="minorEastAsia" w:hAnsiTheme="minorEastAsia" w:eastAsiaTheme="minorEastAsia" w:cstheme="minorEastAsia"/>
        </w:rPr>
        <w:footnoteRef/>
      </w:r>
      <w:r>
        <w:rPr>
          <w:rStyle w:val="24"/>
          <w:rFonts w:hint="eastAsia" w:asciiTheme="minorEastAsia" w:hAnsiTheme="minorEastAsia" w:eastAsiaTheme="minorEastAsia" w:cstheme="minorEastAsia"/>
        </w:rPr>
        <w:t>]</w:t>
      </w:r>
      <w:r>
        <w:rPr>
          <w:rFonts w:hint="eastAsia" w:asciiTheme="minorEastAsia" w:hAnsiTheme="minorEastAsia" w:eastAsiaTheme="minorEastAsia" w:cstheme="minorEastAsia"/>
        </w:rPr>
        <w:t>《人体损伤程度鉴定标准》5.12.3：轻伤一级 a)II</w:t>
      </w:r>
      <w:r>
        <w:rPr>
          <w:rFonts w:hint="eastAsia" w:asciiTheme="minorEastAsia" w:hAnsiTheme="minorEastAsia" w:eastAsiaTheme="minorEastAsia" w:cstheme="minorEastAsia"/>
          <w:vertAlign w:val="superscript"/>
        </w:rPr>
        <w:t>o</w:t>
      </w:r>
      <w:r>
        <w:rPr>
          <w:rFonts w:hint="eastAsia" w:asciiTheme="minorEastAsia" w:hAnsiTheme="minorEastAsia" w:eastAsiaTheme="minorEastAsia" w:cstheme="minorEastAsia"/>
        </w:rPr>
        <w:t>以上烧烫伤面积达体表面积 20％或者 III</w:t>
      </w:r>
      <w:r>
        <w:rPr>
          <w:rFonts w:hint="eastAsia" w:asciiTheme="minorEastAsia" w:hAnsiTheme="minorEastAsia" w:eastAsiaTheme="minorEastAsia" w:cstheme="minorEastAsia"/>
          <w:vertAlign w:val="superscript"/>
        </w:rPr>
        <w:t>o</w:t>
      </w:r>
      <w:r>
        <w:rPr>
          <w:rFonts w:hint="eastAsia" w:asciiTheme="minorEastAsia" w:hAnsiTheme="minorEastAsia" w:eastAsiaTheme="minorEastAsia" w:cstheme="minorEastAsia"/>
        </w:rPr>
        <w:t>面积达 5％。 b)损伤引起脂肪栓塞综合征（不完全型）。 c)器质性阴茎勃起障碍（中度）。</w:t>
      </w:r>
    </w:p>
  </w:footnote>
  <w:footnote w:id="5">
    <w:p w14:paraId="3E2BA640">
      <w:pPr>
        <w:pStyle w:val="13"/>
        <w:rPr>
          <w:rFonts w:asciiTheme="minorEastAsia" w:hAnsiTheme="minorEastAsia" w:eastAsiaTheme="minorEastAsia" w:cstheme="minorEastAsia"/>
        </w:rPr>
      </w:pPr>
      <w:r>
        <w:rPr>
          <w:rStyle w:val="24"/>
          <w:rFonts w:hint="eastAsia" w:asciiTheme="minorEastAsia" w:hAnsiTheme="minorEastAsia" w:eastAsiaTheme="minorEastAsia" w:cstheme="minorEastAsia"/>
        </w:rPr>
        <w:t>[</w:t>
      </w:r>
      <w:r>
        <w:rPr>
          <w:rStyle w:val="24"/>
          <w:rFonts w:hint="eastAsia" w:asciiTheme="minorEastAsia" w:hAnsiTheme="minorEastAsia" w:eastAsiaTheme="minorEastAsia" w:cstheme="minorEastAsia"/>
        </w:rPr>
        <w:footnoteRef/>
      </w:r>
      <w:r>
        <w:rPr>
          <w:rStyle w:val="24"/>
          <w:rFonts w:hint="eastAsia" w:asciiTheme="minorEastAsia" w:hAnsiTheme="minorEastAsia" w:eastAsiaTheme="minorEastAsia" w:cstheme="minorEastAsia"/>
        </w:rPr>
        <w:t>]</w:t>
      </w:r>
      <w:r>
        <w:rPr>
          <w:rFonts w:hint="eastAsia" w:asciiTheme="minorEastAsia" w:hAnsiTheme="minorEastAsia" w:eastAsiaTheme="minorEastAsia" w:cstheme="minorEastAsia"/>
        </w:rPr>
        <w:t xml:space="preserve"> 《人体损伤程度鉴定标准》5.1.5：轻微伤 —5— a)头部外伤后伴有神经症状。 b)头皮擦伤面积 5.0cm2以上；头皮挫伤；头皮下血肿。 c)头皮创口或者瘢痕。</w:t>
      </w:r>
    </w:p>
  </w:footnote>
  <w:footnote w:id="6">
    <w:p w14:paraId="00C49511">
      <w:pPr>
        <w:pStyle w:val="13"/>
      </w:pPr>
      <w:r>
        <w:rPr>
          <w:rStyle w:val="24"/>
        </w:rPr>
        <w:t>[</w:t>
      </w:r>
      <w:r>
        <w:rPr>
          <w:rStyle w:val="24"/>
        </w:rPr>
        <w:footnoteRef/>
      </w:r>
      <w:r>
        <w:rPr>
          <w:rStyle w:val="24"/>
        </w:rPr>
        <w:t>]</w:t>
      </w:r>
      <w:r>
        <w:t xml:space="preserve"> </w:t>
      </w:r>
      <w:r>
        <w:rPr>
          <w:rFonts w:hint="eastAsia" w:asciiTheme="minorEastAsia" w:hAnsiTheme="minorEastAsia" w:eastAsiaTheme="minorEastAsia" w:cstheme="minorEastAsia"/>
        </w:rPr>
        <w:t>《中华人民共和国安全生产法》第一百一十四条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二）发生较大事故的，处一百万元以上二百万元以下的罚款；（三）发生重大事故的，处二百万元以上一千万元以下的罚款；（四）发生特别重大事故的，处一千万元以上二千万元以下的罚款。</w:t>
      </w:r>
    </w:p>
  </w:footnote>
  <w:footnote w:id="7">
    <w:p w14:paraId="4475105C">
      <w:pPr>
        <w:pStyle w:val="13"/>
      </w:pPr>
      <w:r>
        <w:rPr>
          <w:rStyle w:val="24"/>
        </w:rPr>
        <w:t>[</w:t>
      </w:r>
      <w:r>
        <w:rPr>
          <w:rStyle w:val="24"/>
        </w:rPr>
        <w:footnoteRef/>
      </w:r>
      <w:r>
        <w:rPr>
          <w:rStyle w:val="24"/>
        </w:rPr>
        <w:t>]</w:t>
      </w:r>
      <w:r>
        <w:rPr>
          <w:rFonts w:hint="eastAsia" w:asciiTheme="minorEastAsia" w:hAnsiTheme="minorEastAsia" w:eastAsiaTheme="minorEastAsia" w:cstheme="minorEastAsia"/>
        </w:rPr>
        <w:t>《新疆维吾尔自治区应急管理系统行政处罚自由裁量基准》6.5.1.1：重伤 3 人以下，或者轻伤 9 人以下，或者直接经济损失 300 万元以下，且不存在《生产安全事故报告和调查处理条例》第三十六条规定行为的，不予罚款处罚。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6F2A3">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5CF09">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2B908">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16"/>
    <w:footnote w:id="17"/>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Y1ZGMyMTRmY2NmMzU5YTc1MTYzOTczZThlODQyM2YifQ=="/>
  </w:docVars>
  <w:rsids>
    <w:rsidRoot w:val="00872D17"/>
    <w:rsid w:val="000275B4"/>
    <w:rsid w:val="00032610"/>
    <w:rsid w:val="00035BDA"/>
    <w:rsid w:val="00050E1C"/>
    <w:rsid w:val="00065068"/>
    <w:rsid w:val="00065F67"/>
    <w:rsid w:val="00073B73"/>
    <w:rsid w:val="000846A7"/>
    <w:rsid w:val="00085B77"/>
    <w:rsid w:val="0009419E"/>
    <w:rsid w:val="000A2A9A"/>
    <w:rsid w:val="000B2671"/>
    <w:rsid w:val="000C144D"/>
    <w:rsid w:val="000C3104"/>
    <w:rsid w:val="000C385C"/>
    <w:rsid w:val="000C43F5"/>
    <w:rsid w:val="000D1799"/>
    <w:rsid w:val="000D6380"/>
    <w:rsid w:val="000E44C1"/>
    <w:rsid w:val="000F6283"/>
    <w:rsid w:val="00101F50"/>
    <w:rsid w:val="00110E65"/>
    <w:rsid w:val="0011772D"/>
    <w:rsid w:val="001269CB"/>
    <w:rsid w:val="00140535"/>
    <w:rsid w:val="00150295"/>
    <w:rsid w:val="0015300E"/>
    <w:rsid w:val="0015359F"/>
    <w:rsid w:val="00153720"/>
    <w:rsid w:val="00153944"/>
    <w:rsid w:val="001556B5"/>
    <w:rsid w:val="001664BC"/>
    <w:rsid w:val="001757C0"/>
    <w:rsid w:val="00186E06"/>
    <w:rsid w:val="00186F08"/>
    <w:rsid w:val="001937EC"/>
    <w:rsid w:val="001A1607"/>
    <w:rsid w:val="001B22BF"/>
    <w:rsid w:val="001E6056"/>
    <w:rsid w:val="0020680C"/>
    <w:rsid w:val="00212428"/>
    <w:rsid w:val="00215BE3"/>
    <w:rsid w:val="00217CBC"/>
    <w:rsid w:val="00227E15"/>
    <w:rsid w:val="00227FBD"/>
    <w:rsid w:val="0023575E"/>
    <w:rsid w:val="00236D6A"/>
    <w:rsid w:val="002479EA"/>
    <w:rsid w:val="00262667"/>
    <w:rsid w:val="00275A8A"/>
    <w:rsid w:val="00276496"/>
    <w:rsid w:val="002872EA"/>
    <w:rsid w:val="00290BE4"/>
    <w:rsid w:val="00293C04"/>
    <w:rsid w:val="00296820"/>
    <w:rsid w:val="002A47A7"/>
    <w:rsid w:val="002B003E"/>
    <w:rsid w:val="002B484A"/>
    <w:rsid w:val="002B50EA"/>
    <w:rsid w:val="002C1828"/>
    <w:rsid w:val="002D7EA4"/>
    <w:rsid w:val="002E12AE"/>
    <w:rsid w:val="002E150E"/>
    <w:rsid w:val="002E5B9F"/>
    <w:rsid w:val="002E654E"/>
    <w:rsid w:val="00306D7E"/>
    <w:rsid w:val="00310CA1"/>
    <w:rsid w:val="00311615"/>
    <w:rsid w:val="00311AE1"/>
    <w:rsid w:val="00315D7A"/>
    <w:rsid w:val="003219AE"/>
    <w:rsid w:val="00321D4F"/>
    <w:rsid w:val="00330F85"/>
    <w:rsid w:val="00341544"/>
    <w:rsid w:val="00343852"/>
    <w:rsid w:val="00347EF7"/>
    <w:rsid w:val="003545C0"/>
    <w:rsid w:val="00377691"/>
    <w:rsid w:val="00383B42"/>
    <w:rsid w:val="003A657F"/>
    <w:rsid w:val="003B1BEB"/>
    <w:rsid w:val="003C2DF5"/>
    <w:rsid w:val="003C5C3F"/>
    <w:rsid w:val="003D5FF0"/>
    <w:rsid w:val="003E71AA"/>
    <w:rsid w:val="003F41D2"/>
    <w:rsid w:val="004026E9"/>
    <w:rsid w:val="0041364D"/>
    <w:rsid w:val="00421B3B"/>
    <w:rsid w:val="00426372"/>
    <w:rsid w:val="0043430C"/>
    <w:rsid w:val="00437D2D"/>
    <w:rsid w:val="004423B1"/>
    <w:rsid w:val="004434CD"/>
    <w:rsid w:val="00443CE0"/>
    <w:rsid w:val="004527D1"/>
    <w:rsid w:val="004528E5"/>
    <w:rsid w:val="00455335"/>
    <w:rsid w:val="00490640"/>
    <w:rsid w:val="004A3947"/>
    <w:rsid w:val="004A7C04"/>
    <w:rsid w:val="004B133B"/>
    <w:rsid w:val="004B3A3D"/>
    <w:rsid w:val="004C669F"/>
    <w:rsid w:val="004C73EA"/>
    <w:rsid w:val="004D029D"/>
    <w:rsid w:val="004D02FB"/>
    <w:rsid w:val="004E005E"/>
    <w:rsid w:val="004E4823"/>
    <w:rsid w:val="004F18A4"/>
    <w:rsid w:val="004F230B"/>
    <w:rsid w:val="005016AC"/>
    <w:rsid w:val="0051336B"/>
    <w:rsid w:val="0051656E"/>
    <w:rsid w:val="00520344"/>
    <w:rsid w:val="00521183"/>
    <w:rsid w:val="0052239B"/>
    <w:rsid w:val="0052276C"/>
    <w:rsid w:val="00527CFE"/>
    <w:rsid w:val="00532EE7"/>
    <w:rsid w:val="00540E7B"/>
    <w:rsid w:val="005469B5"/>
    <w:rsid w:val="00572D7A"/>
    <w:rsid w:val="00572EAD"/>
    <w:rsid w:val="00573ADD"/>
    <w:rsid w:val="00582465"/>
    <w:rsid w:val="0059225F"/>
    <w:rsid w:val="005947E4"/>
    <w:rsid w:val="005B1814"/>
    <w:rsid w:val="005D0DF1"/>
    <w:rsid w:val="005E60D9"/>
    <w:rsid w:val="005F02AA"/>
    <w:rsid w:val="00604A2F"/>
    <w:rsid w:val="00604A74"/>
    <w:rsid w:val="006073EA"/>
    <w:rsid w:val="00612EFC"/>
    <w:rsid w:val="006215C8"/>
    <w:rsid w:val="006222D1"/>
    <w:rsid w:val="00630FD3"/>
    <w:rsid w:val="00642467"/>
    <w:rsid w:val="00643FF9"/>
    <w:rsid w:val="00652864"/>
    <w:rsid w:val="00655A42"/>
    <w:rsid w:val="0065627A"/>
    <w:rsid w:val="00664EBE"/>
    <w:rsid w:val="00666E7F"/>
    <w:rsid w:val="00691418"/>
    <w:rsid w:val="00691F89"/>
    <w:rsid w:val="006A0BFE"/>
    <w:rsid w:val="006A49B6"/>
    <w:rsid w:val="006A663B"/>
    <w:rsid w:val="006A663E"/>
    <w:rsid w:val="006B1E16"/>
    <w:rsid w:val="006C063D"/>
    <w:rsid w:val="006C1D52"/>
    <w:rsid w:val="006C1E10"/>
    <w:rsid w:val="006D3302"/>
    <w:rsid w:val="006E1EAF"/>
    <w:rsid w:val="006E2E41"/>
    <w:rsid w:val="006F3054"/>
    <w:rsid w:val="007006E5"/>
    <w:rsid w:val="00706136"/>
    <w:rsid w:val="00720E09"/>
    <w:rsid w:val="0074280F"/>
    <w:rsid w:val="007617A0"/>
    <w:rsid w:val="00764209"/>
    <w:rsid w:val="007654B0"/>
    <w:rsid w:val="0076610B"/>
    <w:rsid w:val="007710DD"/>
    <w:rsid w:val="00784046"/>
    <w:rsid w:val="00785D90"/>
    <w:rsid w:val="00785E7B"/>
    <w:rsid w:val="007915B1"/>
    <w:rsid w:val="007915DF"/>
    <w:rsid w:val="007B4A66"/>
    <w:rsid w:val="007C1FBA"/>
    <w:rsid w:val="007E0F2C"/>
    <w:rsid w:val="007E5FFD"/>
    <w:rsid w:val="007E622C"/>
    <w:rsid w:val="008036F7"/>
    <w:rsid w:val="00805628"/>
    <w:rsid w:val="008064C6"/>
    <w:rsid w:val="008109B0"/>
    <w:rsid w:val="00811A77"/>
    <w:rsid w:val="008230A8"/>
    <w:rsid w:val="00825701"/>
    <w:rsid w:val="00826E5F"/>
    <w:rsid w:val="00841DFB"/>
    <w:rsid w:val="00843677"/>
    <w:rsid w:val="0085046A"/>
    <w:rsid w:val="00851F47"/>
    <w:rsid w:val="008520F6"/>
    <w:rsid w:val="00857B76"/>
    <w:rsid w:val="00872D17"/>
    <w:rsid w:val="00872D8A"/>
    <w:rsid w:val="00880DDE"/>
    <w:rsid w:val="008913BF"/>
    <w:rsid w:val="00891F9D"/>
    <w:rsid w:val="00894F78"/>
    <w:rsid w:val="008A4ACD"/>
    <w:rsid w:val="008B4E02"/>
    <w:rsid w:val="008B6303"/>
    <w:rsid w:val="008C4329"/>
    <w:rsid w:val="008E26DE"/>
    <w:rsid w:val="008F427A"/>
    <w:rsid w:val="008F7D37"/>
    <w:rsid w:val="00904E9A"/>
    <w:rsid w:val="00905A36"/>
    <w:rsid w:val="009065F6"/>
    <w:rsid w:val="00914335"/>
    <w:rsid w:val="0095390D"/>
    <w:rsid w:val="00953EC2"/>
    <w:rsid w:val="00965C76"/>
    <w:rsid w:val="009673E9"/>
    <w:rsid w:val="00972E1F"/>
    <w:rsid w:val="00972F50"/>
    <w:rsid w:val="00987A87"/>
    <w:rsid w:val="009924BC"/>
    <w:rsid w:val="009966E5"/>
    <w:rsid w:val="009A3C0D"/>
    <w:rsid w:val="009B5830"/>
    <w:rsid w:val="009C3985"/>
    <w:rsid w:val="009C7A66"/>
    <w:rsid w:val="009D117A"/>
    <w:rsid w:val="009D34E7"/>
    <w:rsid w:val="009E1F91"/>
    <w:rsid w:val="009E3A23"/>
    <w:rsid w:val="009F0015"/>
    <w:rsid w:val="009F0BE2"/>
    <w:rsid w:val="009F3050"/>
    <w:rsid w:val="009F32A3"/>
    <w:rsid w:val="009F6CFF"/>
    <w:rsid w:val="00A047EF"/>
    <w:rsid w:val="00A10569"/>
    <w:rsid w:val="00A16240"/>
    <w:rsid w:val="00A24949"/>
    <w:rsid w:val="00A30500"/>
    <w:rsid w:val="00A328AF"/>
    <w:rsid w:val="00A331B9"/>
    <w:rsid w:val="00A56619"/>
    <w:rsid w:val="00A56ED3"/>
    <w:rsid w:val="00A71E7D"/>
    <w:rsid w:val="00A833D6"/>
    <w:rsid w:val="00A86CAB"/>
    <w:rsid w:val="00A93711"/>
    <w:rsid w:val="00A93973"/>
    <w:rsid w:val="00AA245F"/>
    <w:rsid w:val="00AA3F97"/>
    <w:rsid w:val="00AA469A"/>
    <w:rsid w:val="00AB0032"/>
    <w:rsid w:val="00AB1F0A"/>
    <w:rsid w:val="00AB201C"/>
    <w:rsid w:val="00AC51BE"/>
    <w:rsid w:val="00AD3B4A"/>
    <w:rsid w:val="00AE0D7E"/>
    <w:rsid w:val="00AF5364"/>
    <w:rsid w:val="00B14BF2"/>
    <w:rsid w:val="00B20291"/>
    <w:rsid w:val="00B24197"/>
    <w:rsid w:val="00B24696"/>
    <w:rsid w:val="00B3442A"/>
    <w:rsid w:val="00B35B2C"/>
    <w:rsid w:val="00B40BC0"/>
    <w:rsid w:val="00B40ED5"/>
    <w:rsid w:val="00B435CF"/>
    <w:rsid w:val="00B43672"/>
    <w:rsid w:val="00B66554"/>
    <w:rsid w:val="00B71214"/>
    <w:rsid w:val="00B87659"/>
    <w:rsid w:val="00B90238"/>
    <w:rsid w:val="00B94F53"/>
    <w:rsid w:val="00BA170E"/>
    <w:rsid w:val="00BA3C56"/>
    <w:rsid w:val="00BB272D"/>
    <w:rsid w:val="00BC3C9D"/>
    <w:rsid w:val="00BE0143"/>
    <w:rsid w:val="00BE06F9"/>
    <w:rsid w:val="00BE5117"/>
    <w:rsid w:val="00BE5C18"/>
    <w:rsid w:val="00C00D08"/>
    <w:rsid w:val="00C06B5E"/>
    <w:rsid w:val="00C10ACD"/>
    <w:rsid w:val="00C24C3F"/>
    <w:rsid w:val="00C24F2F"/>
    <w:rsid w:val="00C30320"/>
    <w:rsid w:val="00C36942"/>
    <w:rsid w:val="00C40B14"/>
    <w:rsid w:val="00C50104"/>
    <w:rsid w:val="00C5065C"/>
    <w:rsid w:val="00C52952"/>
    <w:rsid w:val="00C7776B"/>
    <w:rsid w:val="00C81819"/>
    <w:rsid w:val="00C83289"/>
    <w:rsid w:val="00CA1D2F"/>
    <w:rsid w:val="00CA3DDC"/>
    <w:rsid w:val="00CA413C"/>
    <w:rsid w:val="00CA53EC"/>
    <w:rsid w:val="00CB5F5F"/>
    <w:rsid w:val="00CC5486"/>
    <w:rsid w:val="00CC7382"/>
    <w:rsid w:val="00CD12B8"/>
    <w:rsid w:val="00CD535D"/>
    <w:rsid w:val="00CD6024"/>
    <w:rsid w:val="00CE1933"/>
    <w:rsid w:val="00CF0832"/>
    <w:rsid w:val="00CF6440"/>
    <w:rsid w:val="00D01150"/>
    <w:rsid w:val="00D02620"/>
    <w:rsid w:val="00D11FF7"/>
    <w:rsid w:val="00D17C7D"/>
    <w:rsid w:val="00D236AA"/>
    <w:rsid w:val="00D44B1F"/>
    <w:rsid w:val="00D45787"/>
    <w:rsid w:val="00D503C3"/>
    <w:rsid w:val="00D54803"/>
    <w:rsid w:val="00D72236"/>
    <w:rsid w:val="00D73295"/>
    <w:rsid w:val="00D753F8"/>
    <w:rsid w:val="00D76560"/>
    <w:rsid w:val="00D82C1C"/>
    <w:rsid w:val="00DA4A47"/>
    <w:rsid w:val="00DD38F5"/>
    <w:rsid w:val="00DE0BA2"/>
    <w:rsid w:val="00DE10D2"/>
    <w:rsid w:val="00DE61A1"/>
    <w:rsid w:val="00DF5BE3"/>
    <w:rsid w:val="00DF6585"/>
    <w:rsid w:val="00DF73FF"/>
    <w:rsid w:val="00E01999"/>
    <w:rsid w:val="00E0719F"/>
    <w:rsid w:val="00E11814"/>
    <w:rsid w:val="00E13A82"/>
    <w:rsid w:val="00E20BF0"/>
    <w:rsid w:val="00E22B70"/>
    <w:rsid w:val="00E3167A"/>
    <w:rsid w:val="00E3743A"/>
    <w:rsid w:val="00E6167D"/>
    <w:rsid w:val="00E65087"/>
    <w:rsid w:val="00E7272B"/>
    <w:rsid w:val="00E73291"/>
    <w:rsid w:val="00E74126"/>
    <w:rsid w:val="00E772AE"/>
    <w:rsid w:val="00E818F1"/>
    <w:rsid w:val="00EA61C7"/>
    <w:rsid w:val="00EB546B"/>
    <w:rsid w:val="00EB71C1"/>
    <w:rsid w:val="00EC5D7C"/>
    <w:rsid w:val="00ED4422"/>
    <w:rsid w:val="00ED519B"/>
    <w:rsid w:val="00EE209C"/>
    <w:rsid w:val="00EE77E6"/>
    <w:rsid w:val="00EF5A67"/>
    <w:rsid w:val="00F01296"/>
    <w:rsid w:val="00F049BD"/>
    <w:rsid w:val="00F07A8E"/>
    <w:rsid w:val="00F2007F"/>
    <w:rsid w:val="00F25E2D"/>
    <w:rsid w:val="00F2735A"/>
    <w:rsid w:val="00F27902"/>
    <w:rsid w:val="00F46B67"/>
    <w:rsid w:val="00F47EF9"/>
    <w:rsid w:val="00F65004"/>
    <w:rsid w:val="00F66A58"/>
    <w:rsid w:val="00F720A0"/>
    <w:rsid w:val="00F9394E"/>
    <w:rsid w:val="00F96B54"/>
    <w:rsid w:val="00F96F39"/>
    <w:rsid w:val="00FB3242"/>
    <w:rsid w:val="00FB4DE4"/>
    <w:rsid w:val="00FC019B"/>
    <w:rsid w:val="00FC0F1F"/>
    <w:rsid w:val="00FC1434"/>
    <w:rsid w:val="00FD3DF0"/>
    <w:rsid w:val="00FD494F"/>
    <w:rsid w:val="030835CB"/>
    <w:rsid w:val="0FFB075A"/>
    <w:rsid w:val="28316B9F"/>
    <w:rsid w:val="29065C1C"/>
    <w:rsid w:val="2B1D0D70"/>
    <w:rsid w:val="39562A34"/>
    <w:rsid w:val="40C559FD"/>
    <w:rsid w:val="49CC56BB"/>
    <w:rsid w:val="4FE40DBB"/>
    <w:rsid w:val="62006C53"/>
    <w:rsid w:val="682D3D04"/>
    <w:rsid w:val="69AD0468"/>
    <w:rsid w:val="6DBB5320"/>
    <w:rsid w:val="6E934E22"/>
    <w:rsid w:val="7B707E68"/>
    <w:rsid w:val="7D324C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imes New Roman"/>
      <w:sz w:val="32"/>
      <w:lang w:val="en-US" w:eastAsia="zh-CN" w:bidi="ar-SA"/>
    </w:rPr>
  </w:style>
  <w:style w:type="paragraph" w:styleId="2">
    <w:name w:val="heading 1"/>
    <w:basedOn w:val="1"/>
    <w:next w:val="1"/>
    <w:link w:val="27"/>
    <w:qFormat/>
    <w:uiPriority w:val="0"/>
    <w:pPr>
      <w:keepNext/>
      <w:keepLines/>
      <w:outlineLvl w:val="0"/>
    </w:pPr>
    <w:rPr>
      <w:rFonts w:eastAsia="黑体"/>
      <w:bCs/>
      <w:kern w:val="44"/>
      <w:szCs w:val="44"/>
    </w:rPr>
  </w:style>
  <w:style w:type="paragraph" w:styleId="3">
    <w:name w:val="heading 2"/>
    <w:basedOn w:val="1"/>
    <w:next w:val="1"/>
    <w:link w:val="39"/>
    <w:autoRedefine/>
    <w:unhideWhenUsed/>
    <w:qFormat/>
    <w:uiPriority w:val="0"/>
    <w:pPr>
      <w:keepNext/>
      <w:keepLines/>
      <w:outlineLvl w:val="1"/>
    </w:pPr>
    <w:rPr>
      <w:rFonts w:eastAsia="楷体_GB2312" w:asciiTheme="majorHAnsi" w:hAnsiTheme="majorHAnsi" w:cstheme="majorBidi"/>
      <w:bCs/>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640"/>
    </w:pPr>
    <w:rPr>
      <w:rFonts w:ascii="黑体" w:hAnsi="黑体" w:eastAsia="黑体"/>
    </w:rPr>
  </w:style>
  <w:style w:type="paragraph" w:styleId="5">
    <w:name w:val="Body Text Indent"/>
    <w:basedOn w:val="1"/>
    <w:link w:val="35"/>
    <w:qFormat/>
    <w:uiPriority w:val="0"/>
    <w:pPr>
      <w:spacing w:after="120"/>
      <w:ind w:left="420" w:leftChars="200"/>
    </w:pPr>
  </w:style>
  <w:style w:type="paragraph" w:styleId="6">
    <w:name w:val="toc 3"/>
    <w:basedOn w:val="1"/>
    <w:next w:val="1"/>
    <w:autoRedefine/>
    <w:unhideWhenUsed/>
    <w:qFormat/>
    <w:uiPriority w:val="39"/>
    <w:pPr>
      <w:widowControl/>
      <w:spacing w:after="100" w:line="276" w:lineRule="auto"/>
      <w:ind w:left="440" w:firstLine="0" w:firstLineChars="0"/>
      <w:jc w:val="left"/>
    </w:pPr>
    <w:rPr>
      <w:rFonts w:asciiTheme="minorHAnsi" w:hAnsiTheme="minorHAnsi" w:eastAsiaTheme="minorEastAsia" w:cstheme="minorBidi"/>
      <w:sz w:val="22"/>
      <w:szCs w:val="22"/>
    </w:rPr>
  </w:style>
  <w:style w:type="paragraph" w:styleId="7">
    <w:name w:val="endnote text"/>
    <w:basedOn w:val="1"/>
    <w:link w:val="37"/>
    <w:qFormat/>
    <w:uiPriority w:val="0"/>
    <w:pPr>
      <w:snapToGrid w:val="0"/>
      <w:jc w:val="left"/>
    </w:pPr>
  </w:style>
  <w:style w:type="paragraph" w:styleId="8">
    <w:name w:val="Balloon Text"/>
    <w:basedOn w:val="1"/>
    <w:link w:val="34"/>
    <w:autoRedefine/>
    <w:qFormat/>
    <w:uiPriority w:val="99"/>
    <w:pPr>
      <w:spacing w:line="240" w:lineRule="auto"/>
    </w:pPr>
    <w:rPr>
      <w:sz w:val="18"/>
      <w:szCs w:val="18"/>
    </w:rPr>
  </w:style>
  <w:style w:type="paragraph" w:styleId="9">
    <w:name w:val="footer"/>
    <w:basedOn w:val="1"/>
    <w:link w:val="26"/>
    <w:autoRedefine/>
    <w:qFormat/>
    <w:uiPriority w:val="99"/>
    <w:pPr>
      <w:tabs>
        <w:tab w:val="center" w:pos="4153"/>
        <w:tab w:val="right" w:pos="8306"/>
      </w:tabs>
      <w:snapToGrid w:val="0"/>
      <w:spacing w:line="240" w:lineRule="auto"/>
      <w:ind w:firstLine="0" w:firstLineChars="0"/>
      <w:jc w:val="left"/>
    </w:pPr>
    <w:rPr>
      <w:rFonts w:ascii="Calibri" w:hAnsi="Calibri" w:eastAsia="宋体" w:cs="宋体"/>
      <w:kern w:val="2"/>
      <w:sz w:val="18"/>
      <w:szCs w:val="18"/>
    </w:rPr>
  </w:style>
  <w:style w:type="paragraph" w:styleId="10">
    <w:name w:val="header"/>
    <w:basedOn w:val="1"/>
    <w:link w:val="25"/>
    <w:autoRedefine/>
    <w:qFormat/>
    <w:uiPriority w:val="99"/>
    <w:pPr>
      <w:pBdr>
        <w:bottom w:val="single" w:color="auto" w:sz="6" w:space="1"/>
      </w:pBdr>
      <w:tabs>
        <w:tab w:val="center" w:pos="4153"/>
        <w:tab w:val="right" w:pos="8306"/>
      </w:tabs>
      <w:snapToGrid w:val="0"/>
      <w:spacing w:line="240" w:lineRule="auto"/>
      <w:ind w:firstLine="0" w:firstLineChars="0"/>
      <w:jc w:val="center"/>
    </w:pPr>
    <w:rPr>
      <w:rFonts w:ascii="Calibri" w:hAnsi="Calibri" w:eastAsia="宋体" w:cs="宋体"/>
      <w:kern w:val="2"/>
      <w:sz w:val="18"/>
      <w:szCs w:val="18"/>
    </w:rPr>
  </w:style>
  <w:style w:type="paragraph" w:styleId="11">
    <w:name w:val="toc 1"/>
    <w:basedOn w:val="1"/>
    <w:next w:val="1"/>
    <w:autoRedefine/>
    <w:unhideWhenUsed/>
    <w:qFormat/>
    <w:uiPriority w:val="39"/>
    <w:pPr>
      <w:widowControl/>
      <w:tabs>
        <w:tab w:val="right" w:leader="dot" w:pos="8834"/>
      </w:tabs>
      <w:spacing w:line="480" w:lineRule="exact"/>
      <w:ind w:firstLine="0" w:firstLineChars="0"/>
      <w:jc w:val="left"/>
    </w:pPr>
    <w:rPr>
      <w:rFonts w:asciiTheme="minorHAnsi" w:hAnsiTheme="minorHAnsi" w:eastAsiaTheme="minorEastAsia" w:cstheme="minorBidi"/>
      <w:sz w:val="22"/>
      <w:szCs w:val="22"/>
    </w:rPr>
  </w:style>
  <w:style w:type="paragraph" w:styleId="12">
    <w:name w:val="Subtitle"/>
    <w:basedOn w:val="1"/>
    <w:next w:val="1"/>
    <w:link w:val="30"/>
    <w:autoRedefine/>
    <w:qFormat/>
    <w:uiPriority w:val="0"/>
    <w:pPr>
      <w:jc w:val="left"/>
      <w:outlineLvl w:val="1"/>
    </w:pPr>
    <w:rPr>
      <w:rFonts w:ascii="Cambria" w:hAnsi="Cambria" w:eastAsia="楷体_GB2312"/>
      <w:bCs/>
      <w:kern w:val="28"/>
      <w:szCs w:val="32"/>
    </w:rPr>
  </w:style>
  <w:style w:type="paragraph" w:styleId="13">
    <w:name w:val="footnote text"/>
    <w:basedOn w:val="1"/>
    <w:link w:val="28"/>
    <w:autoRedefine/>
    <w:qFormat/>
    <w:uiPriority w:val="0"/>
    <w:pPr>
      <w:snapToGrid w:val="0"/>
      <w:spacing w:line="240" w:lineRule="auto"/>
      <w:ind w:firstLine="0" w:firstLineChars="0"/>
      <w:jc w:val="left"/>
    </w:pPr>
    <w:rPr>
      <w:rFonts w:eastAsia="宋体"/>
      <w:sz w:val="18"/>
    </w:rPr>
  </w:style>
  <w:style w:type="paragraph" w:styleId="14">
    <w:name w:val="toc 2"/>
    <w:basedOn w:val="1"/>
    <w:next w:val="1"/>
    <w:autoRedefine/>
    <w:unhideWhenUsed/>
    <w:qFormat/>
    <w:uiPriority w:val="39"/>
    <w:pPr>
      <w:widowControl/>
      <w:spacing w:after="100" w:line="276" w:lineRule="auto"/>
      <w:ind w:left="220" w:firstLine="0" w:firstLineChars="0"/>
      <w:jc w:val="left"/>
    </w:pPr>
    <w:rPr>
      <w:rFonts w:asciiTheme="minorHAnsi" w:hAnsiTheme="minorHAnsi" w:eastAsiaTheme="minorEastAsia" w:cstheme="minorBidi"/>
      <w:sz w:val="22"/>
      <w:szCs w:val="22"/>
    </w:rPr>
  </w:style>
  <w:style w:type="paragraph" w:styleId="15">
    <w:name w:val="Normal (Web)"/>
    <w:basedOn w:val="1"/>
    <w:autoRedefine/>
    <w:qFormat/>
    <w:uiPriority w:val="99"/>
    <w:pPr>
      <w:widowControl/>
      <w:shd w:val="clear" w:color="auto" w:fill="FFFFFF"/>
      <w:spacing w:before="100" w:beforeAutospacing="1" w:after="100" w:afterAutospacing="1"/>
      <w:ind w:firstLine="640"/>
      <w:jc w:val="left"/>
    </w:pPr>
    <w:rPr>
      <w:rFonts w:ascii="宋体" w:hAnsi="宋体" w:cs="宋体"/>
      <w:sz w:val="24"/>
    </w:rPr>
  </w:style>
  <w:style w:type="paragraph" w:styleId="16">
    <w:name w:val="Title"/>
    <w:basedOn w:val="1"/>
    <w:next w:val="17"/>
    <w:link w:val="29"/>
    <w:autoRedefine/>
    <w:qFormat/>
    <w:uiPriority w:val="0"/>
    <w:pPr>
      <w:ind w:firstLine="0" w:firstLineChars="0"/>
      <w:jc w:val="center"/>
    </w:pPr>
    <w:rPr>
      <w:rFonts w:ascii="方正小标宋简体" w:hAnsi="等线 Light" w:eastAsia="方正小标宋简体"/>
      <w:bCs/>
      <w:sz w:val="44"/>
      <w:szCs w:val="32"/>
    </w:rPr>
  </w:style>
  <w:style w:type="paragraph" w:customStyle="1" w:styleId="17">
    <w:name w:val="Normal Indent_ac161ced-893c-4cd9-9bef-519fe81e31ed"/>
    <w:basedOn w:val="1"/>
    <w:autoRedefine/>
    <w:qFormat/>
    <w:uiPriority w:val="0"/>
  </w:style>
  <w:style w:type="paragraph" w:styleId="18">
    <w:name w:val="Body Text First Indent 2"/>
    <w:basedOn w:val="5"/>
    <w:link w:val="36"/>
    <w:qFormat/>
    <w:uiPriority w:val="0"/>
    <w:pPr>
      <w:spacing w:after="0"/>
      <w:ind w:left="0" w:leftChars="0"/>
    </w:pPr>
    <w:rPr>
      <w:kern w:val="2"/>
      <w:szCs w:val="24"/>
    </w:r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endnote reference"/>
    <w:basedOn w:val="21"/>
    <w:qFormat/>
    <w:uiPriority w:val="0"/>
    <w:rPr>
      <w:vertAlign w:val="superscript"/>
    </w:rPr>
  </w:style>
  <w:style w:type="character" w:styleId="23">
    <w:name w:val="Hyperlink"/>
    <w:basedOn w:val="21"/>
    <w:autoRedefine/>
    <w:unhideWhenUsed/>
    <w:qFormat/>
    <w:uiPriority w:val="99"/>
    <w:rPr>
      <w:color w:val="0000FF" w:themeColor="hyperlink"/>
      <w:u w:val="single"/>
    </w:rPr>
  </w:style>
  <w:style w:type="character" w:styleId="24">
    <w:name w:val="footnote reference"/>
    <w:basedOn w:val="21"/>
    <w:autoRedefine/>
    <w:qFormat/>
    <w:uiPriority w:val="0"/>
    <w:rPr>
      <w:vertAlign w:val="superscript"/>
    </w:rPr>
  </w:style>
  <w:style w:type="character" w:customStyle="1" w:styleId="25">
    <w:name w:val="页眉 Char"/>
    <w:basedOn w:val="21"/>
    <w:link w:val="10"/>
    <w:autoRedefine/>
    <w:qFormat/>
    <w:uiPriority w:val="99"/>
    <w:rPr>
      <w:sz w:val="18"/>
      <w:szCs w:val="18"/>
    </w:rPr>
  </w:style>
  <w:style w:type="character" w:customStyle="1" w:styleId="26">
    <w:name w:val="页脚 Char"/>
    <w:basedOn w:val="21"/>
    <w:link w:val="9"/>
    <w:autoRedefine/>
    <w:qFormat/>
    <w:uiPriority w:val="99"/>
    <w:rPr>
      <w:sz w:val="18"/>
      <w:szCs w:val="18"/>
    </w:rPr>
  </w:style>
  <w:style w:type="character" w:customStyle="1" w:styleId="27">
    <w:name w:val="标题 1 Char"/>
    <w:basedOn w:val="21"/>
    <w:link w:val="2"/>
    <w:autoRedefine/>
    <w:qFormat/>
    <w:uiPriority w:val="0"/>
    <w:rPr>
      <w:rFonts w:ascii="Times New Roman" w:hAnsi="Times New Roman" w:eastAsia="黑体" w:cs="Times New Roman"/>
      <w:bCs/>
      <w:kern w:val="44"/>
      <w:sz w:val="32"/>
      <w:szCs w:val="44"/>
    </w:rPr>
  </w:style>
  <w:style w:type="character" w:customStyle="1" w:styleId="28">
    <w:name w:val="脚注文本 Char"/>
    <w:basedOn w:val="21"/>
    <w:link w:val="13"/>
    <w:autoRedefine/>
    <w:qFormat/>
    <w:uiPriority w:val="0"/>
    <w:rPr>
      <w:rFonts w:ascii="Times New Roman" w:hAnsi="Times New Roman" w:eastAsia="宋体" w:cs="Times New Roman"/>
      <w:kern w:val="0"/>
      <w:sz w:val="18"/>
      <w:szCs w:val="20"/>
    </w:rPr>
  </w:style>
  <w:style w:type="character" w:customStyle="1" w:styleId="29">
    <w:name w:val="标题 Char"/>
    <w:basedOn w:val="21"/>
    <w:link w:val="16"/>
    <w:autoRedefine/>
    <w:qFormat/>
    <w:uiPriority w:val="0"/>
    <w:rPr>
      <w:rFonts w:ascii="方正小标宋简体" w:hAnsi="等线 Light" w:eastAsia="方正小标宋简体" w:cs="Times New Roman"/>
      <w:bCs/>
      <w:sz w:val="44"/>
      <w:szCs w:val="32"/>
    </w:rPr>
  </w:style>
  <w:style w:type="character" w:customStyle="1" w:styleId="30">
    <w:name w:val="副标题 Char"/>
    <w:basedOn w:val="21"/>
    <w:link w:val="12"/>
    <w:autoRedefine/>
    <w:qFormat/>
    <w:uiPriority w:val="0"/>
    <w:rPr>
      <w:rFonts w:ascii="Cambria" w:hAnsi="Cambria" w:eastAsia="楷体_GB2312" w:cs="Times New Roman"/>
      <w:bCs/>
      <w:kern w:val="28"/>
      <w:sz w:val="32"/>
      <w:szCs w:val="32"/>
    </w:rPr>
  </w:style>
  <w:style w:type="character" w:customStyle="1" w:styleId="31">
    <w:name w:val="图名 Char"/>
    <w:link w:val="32"/>
    <w:autoRedefine/>
    <w:qFormat/>
    <w:uiPriority w:val="0"/>
    <w:rPr>
      <w:rFonts w:ascii="黑体" w:hAnsi="黑体" w:eastAsia="黑体"/>
      <w:kern w:val="2"/>
      <w:sz w:val="28"/>
      <w:szCs w:val="32"/>
    </w:rPr>
  </w:style>
  <w:style w:type="paragraph" w:customStyle="1" w:styleId="32">
    <w:name w:val="图名"/>
    <w:basedOn w:val="1"/>
    <w:link w:val="31"/>
    <w:autoRedefine/>
    <w:qFormat/>
    <w:uiPriority w:val="0"/>
    <w:pPr>
      <w:ind w:firstLine="0" w:firstLineChars="0"/>
      <w:jc w:val="center"/>
    </w:pPr>
    <w:rPr>
      <w:rFonts w:ascii="黑体" w:hAnsi="黑体" w:eastAsia="黑体" w:cs="宋体"/>
      <w:kern w:val="2"/>
      <w:sz w:val="28"/>
      <w:szCs w:val="32"/>
    </w:rPr>
  </w:style>
  <w:style w:type="paragraph" w:customStyle="1" w:styleId="33">
    <w:name w:val="WPSOffice手动目录 1"/>
    <w:autoRedefine/>
    <w:qFormat/>
    <w:uiPriority w:val="0"/>
    <w:rPr>
      <w:rFonts w:ascii="Calibri" w:hAnsi="Calibri" w:eastAsia="宋体" w:cs="Times New Roman"/>
      <w:lang w:val="en-US" w:eastAsia="zh-CN" w:bidi="ar-SA"/>
    </w:rPr>
  </w:style>
  <w:style w:type="character" w:customStyle="1" w:styleId="34">
    <w:name w:val="批注框文本 Char"/>
    <w:basedOn w:val="21"/>
    <w:link w:val="8"/>
    <w:autoRedefine/>
    <w:qFormat/>
    <w:uiPriority w:val="99"/>
    <w:rPr>
      <w:rFonts w:ascii="Times New Roman" w:hAnsi="Times New Roman" w:eastAsia="仿宋_GB2312" w:cs="Times New Roman"/>
      <w:kern w:val="0"/>
      <w:sz w:val="18"/>
      <w:szCs w:val="18"/>
    </w:rPr>
  </w:style>
  <w:style w:type="character" w:customStyle="1" w:styleId="35">
    <w:name w:val="正文文本缩进 Char"/>
    <w:basedOn w:val="21"/>
    <w:link w:val="5"/>
    <w:qFormat/>
    <w:uiPriority w:val="0"/>
    <w:rPr>
      <w:rFonts w:ascii="Times New Roman" w:hAnsi="Times New Roman" w:eastAsia="仿宋_GB2312" w:cs="Times New Roman"/>
      <w:sz w:val="32"/>
    </w:rPr>
  </w:style>
  <w:style w:type="character" w:customStyle="1" w:styleId="36">
    <w:name w:val="正文首行缩进 2 Char"/>
    <w:basedOn w:val="35"/>
    <w:link w:val="18"/>
    <w:qFormat/>
    <w:uiPriority w:val="0"/>
    <w:rPr>
      <w:kern w:val="2"/>
      <w:szCs w:val="24"/>
    </w:rPr>
  </w:style>
  <w:style w:type="character" w:customStyle="1" w:styleId="37">
    <w:name w:val="尾注文本 Char"/>
    <w:basedOn w:val="21"/>
    <w:link w:val="7"/>
    <w:autoRedefine/>
    <w:qFormat/>
    <w:uiPriority w:val="0"/>
    <w:rPr>
      <w:rFonts w:ascii="Times New Roman" w:hAnsi="Times New Roman" w:eastAsia="仿宋_GB2312" w:cs="Times New Roman"/>
      <w:sz w:val="32"/>
    </w:rPr>
  </w:style>
  <w:style w:type="paragraph" w:customStyle="1" w:styleId="38">
    <w:name w:val="TOC 标题1"/>
    <w:basedOn w:val="2"/>
    <w:next w:val="1"/>
    <w:semiHidden/>
    <w:unhideWhenUsed/>
    <w:qFormat/>
    <w:uiPriority w:val="39"/>
    <w:pPr>
      <w:widowControl/>
      <w:spacing w:before="480" w:line="276" w:lineRule="auto"/>
      <w:ind w:firstLine="0" w:firstLineChars="0"/>
      <w:jc w:val="left"/>
      <w:outlineLvl w:val="9"/>
    </w:pPr>
    <w:rPr>
      <w:rFonts w:asciiTheme="majorHAnsi" w:hAnsiTheme="majorHAnsi" w:eastAsiaTheme="majorEastAsia" w:cstheme="majorBidi"/>
      <w:b/>
      <w:color w:val="366091" w:themeColor="accent1" w:themeShade="BF"/>
      <w:kern w:val="0"/>
      <w:sz w:val="28"/>
      <w:szCs w:val="28"/>
    </w:rPr>
  </w:style>
  <w:style w:type="character" w:customStyle="1" w:styleId="39">
    <w:name w:val="标题 2 Char"/>
    <w:basedOn w:val="21"/>
    <w:link w:val="3"/>
    <w:qFormat/>
    <w:uiPriority w:val="0"/>
    <w:rPr>
      <w:rFonts w:eastAsia="楷体_GB2312" w:asciiTheme="majorHAnsi" w:hAnsiTheme="majorHAnsi" w:cstheme="majorBidi"/>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15.jpeg"/><Relationship Id="rId25" Type="http://schemas.openxmlformats.org/officeDocument/2006/relationships/image" Target="media/image14.jpe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9"/>
    <customShpInfo spid="_x0000_s1030"/>
    <customShpInfo spid="_x0000_s1031"/>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9194BF-0CB9-4486-9884-9A8A1EC773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10167</Words>
  <Characters>11257</Characters>
  <Lines>97</Lines>
  <Paragraphs>27</Paragraphs>
  <TotalTime>11</TotalTime>
  <ScaleCrop>false</ScaleCrop>
  <LinksUpToDate>false</LinksUpToDate>
  <CharactersWithSpaces>11381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2024-03-26T04:44:00Z</dcterms:created>
  <dc:creator>Administrator</dc:creator>
  <cp:lastModifiedBy>紫砂萱</cp:lastModifiedBy>
  <cp:lastPrinted>2024-05-07T05:23:00Z</cp:lastPrinted>
  <dcterms:modified xsi:type="dcterms:W3CDTF">2024-09-18T10:04:43Z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EE9CF2BC40FA4113819B181D8B8DAD92_12</vt:lpwstr>
  </property>
</Properties>
</file>