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563F8">
      <w:pPr>
        <w:rPr>
          <w:rFonts w:hint="eastAsia" w:ascii="黑体" w:hAnsi="黑体" w:eastAsia="黑体" w:cs="黑体"/>
          <w:b w:val="0"/>
          <w:bCs/>
          <w:sz w:val="32"/>
          <w:szCs w:val="32"/>
        </w:rPr>
      </w:pPr>
      <w:r>
        <w:rPr>
          <w:rFonts w:hint="eastAsia" w:ascii="黑体" w:hAnsi="黑体" w:eastAsia="黑体" w:cs="黑体"/>
          <w:b w:val="0"/>
          <w:bCs/>
          <w:sz w:val="32"/>
          <w:szCs w:val="32"/>
        </w:rPr>
        <w:t>附</w:t>
      </w:r>
      <w:r>
        <w:rPr>
          <w:rFonts w:hint="eastAsia" w:ascii="黑体" w:hAnsi="黑体" w:eastAsia="黑体" w:cs="黑体"/>
          <w:b w:val="0"/>
          <w:bCs/>
          <w:sz w:val="32"/>
          <w:szCs w:val="32"/>
          <w:lang w:eastAsia="zh-CN"/>
        </w:rPr>
        <w:t>件</w:t>
      </w:r>
      <w:r>
        <w:rPr>
          <w:rFonts w:hint="eastAsia" w:ascii="黑体" w:hAnsi="黑体" w:eastAsia="黑体" w:cs="黑体"/>
          <w:b w:val="0"/>
          <w:bCs/>
          <w:sz w:val="32"/>
          <w:szCs w:val="32"/>
          <w:lang w:val="en-US" w:eastAsia="zh-CN"/>
        </w:rPr>
        <w:t>1</w:t>
      </w:r>
      <w:r>
        <w:rPr>
          <w:rFonts w:hint="eastAsia" w:ascii="黑体" w:hAnsi="黑体" w:eastAsia="黑体" w:cs="黑体"/>
          <w:b w:val="0"/>
          <w:bCs/>
          <w:sz w:val="32"/>
          <w:szCs w:val="32"/>
        </w:rPr>
        <w:t>：</w:t>
      </w:r>
    </w:p>
    <w:p w14:paraId="5DD2A1DD">
      <w:pPr>
        <w:spacing w:line="560" w:lineRule="exact"/>
        <w:jc w:val="center"/>
        <w:rPr>
          <w:rFonts w:ascii="方正小标宋简体" w:hAnsi="宋体" w:eastAsia="方正小标宋简体"/>
          <w:kern w:val="0"/>
          <w:sz w:val="40"/>
          <w:szCs w:val="40"/>
        </w:rPr>
      </w:pPr>
    </w:p>
    <w:p w14:paraId="79DF3F5E">
      <w:pPr>
        <w:spacing w:line="560" w:lineRule="exact"/>
        <w:jc w:val="center"/>
        <w:rPr>
          <w:rFonts w:ascii="方正小标宋简体" w:hAnsi="宋体" w:eastAsia="方正小标宋简体"/>
          <w:kern w:val="0"/>
          <w:sz w:val="40"/>
          <w:szCs w:val="40"/>
        </w:rPr>
      </w:pPr>
    </w:p>
    <w:p w14:paraId="697C1CF8">
      <w:pPr>
        <w:spacing w:line="560" w:lineRule="exact"/>
        <w:jc w:val="center"/>
        <w:rPr>
          <w:rFonts w:ascii="方正小标宋简体" w:hAnsi="宋体" w:eastAsia="方正小标宋简体"/>
          <w:kern w:val="0"/>
          <w:sz w:val="44"/>
          <w:szCs w:val="44"/>
        </w:rPr>
      </w:pPr>
    </w:p>
    <w:p w14:paraId="0E4C9CDE">
      <w:pPr>
        <w:spacing w:line="560" w:lineRule="exact"/>
        <w:jc w:val="center"/>
        <w:rPr>
          <w:rFonts w:hint="eastAsia" w:ascii="方正小标宋简体" w:hAnsi="方正小标宋简体" w:eastAsia="方正小标宋简体" w:cs="Times New Roman"/>
          <w:bCs/>
          <w:sz w:val="44"/>
          <w:szCs w:val="44"/>
        </w:rPr>
      </w:pPr>
      <w:r>
        <w:rPr>
          <w:rFonts w:hint="eastAsia" w:ascii="方正小标宋简体" w:hAnsi="方正小标宋简体" w:eastAsia="方正小标宋简体" w:cs="Times New Roman"/>
          <w:bCs/>
          <w:sz w:val="44"/>
          <w:szCs w:val="44"/>
          <w:lang w:val="en-US" w:eastAsia="zh-CN"/>
        </w:rPr>
        <w:t>青云谱区</w:t>
      </w:r>
      <w:r>
        <w:rPr>
          <w:rFonts w:hint="eastAsia" w:ascii="方正小标宋简体" w:hAnsi="方正小标宋简体" w:eastAsia="方正小标宋简体" w:cs="Times New Roman"/>
          <w:bCs/>
          <w:sz w:val="44"/>
          <w:szCs w:val="44"/>
        </w:rPr>
        <w:t>青云谱</w:t>
      </w:r>
      <w:r>
        <w:rPr>
          <w:rFonts w:hint="eastAsia" w:ascii="方正小标宋简体" w:hAnsi="方正小标宋简体" w:eastAsia="方正小标宋简体" w:cs="Times New Roman"/>
          <w:bCs/>
          <w:sz w:val="44"/>
          <w:szCs w:val="44"/>
          <w:lang w:eastAsia="zh-CN"/>
        </w:rPr>
        <w:t>镇</w:t>
      </w:r>
      <w:r>
        <w:rPr>
          <w:rFonts w:hint="eastAsia" w:ascii="方正小标宋简体" w:hAnsi="方正小标宋简体" w:eastAsia="方正小标宋简体" w:cs="Times New Roman"/>
          <w:bCs/>
          <w:sz w:val="44"/>
          <w:szCs w:val="44"/>
        </w:rPr>
        <w:t>“7·15”一般道路交通事故调查报告</w:t>
      </w:r>
    </w:p>
    <w:p w14:paraId="38840C9B">
      <w:pPr>
        <w:spacing w:line="560" w:lineRule="exact"/>
        <w:jc w:val="center"/>
        <w:rPr>
          <w:rFonts w:ascii="方正小标宋简体" w:hAnsi="宋体" w:eastAsia="方正小标宋简体"/>
          <w:kern w:val="0"/>
          <w:sz w:val="40"/>
          <w:szCs w:val="40"/>
        </w:rPr>
      </w:pPr>
    </w:p>
    <w:p w14:paraId="2C23198E">
      <w:pPr>
        <w:spacing w:line="560" w:lineRule="exact"/>
        <w:jc w:val="center"/>
        <w:rPr>
          <w:rFonts w:ascii="方正小标宋简体" w:hAnsi="宋体" w:eastAsia="方正小标宋简体"/>
          <w:kern w:val="0"/>
          <w:sz w:val="40"/>
          <w:szCs w:val="40"/>
        </w:rPr>
      </w:pPr>
    </w:p>
    <w:p w14:paraId="4BA97EEE">
      <w:pPr>
        <w:spacing w:line="560" w:lineRule="exact"/>
        <w:jc w:val="center"/>
        <w:rPr>
          <w:rFonts w:ascii="方正小标宋简体" w:hAnsi="宋体" w:eastAsia="方正小标宋简体"/>
          <w:kern w:val="0"/>
          <w:sz w:val="40"/>
          <w:szCs w:val="40"/>
        </w:rPr>
      </w:pPr>
    </w:p>
    <w:p w14:paraId="4E7CD048">
      <w:pPr>
        <w:spacing w:line="560" w:lineRule="exact"/>
        <w:jc w:val="center"/>
        <w:rPr>
          <w:rFonts w:ascii="方正小标宋简体" w:hAnsi="宋体" w:eastAsia="方正小标宋简体"/>
          <w:kern w:val="0"/>
          <w:sz w:val="40"/>
          <w:szCs w:val="40"/>
        </w:rPr>
      </w:pPr>
    </w:p>
    <w:p w14:paraId="43421C3F">
      <w:pPr>
        <w:spacing w:line="560" w:lineRule="exact"/>
        <w:jc w:val="center"/>
        <w:rPr>
          <w:rFonts w:ascii="方正小标宋简体" w:hAnsi="宋体" w:eastAsia="方正小标宋简体"/>
          <w:kern w:val="0"/>
          <w:sz w:val="40"/>
          <w:szCs w:val="40"/>
        </w:rPr>
      </w:pPr>
    </w:p>
    <w:p w14:paraId="291C0110">
      <w:pPr>
        <w:spacing w:line="560" w:lineRule="exact"/>
        <w:jc w:val="center"/>
        <w:rPr>
          <w:rFonts w:ascii="方正小标宋简体" w:hAnsi="宋体" w:eastAsia="方正小标宋简体"/>
          <w:kern w:val="0"/>
          <w:sz w:val="40"/>
          <w:szCs w:val="40"/>
        </w:rPr>
      </w:pPr>
    </w:p>
    <w:p w14:paraId="0EDD80F4">
      <w:pPr>
        <w:spacing w:line="560" w:lineRule="exact"/>
        <w:jc w:val="center"/>
        <w:rPr>
          <w:rFonts w:ascii="方正小标宋简体" w:hAnsi="宋体" w:eastAsia="方正小标宋简体"/>
          <w:kern w:val="0"/>
          <w:sz w:val="40"/>
          <w:szCs w:val="40"/>
        </w:rPr>
      </w:pPr>
    </w:p>
    <w:p w14:paraId="54B6B1B2">
      <w:pPr>
        <w:spacing w:line="560" w:lineRule="exact"/>
        <w:jc w:val="center"/>
        <w:rPr>
          <w:rFonts w:ascii="方正小标宋简体" w:hAnsi="宋体" w:eastAsia="方正小标宋简体"/>
          <w:kern w:val="0"/>
          <w:sz w:val="40"/>
          <w:szCs w:val="40"/>
        </w:rPr>
      </w:pPr>
    </w:p>
    <w:p w14:paraId="0A687E77">
      <w:pPr>
        <w:pStyle w:val="24"/>
        <w:ind w:left="31680" w:firstLine="31680"/>
        <w:rPr>
          <w:rFonts w:ascii="方正小标宋简体" w:hAnsi="宋体" w:eastAsia="方正小标宋简体"/>
          <w:kern w:val="0"/>
          <w:sz w:val="40"/>
          <w:szCs w:val="40"/>
        </w:rPr>
      </w:pPr>
    </w:p>
    <w:p w14:paraId="321D14B6">
      <w:pPr>
        <w:pStyle w:val="17"/>
        <w:tabs>
          <w:tab w:val="clear" w:pos="4153"/>
          <w:tab w:val="clear" w:pos="8306"/>
        </w:tabs>
      </w:pPr>
    </w:p>
    <w:p w14:paraId="064AD560">
      <w:pPr>
        <w:spacing w:line="560" w:lineRule="exact"/>
        <w:jc w:val="center"/>
        <w:rPr>
          <w:rFonts w:ascii="方正小标宋简体" w:hAnsi="宋体" w:eastAsia="方正小标宋简体"/>
          <w:kern w:val="0"/>
          <w:sz w:val="40"/>
          <w:szCs w:val="40"/>
        </w:rPr>
      </w:pPr>
    </w:p>
    <w:p w14:paraId="12966726">
      <w:pPr>
        <w:spacing w:line="460" w:lineRule="exact"/>
        <w:jc w:val="center"/>
        <w:rPr>
          <w:rStyle w:val="26"/>
          <w:rFonts w:ascii="仿宋_GB2312"/>
          <w:b w:val="0"/>
          <w:bCs/>
          <w:lang w:val="en-US" w:eastAsia="zh-CN"/>
        </w:rPr>
      </w:pPr>
    </w:p>
    <w:p w14:paraId="60D6B56A">
      <w:pPr>
        <w:spacing w:line="460" w:lineRule="exact"/>
        <w:jc w:val="center"/>
        <w:rPr>
          <w:rStyle w:val="26"/>
          <w:rFonts w:ascii="仿宋_GB2312"/>
          <w:b w:val="0"/>
          <w:bCs/>
          <w:spacing w:val="-20"/>
          <w:sz w:val="32"/>
          <w:lang w:val="en-US" w:eastAsia="zh-CN"/>
        </w:rPr>
      </w:pPr>
      <w:r>
        <w:rPr>
          <w:rStyle w:val="26"/>
          <w:rFonts w:ascii="仿宋_GB2312"/>
          <w:b w:val="0"/>
          <w:bCs/>
          <w:spacing w:val="-20"/>
          <w:sz w:val="32"/>
          <w:lang w:val="en-US" w:eastAsia="zh-CN"/>
        </w:rPr>
        <w:t xml:space="preserve">    </w:t>
      </w:r>
      <w:r>
        <w:rPr>
          <w:rStyle w:val="26"/>
          <w:rFonts w:hint="eastAsia" w:ascii="仿宋_GB2312"/>
          <w:b w:val="0"/>
          <w:bCs/>
          <w:spacing w:val="-20"/>
          <w:sz w:val="32"/>
          <w:lang w:val="en-US" w:eastAsia="zh-CN"/>
        </w:rPr>
        <w:t>编制单位：青云谱区</w:t>
      </w:r>
      <w:r>
        <w:rPr>
          <w:rFonts w:hint="eastAsia" w:ascii="仿宋_GB2312" w:hAnsi="宋体" w:eastAsia="仿宋_GB2312"/>
          <w:spacing w:val="-20"/>
          <w:kern w:val="0"/>
          <w:sz w:val="32"/>
        </w:rPr>
        <w:t>人民政府</w:t>
      </w:r>
      <w:r>
        <w:rPr>
          <w:rFonts w:hint="eastAsia" w:ascii="仿宋_GB2312" w:eastAsia="仿宋_GB2312"/>
          <w:spacing w:val="-20"/>
          <w:sz w:val="32"/>
        </w:rPr>
        <w:t>事故调查组</w:t>
      </w:r>
      <w:r>
        <w:rPr>
          <w:rStyle w:val="26"/>
          <w:rFonts w:hint="eastAsia" w:ascii="仿宋_GB2312"/>
          <w:b w:val="0"/>
          <w:bCs/>
          <w:spacing w:val="-20"/>
          <w:sz w:val="32"/>
          <w:lang w:val="en-US" w:eastAsia="zh-CN"/>
        </w:rPr>
        <w:t>编制</w:t>
      </w:r>
    </w:p>
    <w:p w14:paraId="318BAAFB">
      <w:pPr>
        <w:spacing w:line="460" w:lineRule="exact"/>
        <w:jc w:val="center"/>
        <w:rPr>
          <w:rStyle w:val="26"/>
          <w:rFonts w:ascii="仿宋_GB2312"/>
          <w:b w:val="0"/>
          <w:bCs/>
          <w:lang w:val="en-US" w:eastAsia="zh-CN"/>
        </w:rPr>
      </w:pPr>
    </w:p>
    <w:p w14:paraId="43728560">
      <w:pPr>
        <w:spacing w:line="460" w:lineRule="exact"/>
        <w:jc w:val="center"/>
        <w:rPr>
          <w:rFonts w:ascii="仿宋_GB2312" w:hAnsi="宋体" w:eastAsia="仿宋_GB2312"/>
          <w:spacing w:val="-20"/>
          <w:kern w:val="0"/>
          <w:sz w:val="32"/>
        </w:rPr>
      </w:pPr>
      <w:r>
        <w:rPr>
          <w:rFonts w:hint="eastAsia" w:ascii="仿宋_GB2312" w:hAnsi="宋体" w:eastAsia="仿宋_GB2312"/>
          <w:spacing w:val="-20"/>
          <w:kern w:val="0"/>
          <w:sz w:val="32"/>
        </w:rPr>
        <w:t>编制时间：</w:t>
      </w:r>
      <w:r>
        <w:rPr>
          <w:rFonts w:hint="eastAsia" w:ascii="仿宋_GB2312" w:hAnsi="宋体" w:eastAsia="仿宋_GB2312"/>
          <w:spacing w:val="-20"/>
          <w:kern w:val="0"/>
          <w:sz w:val="32"/>
          <w:lang w:eastAsia="zh-CN"/>
        </w:rPr>
        <w:t>2025年</w:t>
      </w:r>
      <w:r>
        <w:rPr>
          <w:rFonts w:hint="eastAsia" w:ascii="仿宋_GB2312" w:hAnsi="宋体" w:eastAsia="仿宋_GB2312"/>
          <w:spacing w:val="-20"/>
          <w:kern w:val="0"/>
          <w:sz w:val="32"/>
          <w:lang w:val="en-US" w:eastAsia="zh-CN"/>
        </w:rPr>
        <w:t>9</w:t>
      </w:r>
      <w:r>
        <w:rPr>
          <w:rFonts w:hint="eastAsia" w:ascii="仿宋_GB2312" w:hAnsi="宋体" w:eastAsia="仿宋_GB2312"/>
          <w:spacing w:val="-20"/>
          <w:kern w:val="0"/>
          <w:sz w:val="32"/>
          <w:lang w:eastAsia="zh-CN"/>
        </w:rPr>
        <w:t>月</w:t>
      </w:r>
    </w:p>
    <w:p w14:paraId="17AA6D7B">
      <w:pPr>
        <w:pStyle w:val="24"/>
        <w:ind w:left="31680" w:firstLine="31680"/>
        <w:rPr>
          <w:rFonts w:ascii="仿宋_GB2312" w:hAnsi="宋体" w:eastAsia="仿宋_GB2312"/>
          <w:spacing w:val="-20"/>
          <w:kern w:val="0"/>
          <w:sz w:val="32"/>
        </w:rPr>
      </w:pPr>
    </w:p>
    <w:p w14:paraId="6270EB96">
      <w:pPr>
        <w:pStyle w:val="17"/>
        <w:tabs>
          <w:tab w:val="clear" w:pos="4153"/>
          <w:tab w:val="clear" w:pos="8306"/>
        </w:tabs>
        <w:rPr>
          <w:rFonts w:ascii="仿宋_GB2312" w:hAnsi="宋体" w:eastAsia="仿宋_GB2312"/>
          <w:spacing w:val="-20"/>
          <w:kern w:val="0"/>
          <w:sz w:val="32"/>
        </w:rPr>
      </w:pPr>
    </w:p>
    <w:p w14:paraId="2D5E78DA">
      <w:pPr>
        <w:rPr>
          <w:rFonts w:ascii="仿宋_GB2312" w:hAnsi="宋体" w:eastAsia="仿宋_GB2312"/>
          <w:spacing w:val="-20"/>
          <w:kern w:val="0"/>
          <w:sz w:val="32"/>
        </w:rPr>
      </w:pPr>
    </w:p>
    <w:p w14:paraId="6FC5223C">
      <w:pPr>
        <w:pStyle w:val="24"/>
        <w:ind w:left="31680" w:firstLine="31680"/>
        <w:rPr>
          <w:rFonts w:ascii="仿宋_GB2312" w:hAnsi="宋体" w:eastAsia="仿宋_GB2312"/>
          <w:spacing w:val="-20"/>
          <w:kern w:val="0"/>
          <w:sz w:val="32"/>
        </w:rPr>
      </w:pPr>
    </w:p>
    <w:p w14:paraId="35C667F8">
      <w:pPr>
        <w:pStyle w:val="17"/>
        <w:tabs>
          <w:tab w:val="clear" w:pos="4153"/>
          <w:tab w:val="clear" w:pos="8306"/>
        </w:tabs>
      </w:pPr>
    </w:p>
    <w:p w14:paraId="7E825B52">
      <w:pPr>
        <w:spacing w:line="400" w:lineRule="exact"/>
        <w:jc w:val="center"/>
        <w:rPr>
          <w:rFonts w:ascii="仿宋_GB2312" w:eastAsia="仿宋_GB2312"/>
          <w:b/>
          <w:sz w:val="32"/>
          <w:szCs w:val="32"/>
        </w:rPr>
        <w:sectPr>
          <w:headerReference r:id="rId5" w:type="first"/>
          <w:footerReference r:id="rId7" w:type="first"/>
          <w:headerReference r:id="rId3" w:type="default"/>
          <w:headerReference r:id="rId4" w:type="even"/>
          <w:footerReference r:id="rId6" w:type="even"/>
          <w:pgSz w:w="11906" w:h="16838"/>
          <w:pgMar w:top="1440" w:right="1800" w:bottom="1440" w:left="1800" w:header="851" w:footer="992" w:gutter="0"/>
          <w:pgNumType w:start="1"/>
          <w:cols w:space="720" w:num="1"/>
          <w:docGrid w:type="lines" w:linePitch="312" w:charSpace="0"/>
        </w:sectPr>
      </w:pPr>
    </w:p>
    <w:p w14:paraId="5185725C">
      <w:pPr>
        <w:spacing w:line="400" w:lineRule="exact"/>
        <w:jc w:val="center"/>
        <w:rPr>
          <w:rFonts w:ascii="仿宋_GB2312" w:eastAsia="仿宋_GB2312"/>
          <w:b/>
          <w:sz w:val="32"/>
          <w:szCs w:val="32"/>
        </w:rPr>
      </w:pPr>
      <w:r>
        <w:rPr>
          <w:rFonts w:hint="eastAsia" w:ascii="仿宋_GB2312" w:eastAsia="仿宋_GB2312"/>
          <w:b/>
          <w:sz w:val="32"/>
          <w:szCs w:val="32"/>
        </w:rPr>
        <w:t>目录</w:t>
      </w:r>
    </w:p>
    <w:p w14:paraId="67F9864E">
      <w:pPr>
        <w:pStyle w:val="19"/>
        <w:tabs>
          <w:tab w:val="right" w:leader="dot" w:pos="8306"/>
        </w:tabs>
        <w:rPr>
          <w:rFonts w:ascii="宋体"/>
          <w:kern w:val="0"/>
          <w:sz w:val="24"/>
        </w:rPr>
      </w:pPr>
      <w:r>
        <w:rPr>
          <w:rFonts w:ascii="宋体" w:hAnsi="宋体"/>
          <w:kern w:val="0"/>
          <w:sz w:val="24"/>
        </w:rPr>
        <w:fldChar w:fldCharType="begin"/>
      </w:r>
      <w:r>
        <w:rPr>
          <w:rFonts w:ascii="宋体" w:hAnsi="宋体"/>
          <w:kern w:val="0"/>
          <w:sz w:val="24"/>
        </w:rPr>
        <w:instrText xml:space="preserve">TOC \o "1-3" \h \u </w:instrText>
      </w:r>
      <w:r>
        <w:rPr>
          <w:rFonts w:ascii="宋体" w:hAnsi="宋体"/>
          <w:kern w:val="0"/>
          <w:sz w:val="24"/>
        </w:rPr>
        <w:fldChar w:fldCharType="separate"/>
      </w:r>
      <w:r>
        <w:fldChar w:fldCharType="begin"/>
      </w:r>
      <w:r>
        <w:instrText xml:space="preserve"> HYPERLINK \l "_Toc17700" </w:instrText>
      </w:r>
      <w:r>
        <w:fldChar w:fldCharType="separate"/>
      </w:r>
      <w:r>
        <w:rPr>
          <w:rFonts w:hint="eastAsia"/>
        </w:rPr>
        <w:t>一、事故基本情况</w:t>
      </w:r>
      <w:r>
        <w:tab/>
      </w:r>
      <w:r>
        <w:t>2</w:t>
      </w:r>
      <w:r>
        <w:fldChar w:fldCharType="end"/>
      </w:r>
    </w:p>
    <w:p w14:paraId="2F99440B">
      <w:pPr>
        <w:pStyle w:val="21"/>
        <w:tabs>
          <w:tab w:val="right" w:leader="dot" w:pos="8306"/>
        </w:tabs>
        <w:ind w:left="31680"/>
        <w:rPr>
          <w:rFonts w:ascii="宋体"/>
          <w:kern w:val="0"/>
        </w:rPr>
      </w:pPr>
      <w:r>
        <w:fldChar w:fldCharType="begin"/>
      </w:r>
      <w:r>
        <w:instrText xml:space="preserve"> HYPERLINK \l "_Toc23307" </w:instrText>
      </w:r>
      <w:r>
        <w:fldChar w:fldCharType="separate"/>
      </w:r>
      <w:r>
        <w:rPr>
          <w:rFonts w:hint="eastAsia"/>
        </w:rPr>
        <w:t>（一）事故发生经过</w:t>
      </w:r>
      <w:r>
        <w:tab/>
      </w:r>
      <w:r>
        <w:fldChar w:fldCharType="begin"/>
      </w:r>
      <w:r>
        <w:instrText xml:space="preserve"> PAGEREF _Toc23307 \h </w:instrText>
      </w:r>
      <w:r>
        <w:fldChar w:fldCharType="separate"/>
      </w:r>
      <w:r>
        <w:t>2</w:t>
      </w:r>
      <w:r>
        <w:fldChar w:fldCharType="end"/>
      </w:r>
      <w:r>
        <w:fldChar w:fldCharType="end"/>
      </w:r>
    </w:p>
    <w:p w14:paraId="54551E9B">
      <w:pPr>
        <w:pStyle w:val="21"/>
        <w:tabs>
          <w:tab w:val="right" w:leader="dot" w:pos="8306"/>
        </w:tabs>
        <w:ind w:left="31680"/>
        <w:rPr>
          <w:rFonts w:ascii="宋体"/>
          <w:kern w:val="0"/>
        </w:rPr>
      </w:pPr>
      <w:r>
        <w:fldChar w:fldCharType="begin"/>
      </w:r>
      <w:r>
        <w:instrText xml:space="preserve"> HYPERLINK \l "_Toc23443" </w:instrText>
      </w:r>
      <w:r>
        <w:fldChar w:fldCharType="separate"/>
      </w:r>
      <w:r>
        <w:rPr>
          <w:rFonts w:hint="eastAsia"/>
        </w:rPr>
        <w:t>（</w:t>
      </w:r>
      <w:r>
        <w:rPr>
          <w:rFonts w:hint="eastAsia"/>
          <w:lang w:eastAsia="zh-CN"/>
        </w:rPr>
        <w:t>二</w:t>
      </w:r>
      <w:r>
        <w:rPr>
          <w:rFonts w:hint="eastAsia"/>
        </w:rPr>
        <w:t>）事故车辆基本情况</w:t>
      </w:r>
      <w:r>
        <w:tab/>
      </w:r>
      <w:r>
        <w:fldChar w:fldCharType="begin"/>
      </w:r>
      <w:r>
        <w:instrText xml:space="preserve"> PAGEREF _Toc23443 \h </w:instrText>
      </w:r>
      <w:r>
        <w:fldChar w:fldCharType="separate"/>
      </w:r>
      <w:r>
        <w:t>2</w:t>
      </w:r>
      <w:r>
        <w:fldChar w:fldCharType="end"/>
      </w:r>
      <w:r>
        <w:fldChar w:fldCharType="end"/>
      </w:r>
    </w:p>
    <w:p w14:paraId="5F5EE84C">
      <w:pPr>
        <w:pStyle w:val="21"/>
        <w:tabs>
          <w:tab w:val="right" w:leader="dot" w:pos="8306"/>
        </w:tabs>
        <w:ind w:left="31680"/>
        <w:rPr>
          <w:rFonts w:ascii="宋体"/>
          <w:kern w:val="0"/>
        </w:rPr>
      </w:pPr>
      <w:r>
        <w:fldChar w:fldCharType="begin"/>
      </w:r>
      <w:r>
        <w:instrText xml:space="preserve"> HYPERLINK \l "_Toc15634" </w:instrText>
      </w:r>
      <w:r>
        <w:fldChar w:fldCharType="separate"/>
      </w:r>
      <w:r>
        <w:rPr>
          <w:rFonts w:hint="eastAsia"/>
        </w:rPr>
        <w:t>（</w:t>
      </w:r>
      <w:r>
        <w:rPr>
          <w:rFonts w:hint="eastAsia"/>
          <w:lang w:eastAsia="zh-CN"/>
        </w:rPr>
        <w:t>三</w:t>
      </w:r>
      <w:r>
        <w:rPr>
          <w:rFonts w:hint="eastAsia"/>
        </w:rPr>
        <w:t>）驾驶人基本情况</w:t>
      </w:r>
      <w:r>
        <w:tab/>
      </w:r>
      <w:r>
        <w:rPr>
          <w:rFonts w:hint="eastAsia"/>
          <w:lang w:val="en-US" w:eastAsia="zh-CN"/>
        </w:rPr>
        <w:t>4</w:t>
      </w:r>
      <w:r>
        <w:fldChar w:fldCharType="end"/>
      </w:r>
    </w:p>
    <w:p w14:paraId="3272CC6D">
      <w:pPr>
        <w:pStyle w:val="21"/>
        <w:tabs>
          <w:tab w:val="right" w:leader="dot" w:pos="8306"/>
        </w:tabs>
        <w:ind w:left="31680"/>
        <w:rPr>
          <w:rFonts w:ascii="宋体"/>
          <w:kern w:val="0"/>
        </w:rPr>
      </w:pPr>
      <w:r>
        <w:fldChar w:fldCharType="begin"/>
      </w:r>
      <w:r>
        <w:instrText xml:space="preserve"> HYPERLINK \l "_Toc2236" </w:instrText>
      </w:r>
      <w:r>
        <w:fldChar w:fldCharType="separate"/>
      </w:r>
      <w:r>
        <w:rPr>
          <w:rFonts w:hint="eastAsia"/>
        </w:rPr>
        <w:t>（</w:t>
      </w:r>
      <w:r>
        <w:rPr>
          <w:rFonts w:hint="eastAsia"/>
          <w:lang w:eastAsia="zh-CN"/>
        </w:rPr>
        <w:t>四</w:t>
      </w:r>
      <w:r>
        <w:rPr>
          <w:rFonts w:hint="eastAsia"/>
        </w:rPr>
        <w:t>）事故道路、交通环境和天气情况</w:t>
      </w:r>
      <w:r>
        <w:tab/>
      </w:r>
      <w:r>
        <w:fldChar w:fldCharType="begin"/>
      </w:r>
      <w:r>
        <w:instrText xml:space="preserve"> PAGEREF _Toc2236 \h </w:instrText>
      </w:r>
      <w:r>
        <w:fldChar w:fldCharType="separate"/>
      </w:r>
      <w:r>
        <w:t>5</w:t>
      </w:r>
      <w:r>
        <w:fldChar w:fldCharType="end"/>
      </w:r>
      <w:r>
        <w:fldChar w:fldCharType="end"/>
      </w:r>
    </w:p>
    <w:p w14:paraId="0176AF99">
      <w:pPr>
        <w:pStyle w:val="21"/>
        <w:tabs>
          <w:tab w:val="right" w:leader="dot" w:pos="8306"/>
        </w:tabs>
        <w:ind w:left="31680"/>
        <w:rPr>
          <w:rFonts w:ascii="宋体"/>
          <w:kern w:val="0"/>
        </w:rPr>
      </w:pPr>
      <w:r>
        <w:fldChar w:fldCharType="begin"/>
      </w:r>
      <w:r>
        <w:instrText xml:space="preserve"> HYPERLINK \l "_Toc15933" </w:instrText>
      </w:r>
      <w:r>
        <w:fldChar w:fldCharType="separate"/>
      </w:r>
      <w:r>
        <w:rPr>
          <w:rFonts w:hint="eastAsia"/>
        </w:rPr>
        <w:t>（</w:t>
      </w:r>
      <w:r>
        <w:rPr>
          <w:rFonts w:hint="eastAsia"/>
          <w:lang w:eastAsia="zh-CN"/>
        </w:rPr>
        <w:t>五</w:t>
      </w:r>
      <w:r>
        <w:rPr>
          <w:rFonts w:hint="eastAsia"/>
        </w:rPr>
        <w:t>）人员伤亡情况和直接经济损失</w:t>
      </w:r>
      <w:r>
        <w:tab/>
      </w:r>
      <w:r>
        <w:fldChar w:fldCharType="begin"/>
      </w:r>
      <w:r>
        <w:instrText xml:space="preserve"> PAGEREF _Toc15933 \h </w:instrText>
      </w:r>
      <w:r>
        <w:fldChar w:fldCharType="separate"/>
      </w:r>
      <w:r>
        <w:t>6</w:t>
      </w:r>
      <w:r>
        <w:fldChar w:fldCharType="end"/>
      </w:r>
      <w:r>
        <w:fldChar w:fldCharType="end"/>
      </w:r>
    </w:p>
    <w:p w14:paraId="25600C52">
      <w:pPr>
        <w:pStyle w:val="19"/>
        <w:tabs>
          <w:tab w:val="right" w:leader="dot" w:pos="8306"/>
        </w:tabs>
        <w:rPr>
          <w:rFonts w:ascii="宋体"/>
          <w:kern w:val="0"/>
        </w:rPr>
      </w:pPr>
      <w:r>
        <w:fldChar w:fldCharType="begin"/>
      </w:r>
      <w:r>
        <w:instrText xml:space="preserve"> HYPERLINK \l "_Toc22891" </w:instrText>
      </w:r>
      <w:r>
        <w:fldChar w:fldCharType="separate"/>
      </w:r>
      <w:r>
        <w:rPr>
          <w:rFonts w:hint="eastAsia"/>
        </w:rPr>
        <w:t>二、</w:t>
      </w:r>
      <w:r>
        <w:t xml:space="preserve"> </w:t>
      </w:r>
      <w:r>
        <w:rPr>
          <w:rFonts w:hint="eastAsia"/>
        </w:rPr>
        <w:t>事故应急处置及评估情况</w:t>
      </w:r>
      <w:r>
        <w:tab/>
      </w:r>
      <w:r>
        <w:fldChar w:fldCharType="begin"/>
      </w:r>
      <w:r>
        <w:instrText xml:space="preserve"> PAGEREF _Toc22891 \h </w:instrText>
      </w:r>
      <w:r>
        <w:fldChar w:fldCharType="separate"/>
      </w:r>
      <w:r>
        <w:t>7</w:t>
      </w:r>
      <w:r>
        <w:fldChar w:fldCharType="end"/>
      </w:r>
      <w:r>
        <w:fldChar w:fldCharType="end"/>
      </w:r>
    </w:p>
    <w:p w14:paraId="431161FF">
      <w:pPr>
        <w:pStyle w:val="21"/>
        <w:tabs>
          <w:tab w:val="right" w:leader="dot" w:pos="8306"/>
        </w:tabs>
        <w:ind w:left="31680"/>
        <w:rPr>
          <w:rFonts w:ascii="宋体"/>
          <w:kern w:val="0"/>
        </w:rPr>
      </w:pPr>
      <w:r>
        <w:fldChar w:fldCharType="begin"/>
      </w:r>
      <w:r>
        <w:instrText xml:space="preserve"> HYPERLINK \l "_Toc1341" </w:instrText>
      </w:r>
      <w:r>
        <w:fldChar w:fldCharType="separate"/>
      </w:r>
      <w:r>
        <w:rPr>
          <w:rFonts w:hint="eastAsia"/>
        </w:rPr>
        <w:t>（一）应急处置情况</w:t>
      </w:r>
      <w:r>
        <w:tab/>
      </w:r>
      <w:r>
        <w:fldChar w:fldCharType="begin"/>
      </w:r>
      <w:r>
        <w:instrText xml:space="preserve"> PAGEREF _Toc1341 \h </w:instrText>
      </w:r>
      <w:r>
        <w:fldChar w:fldCharType="separate"/>
      </w:r>
      <w:r>
        <w:t>7</w:t>
      </w:r>
      <w:r>
        <w:fldChar w:fldCharType="end"/>
      </w:r>
      <w:r>
        <w:fldChar w:fldCharType="end"/>
      </w:r>
    </w:p>
    <w:p w14:paraId="2B730160">
      <w:pPr>
        <w:pStyle w:val="21"/>
        <w:tabs>
          <w:tab w:val="right" w:leader="dot" w:pos="8306"/>
        </w:tabs>
        <w:ind w:left="31680"/>
        <w:rPr>
          <w:rFonts w:ascii="宋体"/>
          <w:kern w:val="0"/>
        </w:rPr>
      </w:pPr>
      <w:r>
        <w:fldChar w:fldCharType="begin"/>
      </w:r>
      <w:r>
        <w:instrText xml:space="preserve"> HYPERLINK \l "_Toc14435" </w:instrText>
      </w:r>
      <w:r>
        <w:fldChar w:fldCharType="separate"/>
      </w:r>
      <w:r>
        <w:rPr>
          <w:rFonts w:hint="eastAsia"/>
        </w:rPr>
        <w:t>（二）事故善后情况</w:t>
      </w:r>
      <w:r>
        <w:tab/>
      </w:r>
      <w:r>
        <w:fldChar w:fldCharType="begin"/>
      </w:r>
      <w:r>
        <w:instrText xml:space="preserve"> PAGEREF _Toc14435 \h </w:instrText>
      </w:r>
      <w:r>
        <w:fldChar w:fldCharType="separate"/>
      </w:r>
      <w:r>
        <w:t>7</w:t>
      </w:r>
      <w:r>
        <w:fldChar w:fldCharType="end"/>
      </w:r>
      <w:r>
        <w:fldChar w:fldCharType="end"/>
      </w:r>
    </w:p>
    <w:p w14:paraId="4ACD802B">
      <w:pPr>
        <w:pStyle w:val="21"/>
        <w:tabs>
          <w:tab w:val="right" w:leader="dot" w:pos="8306"/>
        </w:tabs>
        <w:ind w:left="31680"/>
        <w:rPr>
          <w:rFonts w:ascii="宋体"/>
          <w:kern w:val="0"/>
        </w:rPr>
      </w:pPr>
      <w:r>
        <w:fldChar w:fldCharType="begin"/>
      </w:r>
      <w:r>
        <w:instrText xml:space="preserve"> HYPERLINK \l "_Toc12045" </w:instrText>
      </w:r>
      <w:r>
        <w:fldChar w:fldCharType="separate"/>
      </w:r>
      <w:r>
        <w:rPr>
          <w:rFonts w:hint="eastAsia"/>
        </w:rPr>
        <w:t>（三）事故应急处置评估意见</w:t>
      </w:r>
      <w:r>
        <w:tab/>
      </w:r>
      <w:r>
        <w:rPr>
          <w:rFonts w:hint="eastAsia"/>
          <w:lang w:val="en-US" w:eastAsia="zh-CN"/>
        </w:rPr>
        <w:t>7</w:t>
      </w:r>
      <w:r>
        <w:fldChar w:fldCharType="end"/>
      </w:r>
    </w:p>
    <w:p w14:paraId="6068A9F3">
      <w:pPr>
        <w:pStyle w:val="19"/>
        <w:tabs>
          <w:tab w:val="right" w:leader="dot" w:pos="8306"/>
        </w:tabs>
        <w:rPr>
          <w:rFonts w:ascii="宋体"/>
          <w:kern w:val="0"/>
        </w:rPr>
      </w:pPr>
      <w:r>
        <w:fldChar w:fldCharType="begin"/>
      </w:r>
      <w:r>
        <w:instrText xml:space="preserve"> HYPERLINK \l "_Toc16110" </w:instrText>
      </w:r>
      <w:r>
        <w:fldChar w:fldCharType="separate"/>
      </w:r>
      <w:r>
        <w:rPr>
          <w:rFonts w:hint="eastAsia"/>
        </w:rPr>
        <w:t>三、事故原因分析</w:t>
      </w:r>
      <w:r>
        <w:tab/>
      </w:r>
      <w:r>
        <w:fldChar w:fldCharType="begin"/>
      </w:r>
      <w:r>
        <w:instrText xml:space="preserve"> PAGEREF _Toc16110 \h </w:instrText>
      </w:r>
      <w:r>
        <w:fldChar w:fldCharType="separate"/>
      </w:r>
      <w:r>
        <w:t>8</w:t>
      </w:r>
      <w:r>
        <w:fldChar w:fldCharType="end"/>
      </w:r>
      <w:r>
        <w:fldChar w:fldCharType="end"/>
      </w:r>
    </w:p>
    <w:p w14:paraId="0F04551B">
      <w:pPr>
        <w:pStyle w:val="21"/>
        <w:tabs>
          <w:tab w:val="right" w:leader="dot" w:pos="8306"/>
        </w:tabs>
        <w:ind w:left="31680"/>
      </w:pPr>
      <w:r>
        <w:fldChar w:fldCharType="begin"/>
      </w:r>
      <w:r>
        <w:instrText xml:space="preserve"> HYPERLINK \l "_Toc1825" </w:instrText>
      </w:r>
      <w:r>
        <w:fldChar w:fldCharType="separate"/>
      </w:r>
      <w:r>
        <w:rPr>
          <w:rFonts w:hint="eastAsia"/>
        </w:rPr>
        <w:t>（一）事故</w:t>
      </w:r>
      <w:r>
        <w:rPr>
          <w:rFonts w:hint="eastAsia"/>
          <w:lang w:eastAsia="zh-CN"/>
        </w:rPr>
        <w:t>主要</w:t>
      </w:r>
      <w:r>
        <w:rPr>
          <w:rFonts w:hint="eastAsia"/>
        </w:rPr>
        <w:t>原因</w:t>
      </w:r>
      <w:r>
        <w:tab/>
      </w:r>
      <w:r>
        <w:fldChar w:fldCharType="begin"/>
      </w:r>
      <w:r>
        <w:instrText xml:space="preserve"> PAGEREF _Toc1825 \h </w:instrText>
      </w:r>
      <w:r>
        <w:fldChar w:fldCharType="separate"/>
      </w:r>
      <w:r>
        <w:t>8</w:t>
      </w:r>
      <w:r>
        <w:fldChar w:fldCharType="end"/>
      </w:r>
      <w:r>
        <w:fldChar w:fldCharType="end"/>
      </w:r>
    </w:p>
    <w:p w14:paraId="6A0364E8">
      <w:pPr>
        <w:pStyle w:val="21"/>
        <w:keepNext w:val="0"/>
        <w:keepLines w:val="0"/>
        <w:pageBreakBefore w:val="0"/>
        <w:widowControl w:val="0"/>
        <w:tabs>
          <w:tab w:val="right" w:leader="dot" w:pos="8306"/>
        </w:tabs>
        <w:kinsoku/>
        <w:wordWrap/>
        <w:overflowPunct/>
        <w:topLinePunct w:val="0"/>
        <w:autoSpaceDE w:val="0"/>
        <w:autoSpaceDN w:val="0"/>
        <w:bidi w:val="0"/>
        <w:adjustRightInd/>
        <w:snapToGrid/>
        <w:ind w:left="31680"/>
        <w:textAlignment w:val="auto"/>
        <w:rPr>
          <w:rFonts w:ascii="宋体"/>
          <w:kern w:val="0"/>
        </w:rPr>
      </w:pPr>
      <w:r>
        <w:rPr>
          <w:rFonts w:hint="eastAsia"/>
        </w:rPr>
        <w:t>（二）事故</w:t>
      </w:r>
      <w:r>
        <w:rPr>
          <w:rFonts w:hint="eastAsia"/>
          <w:lang w:eastAsia="zh-CN"/>
        </w:rPr>
        <w:t>次要原因</w:t>
      </w:r>
      <w:r>
        <w:rPr>
          <w:rFonts w:hint="eastAsia"/>
          <w:lang w:val="en-US" w:eastAsia="zh-CN"/>
        </w:rPr>
        <w:t xml:space="preserve"> ............................................................................................................ 8</w:t>
      </w:r>
      <w:r>
        <w:fldChar w:fldCharType="begin"/>
      </w:r>
      <w:r>
        <w:instrText xml:space="preserve"> HYPERLINK \l "_Toc3254" </w:instrText>
      </w:r>
      <w:r>
        <w:fldChar w:fldCharType="separate"/>
      </w:r>
      <w:r>
        <w:rPr>
          <w:rFonts w:hint="eastAsia"/>
        </w:rPr>
        <w:t>（</w:t>
      </w:r>
      <w:r>
        <w:rPr>
          <w:rFonts w:hint="eastAsia"/>
          <w:lang w:eastAsia="zh-CN"/>
        </w:rPr>
        <w:t>三</w:t>
      </w:r>
      <w:r>
        <w:rPr>
          <w:rFonts w:hint="eastAsia"/>
        </w:rPr>
        <w:t>）事故相关检验检测和鉴定情况</w:t>
      </w:r>
      <w:r>
        <w:tab/>
      </w:r>
      <w:r>
        <w:fldChar w:fldCharType="begin"/>
      </w:r>
      <w:r>
        <w:instrText xml:space="preserve"> PAGEREF _Toc3254 \h </w:instrText>
      </w:r>
      <w:r>
        <w:fldChar w:fldCharType="separate"/>
      </w:r>
      <w:r>
        <w:t>8</w:t>
      </w:r>
      <w:r>
        <w:fldChar w:fldCharType="end"/>
      </w:r>
      <w:r>
        <w:fldChar w:fldCharType="end"/>
      </w:r>
    </w:p>
    <w:p w14:paraId="3A2B87B0">
      <w:pPr>
        <w:pStyle w:val="21"/>
        <w:tabs>
          <w:tab w:val="right" w:leader="dot" w:pos="8306"/>
        </w:tabs>
        <w:ind w:left="31680"/>
        <w:rPr>
          <w:rFonts w:ascii="宋体"/>
          <w:kern w:val="0"/>
        </w:rPr>
      </w:pPr>
      <w:r>
        <w:fldChar w:fldCharType="begin"/>
      </w:r>
      <w:r>
        <w:instrText xml:space="preserve"> HYPERLINK \l "_Toc17166" </w:instrText>
      </w:r>
      <w:r>
        <w:fldChar w:fldCharType="separate"/>
      </w:r>
      <w:r>
        <w:rPr>
          <w:rFonts w:hint="eastAsia"/>
        </w:rPr>
        <w:t>（</w:t>
      </w:r>
      <w:r>
        <w:rPr>
          <w:rFonts w:hint="eastAsia"/>
          <w:lang w:eastAsia="zh-CN"/>
        </w:rPr>
        <w:t>四</w:t>
      </w:r>
      <w:r>
        <w:rPr>
          <w:rFonts w:hint="eastAsia"/>
        </w:rPr>
        <w:t>）其他可能因素排除</w:t>
      </w:r>
      <w:r>
        <w:tab/>
      </w:r>
      <w:r>
        <w:rPr>
          <w:rFonts w:hint="eastAsia"/>
          <w:lang w:val="en-US" w:eastAsia="zh-CN"/>
        </w:rPr>
        <w:t>9</w:t>
      </w:r>
      <w:r>
        <w:fldChar w:fldCharType="end"/>
      </w:r>
    </w:p>
    <w:p w14:paraId="7C2E2060">
      <w:pPr>
        <w:pStyle w:val="19"/>
        <w:tabs>
          <w:tab w:val="right" w:leader="dot" w:pos="8306"/>
        </w:tabs>
        <w:rPr>
          <w:rFonts w:ascii="宋体"/>
          <w:kern w:val="0"/>
        </w:rPr>
      </w:pPr>
      <w:r>
        <w:fldChar w:fldCharType="begin"/>
      </w:r>
      <w:r>
        <w:instrText xml:space="preserve"> HYPERLINK \l "_Toc15737" </w:instrText>
      </w:r>
      <w:r>
        <w:fldChar w:fldCharType="separate"/>
      </w:r>
      <w:r>
        <w:rPr>
          <w:rFonts w:hint="eastAsia"/>
        </w:rPr>
        <w:t>四、对事故责任人员的处理建议</w:t>
      </w:r>
      <w:r>
        <w:tab/>
      </w:r>
      <w:r>
        <w:rPr>
          <w:rFonts w:hint="eastAsia"/>
          <w:lang w:val="en-US" w:eastAsia="zh-CN"/>
        </w:rPr>
        <w:t>9</w:t>
      </w:r>
      <w:r>
        <w:fldChar w:fldCharType="end"/>
      </w:r>
    </w:p>
    <w:p w14:paraId="06C12F96">
      <w:pPr>
        <w:pStyle w:val="21"/>
        <w:tabs>
          <w:tab w:val="right" w:leader="dot" w:pos="8306"/>
        </w:tabs>
        <w:ind w:left="31680"/>
        <w:rPr>
          <w:rFonts w:ascii="宋体"/>
          <w:kern w:val="0"/>
        </w:rPr>
      </w:pPr>
      <w:r>
        <w:fldChar w:fldCharType="begin"/>
      </w:r>
      <w:r>
        <w:instrText xml:space="preserve"> HYPERLINK \l "_Toc19782" </w:instrText>
      </w:r>
      <w:r>
        <w:fldChar w:fldCharType="separate"/>
      </w:r>
      <w:r>
        <w:rPr>
          <w:rFonts w:hint="eastAsia"/>
        </w:rPr>
        <w:t>（一）对事故责任人员的责任认定及处理建议</w:t>
      </w:r>
      <w:r>
        <w:tab/>
      </w:r>
      <w:r>
        <w:rPr>
          <w:rFonts w:hint="eastAsia"/>
          <w:lang w:val="en-US" w:eastAsia="zh-CN"/>
        </w:rPr>
        <w:t>9</w:t>
      </w:r>
      <w:r>
        <w:fldChar w:fldCharType="end"/>
      </w:r>
    </w:p>
    <w:p w14:paraId="6BAEE2B3">
      <w:pPr>
        <w:pStyle w:val="21"/>
        <w:tabs>
          <w:tab w:val="right" w:leader="dot" w:pos="8306"/>
        </w:tabs>
        <w:ind w:left="31680"/>
        <w:rPr>
          <w:rFonts w:hint="eastAsia" w:ascii="宋体" w:eastAsia="宋体"/>
          <w:kern w:val="0"/>
          <w:lang w:val="en-US" w:eastAsia="zh-CN"/>
        </w:rPr>
      </w:pPr>
      <w:r>
        <w:fldChar w:fldCharType="begin"/>
      </w:r>
      <w:r>
        <w:instrText xml:space="preserve"> HYPERLINK \l "_Toc23684" </w:instrText>
      </w:r>
      <w:r>
        <w:fldChar w:fldCharType="separate"/>
      </w:r>
      <w:r>
        <w:rPr>
          <w:rFonts w:hint="eastAsia"/>
        </w:rPr>
        <w:t>（二）</w:t>
      </w:r>
      <w:r>
        <w:rPr>
          <w:rFonts w:hint="eastAsia"/>
          <w:lang w:eastAsia="zh-CN"/>
        </w:rPr>
        <w:t>其他</w:t>
      </w:r>
      <w:r>
        <w:rPr>
          <w:rFonts w:hint="eastAsia"/>
        </w:rPr>
        <w:t>处理建议</w:t>
      </w:r>
      <w:r>
        <w:tab/>
      </w:r>
      <w:r>
        <w:rPr>
          <w:rFonts w:hint="eastAsia"/>
          <w:lang w:val="en-US" w:eastAsia="zh-CN"/>
        </w:rPr>
        <w:t>1</w:t>
      </w:r>
      <w:r>
        <w:fldChar w:fldCharType="end"/>
      </w:r>
      <w:r>
        <w:rPr>
          <w:rFonts w:hint="eastAsia"/>
          <w:lang w:val="en-US" w:eastAsia="zh-CN"/>
        </w:rPr>
        <w:t>1</w:t>
      </w:r>
    </w:p>
    <w:p w14:paraId="7B0DEF5E">
      <w:pPr>
        <w:pStyle w:val="19"/>
        <w:tabs>
          <w:tab w:val="right" w:leader="dot" w:pos="8306"/>
        </w:tabs>
        <w:rPr>
          <w:rFonts w:ascii="宋体"/>
          <w:kern w:val="0"/>
        </w:rPr>
      </w:pPr>
      <w:r>
        <w:fldChar w:fldCharType="begin"/>
      </w:r>
      <w:r>
        <w:instrText xml:space="preserve"> HYPERLINK \l "_Toc18514" </w:instrText>
      </w:r>
      <w:r>
        <w:fldChar w:fldCharType="separate"/>
      </w:r>
      <w:r>
        <w:rPr>
          <w:rFonts w:hint="eastAsia"/>
        </w:rPr>
        <w:t>五、事故主要教训</w:t>
      </w:r>
      <w:r>
        <w:tab/>
      </w:r>
      <w:r>
        <w:fldChar w:fldCharType="begin"/>
      </w:r>
      <w:r>
        <w:instrText xml:space="preserve"> PAGEREF _Toc18514 \h </w:instrText>
      </w:r>
      <w:r>
        <w:fldChar w:fldCharType="separate"/>
      </w:r>
      <w:r>
        <w:t>11</w:t>
      </w:r>
      <w:r>
        <w:fldChar w:fldCharType="end"/>
      </w:r>
      <w:r>
        <w:fldChar w:fldCharType="end"/>
      </w:r>
    </w:p>
    <w:p w14:paraId="704D77F5">
      <w:pPr>
        <w:pStyle w:val="19"/>
        <w:tabs>
          <w:tab w:val="right" w:leader="dot" w:pos="8306"/>
        </w:tabs>
        <w:rPr>
          <w:rFonts w:ascii="宋体"/>
          <w:kern w:val="0"/>
        </w:rPr>
      </w:pPr>
      <w:r>
        <w:fldChar w:fldCharType="begin"/>
      </w:r>
      <w:r>
        <w:instrText xml:space="preserve"> HYPERLINK \l "_Toc29289" </w:instrText>
      </w:r>
      <w:r>
        <w:fldChar w:fldCharType="separate"/>
      </w:r>
      <w:r>
        <w:rPr>
          <w:rFonts w:hint="eastAsia"/>
        </w:rPr>
        <w:t>六、事故防范和整改措施</w:t>
      </w:r>
      <w:r>
        <w:tab/>
      </w:r>
      <w:r>
        <w:fldChar w:fldCharType="begin"/>
      </w:r>
      <w:r>
        <w:instrText xml:space="preserve"> PAGEREF _Toc29289 \h </w:instrText>
      </w:r>
      <w:r>
        <w:fldChar w:fldCharType="separate"/>
      </w:r>
      <w:r>
        <w:t>12</w:t>
      </w:r>
      <w:r>
        <w:fldChar w:fldCharType="end"/>
      </w:r>
      <w:r>
        <w:fldChar w:fldCharType="end"/>
      </w:r>
    </w:p>
    <w:p w14:paraId="7F2AD5C9">
      <w:pPr>
        <w:outlineLvl w:val="0"/>
        <w:rPr>
          <w:rFonts w:ascii="宋体"/>
          <w:kern w:val="0"/>
        </w:rPr>
      </w:pPr>
      <w:r>
        <w:rPr>
          <w:rFonts w:ascii="宋体" w:hAnsi="宋体"/>
          <w:kern w:val="0"/>
          <w:sz w:val="24"/>
        </w:rPr>
        <w:fldChar w:fldCharType="end"/>
      </w:r>
    </w:p>
    <w:p w14:paraId="1CC234A3">
      <w:pPr>
        <w:pStyle w:val="24"/>
        <w:ind w:left="31680" w:firstLine="31680"/>
        <w:rPr>
          <w:rFonts w:ascii="宋体"/>
          <w:kern w:val="0"/>
          <w:sz w:val="24"/>
        </w:rPr>
      </w:pPr>
    </w:p>
    <w:p w14:paraId="7876BF69">
      <w:pPr>
        <w:pStyle w:val="17"/>
        <w:tabs>
          <w:tab w:val="clear" w:pos="4153"/>
          <w:tab w:val="clear" w:pos="8306"/>
        </w:tabs>
      </w:pPr>
    </w:p>
    <w:p w14:paraId="1F177E2C">
      <w:pPr>
        <w:spacing w:line="560" w:lineRule="exact"/>
        <w:ind w:firstLine="880" w:firstLineChars="200"/>
        <w:rPr>
          <w:rFonts w:ascii="方正小标宋简体" w:eastAsia="方正小标宋简体"/>
          <w:sz w:val="44"/>
          <w:szCs w:val="44"/>
        </w:rPr>
      </w:pPr>
    </w:p>
    <w:p w14:paraId="569D4D86">
      <w:pPr>
        <w:spacing w:line="560" w:lineRule="exact"/>
        <w:ind w:firstLine="880" w:firstLineChars="200"/>
        <w:rPr>
          <w:rFonts w:ascii="方正小标宋简体" w:eastAsia="方正小标宋简体"/>
          <w:sz w:val="44"/>
          <w:szCs w:val="44"/>
        </w:rPr>
      </w:pPr>
    </w:p>
    <w:p w14:paraId="2A755CAC">
      <w:pPr>
        <w:spacing w:line="560" w:lineRule="exact"/>
        <w:ind w:firstLine="880" w:firstLineChars="200"/>
        <w:rPr>
          <w:rFonts w:ascii="方正小标宋简体" w:eastAsia="方正小标宋简体"/>
          <w:sz w:val="44"/>
          <w:szCs w:val="44"/>
        </w:rPr>
      </w:pPr>
    </w:p>
    <w:p w14:paraId="6B8CBFD6">
      <w:pPr>
        <w:spacing w:line="560" w:lineRule="exact"/>
        <w:ind w:firstLine="880" w:firstLineChars="200"/>
        <w:rPr>
          <w:rFonts w:ascii="方正小标宋简体" w:eastAsia="方正小标宋简体"/>
          <w:sz w:val="44"/>
          <w:szCs w:val="44"/>
        </w:rPr>
      </w:pPr>
    </w:p>
    <w:p w14:paraId="711C713A">
      <w:pPr>
        <w:spacing w:line="560" w:lineRule="exact"/>
        <w:ind w:firstLine="880" w:firstLineChars="200"/>
        <w:rPr>
          <w:rFonts w:ascii="方正小标宋简体" w:eastAsia="方正小标宋简体"/>
          <w:sz w:val="44"/>
          <w:szCs w:val="44"/>
        </w:rPr>
        <w:sectPr>
          <w:footerReference r:id="rId8" w:type="default"/>
          <w:pgSz w:w="11906" w:h="16838"/>
          <w:pgMar w:top="1440" w:right="1800" w:bottom="1440" w:left="1800" w:header="851" w:footer="992" w:gutter="0"/>
          <w:pgNumType w:start="1"/>
          <w:cols w:space="720" w:num="1"/>
          <w:docGrid w:type="lines" w:linePitch="312" w:charSpace="0"/>
        </w:sectPr>
      </w:pPr>
    </w:p>
    <w:p w14:paraId="6B90AE58">
      <w:pPr>
        <w:spacing w:line="560" w:lineRule="exact"/>
        <w:jc w:val="center"/>
        <w:rPr>
          <w:rFonts w:ascii="方正小标宋简体" w:hAnsi="方正小标宋简体" w:eastAsia="方正小标宋简体"/>
          <w:bCs/>
          <w:sz w:val="44"/>
          <w:szCs w:val="44"/>
        </w:rPr>
      </w:pPr>
      <w:r>
        <w:rPr>
          <w:rFonts w:hint="eastAsia" w:ascii="方正小标宋简体" w:hAnsi="方正小标宋简体" w:eastAsia="方正小标宋简体"/>
          <w:bCs/>
          <w:color w:val="auto"/>
          <w:sz w:val="44"/>
          <w:szCs w:val="44"/>
          <w:lang w:val="en-US" w:eastAsia="zh-CN"/>
        </w:rPr>
        <w:t>青云谱区</w:t>
      </w:r>
      <w:r>
        <w:rPr>
          <w:rFonts w:hint="eastAsia" w:ascii="方正小标宋简体" w:hAnsi="方正小标宋简体" w:eastAsia="方正小标宋简体"/>
          <w:bCs/>
          <w:color w:val="auto"/>
          <w:sz w:val="44"/>
          <w:szCs w:val="44"/>
        </w:rPr>
        <w:t>青云谱</w:t>
      </w:r>
      <w:r>
        <w:rPr>
          <w:rFonts w:hint="eastAsia" w:ascii="方正小标宋简体" w:hAnsi="方正小标宋简体" w:eastAsia="方正小标宋简体"/>
          <w:bCs/>
          <w:color w:val="auto"/>
          <w:sz w:val="44"/>
          <w:szCs w:val="44"/>
          <w:lang w:eastAsia="zh-CN"/>
        </w:rPr>
        <w:t>镇</w:t>
      </w:r>
      <w:r>
        <w:rPr>
          <w:rFonts w:hint="eastAsia" w:ascii="方正小标宋简体" w:hAnsi="方正小标宋简体" w:eastAsia="方正小标宋简体"/>
          <w:bCs/>
          <w:sz w:val="44"/>
          <w:szCs w:val="44"/>
        </w:rPr>
        <w:t>“</w:t>
      </w:r>
      <w:r>
        <w:rPr>
          <w:rFonts w:ascii="方正小标宋简体" w:hAnsi="方正小标宋简体" w:eastAsia="方正小标宋简体"/>
          <w:bCs/>
          <w:sz w:val="44"/>
          <w:szCs w:val="44"/>
        </w:rPr>
        <w:t>7</w:t>
      </w:r>
      <w:r>
        <w:rPr>
          <w:rFonts w:hint="eastAsia" w:ascii="方正小标宋简体" w:hAnsi="方正小标宋简体" w:eastAsia="方正小标宋简体"/>
          <w:bCs/>
          <w:sz w:val="44"/>
          <w:szCs w:val="44"/>
        </w:rPr>
        <w:t>·</w:t>
      </w:r>
      <w:r>
        <w:rPr>
          <w:rFonts w:ascii="方正小标宋简体" w:hAnsi="方正小标宋简体" w:eastAsia="方正小标宋简体"/>
          <w:bCs/>
          <w:sz w:val="44"/>
          <w:szCs w:val="44"/>
        </w:rPr>
        <w:t>15</w:t>
      </w:r>
      <w:r>
        <w:rPr>
          <w:rFonts w:hint="eastAsia" w:ascii="方正小标宋简体" w:hAnsi="方正小标宋简体" w:eastAsia="方正小标宋简体"/>
          <w:bCs/>
          <w:sz w:val="44"/>
          <w:szCs w:val="44"/>
        </w:rPr>
        <w:t>”一般道路交通事故调查报告</w:t>
      </w:r>
    </w:p>
    <w:p w14:paraId="52FCADF3">
      <w:pPr>
        <w:spacing w:line="560" w:lineRule="exact"/>
        <w:ind w:firstLine="640" w:firstLineChars="200"/>
        <w:rPr>
          <w:rFonts w:ascii="仿宋_GB2312" w:hAnsi="Calibri" w:eastAsia="仿宋_GB2312"/>
          <w:color w:val="000000"/>
          <w:sz w:val="32"/>
          <w:szCs w:val="32"/>
        </w:rPr>
      </w:pPr>
    </w:p>
    <w:p w14:paraId="7DB8A8D6">
      <w:pPr>
        <w:spacing w:line="560" w:lineRule="exact"/>
        <w:ind w:firstLine="640" w:firstLineChars="200"/>
        <w:jc w:val="left"/>
        <w:rPr>
          <w:rFonts w:ascii="仿宋_GB2312" w:hAnsi="仿宋_GB2312" w:eastAsia="仿宋_GB2312"/>
          <w:sz w:val="32"/>
          <w:szCs w:val="32"/>
        </w:rPr>
      </w:pPr>
      <w:r>
        <w:rPr>
          <w:rFonts w:hint="eastAsia" w:ascii="仿宋_GB2312" w:hAnsi="宋体" w:eastAsia="仿宋_GB2312"/>
          <w:sz w:val="32"/>
          <w:szCs w:val="32"/>
          <w:lang w:eastAsia="zh-CN"/>
        </w:rPr>
        <w:t>2025年7月15日</w:t>
      </w:r>
      <w:r>
        <w:rPr>
          <w:rFonts w:ascii="仿宋_GB2312" w:hAnsi="宋体" w:eastAsia="仿宋_GB2312"/>
          <w:sz w:val="32"/>
          <w:szCs w:val="32"/>
        </w:rPr>
        <w:t>16</w:t>
      </w:r>
      <w:r>
        <w:rPr>
          <w:rFonts w:hint="eastAsia" w:ascii="仿宋_GB2312" w:hAnsi="宋体" w:eastAsia="仿宋_GB2312"/>
          <w:sz w:val="32"/>
          <w:szCs w:val="32"/>
        </w:rPr>
        <w:t>时</w:t>
      </w:r>
      <w:r>
        <w:rPr>
          <w:rFonts w:ascii="仿宋_GB2312" w:hAnsi="宋体" w:eastAsia="仿宋_GB2312"/>
          <w:sz w:val="32"/>
          <w:szCs w:val="32"/>
        </w:rPr>
        <w:t>10</w:t>
      </w:r>
      <w:r>
        <w:rPr>
          <w:rFonts w:hint="eastAsia" w:ascii="仿宋_GB2312" w:hAnsi="宋体" w:eastAsia="仿宋_GB2312"/>
          <w:sz w:val="32"/>
          <w:szCs w:val="32"/>
        </w:rPr>
        <w:t>分许</w:t>
      </w:r>
      <w:r>
        <w:rPr>
          <w:rFonts w:hint="eastAsia" w:ascii="仿宋_GB2312" w:hAnsi="仿宋_GB2312" w:eastAsia="仿宋_GB2312"/>
          <w:sz w:val="32"/>
          <w:szCs w:val="32"/>
        </w:rPr>
        <w:t>，在青云谱区青云谱镇广州路青云谱区市民中心路段，发生一起小型轿车与一辆两轮</w:t>
      </w:r>
      <w:r>
        <w:rPr>
          <w:rFonts w:hint="eastAsia" w:ascii="仿宋_GB2312" w:hAnsi="仿宋_GB2312" w:eastAsia="仿宋_GB2312"/>
          <w:sz w:val="32"/>
          <w:szCs w:val="32"/>
          <w:lang w:eastAsia="zh-CN"/>
        </w:rPr>
        <w:t>电动</w:t>
      </w:r>
      <w:r>
        <w:rPr>
          <w:rFonts w:hint="eastAsia" w:ascii="仿宋_GB2312" w:hAnsi="仿宋_GB2312" w:eastAsia="仿宋_GB2312"/>
          <w:sz w:val="32"/>
          <w:szCs w:val="32"/>
        </w:rPr>
        <w:t>自行车相撞，造成一人死亡，一人受伤的一般道路交通事故，直接经济损失约</w:t>
      </w:r>
      <w:r>
        <w:rPr>
          <w:rFonts w:ascii="仿宋_GB2312" w:hAnsi="仿宋_GB2312" w:eastAsia="仿宋_GB2312"/>
          <w:sz w:val="32"/>
          <w:szCs w:val="32"/>
        </w:rPr>
        <w:t>38</w:t>
      </w:r>
      <w:r>
        <w:rPr>
          <w:rFonts w:hint="eastAsia" w:ascii="仿宋_GB2312" w:hAnsi="仿宋_GB2312" w:eastAsia="仿宋_GB2312"/>
          <w:sz w:val="32"/>
          <w:szCs w:val="32"/>
        </w:rPr>
        <w:t>万元。</w:t>
      </w:r>
      <w:r>
        <w:rPr>
          <w:rFonts w:hint="eastAsia" w:ascii="仿宋_GB2312" w:hAnsi="仿宋_GB2312" w:eastAsia="仿宋_GB2312"/>
          <w:color w:val="000000"/>
          <w:sz w:val="32"/>
          <w:szCs w:val="32"/>
        </w:rPr>
        <w:t>事故发生后，区委、区政府领导高度重视，要求尽快查明事故原因，做好善后工作，提出防范措施。</w:t>
      </w:r>
    </w:p>
    <w:p w14:paraId="57AC9F2B">
      <w:pPr>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依据《中华人民共和国安全生产法</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中华人民共和国道路交通安全法</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生产安全事故报告和调查处理条例》（国务院令第</w:t>
      </w:r>
      <w:r>
        <w:rPr>
          <w:rFonts w:ascii="仿宋_GB2312" w:hAnsi="仿宋_GB2312" w:eastAsia="仿宋_GB2312"/>
          <w:sz w:val="32"/>
          <w:szCs w:val="32"/>
        </w:rPr>
        <w:t>493</w:t>
      </w:r>
      <w:r>
        <w:rPr>
          <w:rFonts w:hint="eastAsia" w:ascii="仿宋_GB2312" w:hAnsi="仿宋_GB2312" w:eastAsia="仿宋_GB2312"/>
          <w:sz w:val="32"/>
          <w:szCs w:val="32"/>
        </w:rPr>
        <w:t>号）、《江西省安全生产条例》等法律法规</w:t>
      </w:r>
      <w:r>
        <w:rPr>
          <w:rFonts w:hint="eastAsia" w:ascii="仿宋_GB2312" w:hAnsi="仿宋_GB2312" w:eastAsia="仿宋_GB2312"/>
          <w:color w:val="000000"/>
          <w:sz w:val="32"/>
          <w:szCs w:val="32"/>
        </w:rPr>
        <w:t>，经青云谱区人民政府同意，成立</w:t>
      </w:r>
      <w:r>
        <w:rPr>
          <w:rFonts w:hint="eastAsia" w:ascii="仿宋_GB2312" w:hAnsi="仿宋_GB2312" w:eastAsia="仿宋_GB2312"/>
          <w:color w:val="auto"/>
          <w:sz w:val="32"/>
          <w:szCs w:val="32"/>
        </w:rPr>
        <w:t>青云谱</w:t>
      </w:r>
      <w:r>
        <w:rPr>
          <w:rFonts w:hint="eastAsia" w:ascii="仿宋_GB2312" w:hAnsi="仿宋_GB2312" w:eastAsia="仿宋_GB2312"/>
          <w:color w:val="auto"/>
          <w:sz w:val="32"/>
          <w:szCs w:val="32"/>
          <w:lang w:eastAsia="zh-CN"/>
        </w:rPr>
        <w:t>镇</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7</w:t>
      </w:r>
      <w:r>
        <w:rPr>
          <w:rFonts w:hint="eastAsia" w:ascii="仿宋_GB2312" w:hAnsi="仿宋_GB2312" w:eastAsia="仿宋_GB2312"/>
          <w:color w:val="000000"/>
          <w:sz w:val="32"/>
          <w:szCs w:val="32"/>
        </w:rPr>
        <w:t>·</w:t>
      </w:r>
      <w:r>
        <w:rPr>
          <w:rFonts w:ascii="仿宋_GB2312" w:hAnsi="仿宋_GB2312" w:eastAsia="仿宋_GB2312"/>
          <w:color w:val="000000"/>
          <w:sz w:val="32"/>
          <w:szCs w:val="32"/>
        </w:rPr>
        <w:t>15</w:t>
      </w:r>
      <w:r>
        <w:rPr>
          <w:rFonts w:hint="eastAsia" w:ascii="仿宋_GB2312" w:hAnsi="仿宋_GB2312" w:eastAsia="仿宋_GB2312"/>
          <w:color w:val="000000"/>
          <w:sz w:val="32"/>
          <w:szCs w:val="32"/>
        </w:rPr>
        <w:t>”一般道路交通事故调查组（以下简称事故调查组），负责该起事故的调查处理。事故调查组由青云谱交警大队牵头，青云谱镇、区住建局、区交通执法大队、区公安分局、区应急局、区总工会等部门相关人员组成，对事故进行全面调查。</w:t>
      </w:r>
      <w:r>
        <w:rPr>
          <w:rFonts w:hint="eastAsia" w:ascii="仿宋_GB2312" w:hAnsi="仿宋_GB2312" w:eastAsia="仿宋_GB2312"/>
          <w:kern w:val="0"/>
          <w:sz w:val="32"/>
          <w:szCs w:val="32"/>
        </w:rPr>
        <w:t>事故调查组按照“四不放过”和“科学严谨、依法依规、实事求是、注重实效”原则，通过现场勘查、调阅资料、询问谈话、座谈交流等方式，查清了事故发生经过、原因、人员伤亡、直接经济损失和有关企业情况，查明了相关部门和单位履职情况、存在问题和责任，总结了事故主要教训，认定了事故性质和责任，提出了对有关责任单位和责任人员的处理建议，提出了整改和防范措施建议。</w:t>
      </w:r>
    </w:p>
    <w:p w14:paraId="5BD7F327">
      <w:pPr>
        <w:spacing w:line="560" w:lineRule="exact"/>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经事故调查组调查认定，</w:t>
      </w:r>
      <w:r>
        <w:rPr>
          <w:rFonts w:hint="eastAsia" w:ascii="仿宋_GB2312" w:hAnsi="仿宋_GB2312" w:eastAsia="仿宋_GB2312"/>
          <w:color w:val="auto"/>
          <w:sz w:val="32"/>
          <w:szCs w:val="32"/>
        </w:rPr>
        <w:t>青云谱镇</w:t>
      </w:r>
      <w:r>
        <w:rPr>
          <w:rFonts w:hint="eastAsia" w:ascii="仿宋_GB2312" w:hAnsi="仿宋_GB2312" w:eastAsia="仿宋_GB2312"/>
          <w:sz w:val="32"/>
          <w:szCs w:val="32"/>
        </w:rPr>
        <w:t>“7·15”一般道路交通事故是一起因非机动车驾驶员驾驶非机动车不按规定载人逆向超速行驶及小车驾驶员驾驶机动车逆行未注意观察确保安全引发的生产经营性一般道路交通安全生产责任事故。</w:t>
      </w:r>
    </w:p>
    <w:p w14:paraId="757A19C9">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1"/>
        <w:rPr>
          <w:rFonts w:hint="eastAsia" w:ascii="黑体" w:hAnsi="黑体" w:eastAsia="黑体" w:cs="仿宋_GB2312"/>
          <w:b w:val="0"/>
          <w:bCs w:val="0"/>
          <w:sz w:val="32"/>
          <w:szCs w:val="32"/>
        </w:rPr>
      </w:pPr>
      <w:bookmarkStart w:id="0" w:name="_Toc23307"/>
      <w:r>
        <w:rPr>
          <w:rFonts w:hint="eastAsia" w:ascii="黑体" w:hAnsi="黑体" w:eastAsia="黑体" w:cs="仿宋_GB2312"/>
          <w:b w:val="0"/>
          <w:bCs w:val="0"/>
          <w:sz w:val="32"/>
          <w:szCs w:val="32"/>
        </w:rPr>
        <w:t>一、事故基本情况</w:t>
      </w:r>
    </w:p>
    <w:bookmarkEnd w:id="0"/>
    <w:p w14:paraId="0B9BF04E">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仿宋_GB2312" w:hAnsi="仿宋_GB2312" w:eastAsia="仿宋_GB2312" w:cs="Times New Roman"/>
          <w:b/>
          <w:bCs/>
          <w:kern w:val="0"/>
          <w:sz w:val="32"/>
          <w:szCs w:val="32"/>
          <w:lang w:val="en-US" w:eastAsia="zh-CN" w:bidi="ar-SA"/>
        </w:rPr>
      </w:pPr>
      <w:r>
        <w:rPr>
          <w:rFonts w:hint="eastAsia" w:ascii="楷体_GB2312" w:hAnsi="仿宋_GB2312" w:eastAsia="楷体_GB2312" w:cs="仿宋_GB2312"/>
          <w:b/>
          <w:sz w:val="32"/>
          <w:szCs w:val="32"/>
        </w:rPr>
        <w:t>（一）事故发生经过</w:t>
      </w:r>
    </w:p>
    <w:p w14:paraId="7A22E808">
      <w:pPr>
        <w:ind w:firstLine="640" w:firstLineChars="200"/>
        <w:rPr>
          <w:rFonts w:hint="eastAsia" w:ascii="Times New Roman" w:hAnsi="Times New Roman" w:eastAsia="仿宋_GB2312" w:cs="Times New Roman"/>
          <w:sz w:val="32"/>
          <w:szCs w:val="32"/>
          <w:lang w:val="en-US" w:eastAsia="zh-CN"/>
        </w:rPr>
      </w:pPr>
      <w:bookmarkStart w:id="1" w:name="_Toc30896"/>
      <w:bookmarkStart w:id="2" w:name="_Toc13669"/>
      <w:r>
        <w:rPr>
          <w:rFonts w:hint="eastAsia" w:ascii="Times New Roman" w:hAnsi="Times New Roman" w:eastAsia="仿宋_GB2312" w:cs="Times New Roman"/>
          <w:sz w:val="32"/>
          <w:szCs w:val="32"/>
          <w:lang w:val="en-US" w:eastAsia="zh-CN"/>
        </w:rPr>
        <w:t>2025年7月15日16时10分许，徐文轩驾驶赣AR7X588“爱玛”牌两轮电动车搭载乘客刘腊云在广州路青云谱区行政服务中心路段西向东方向非机动车道由东向西逆行，遇阙海秀驾驶赣ADW6681比亚迪牌小型轿车在青云谱区广州路青云谱区行政服务中心路段由南向东右转弯逆向行驶进入广州路时，阙海秀因道路右侧旁边停放的赣A7FB56小型轿车影响视线驾车未发现赣AR7X588“爱玛”牌两轮电动车，致赣ADW6681比亚迪牌小型轿车行驶中车头左前部碰撞赣AR7X588“爱玛”牌两轮电动车左侧车体，双方发生交通事故，赣AR7X588“爱玛”牌两轮电动车驾驶员及乘客倒地受伤。刘腊云被送至解放军九〇八医院抢救，于2025年7月22日6时30分许抢救无效死亡。</w:t>
      </w:r>
    </w:p>
    <w:bookmarkEnd w:id="1"/>
    <w:bookmarkEnd w:id="2"/>
    <w:p w14:paraId="4655B04F">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3" w:name="_Toc23443"/>
      <w:bookmarkStart w:id="4" w:name="_Toc22263"/>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二</w:t>
      </w:r>
      <w:r>
        <w:rPr>
          <w:rFonts w:hint="eastAsia" w:ascii="楷体_GB2312" w:hAnsi="仿宋_GB2312" w:eastAsia="楷体_GB2312" w:cs="仿宋_GB2312"/>
          <w:b/>
          <w:sz w:val="32"/>
          <w:szCs w:val="32"/>
        </w:rPr>
        <w:t>）事故车辆基本情况</w:t>
      </w:r>
      <w:bookmarkEnd w:id="3"/>
      <w:bookmarkEnd w:id="4"/>
    </w:p>
    <w:p w14:paraId="3BC49615">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赣ADW6681比亚迪牌小型轿车，所有人：聂永生，车辆类型：小型轿车，地址：江西省南昌市进贤县民和镇西门路58号3栋1单元401室，车辆使用性质为出租客运，品牌型号：比亚迪牌BYD7008BEVB1，车辆识别代码：LC0CE6DBXR4169872，发动机号码：2T4005869，注册日期2024年5月21日，检验有效期止：2026年5月，道路运输证：赣交运管洪字360100081625号，经营许可证号：360100700193，车辆类型：小型轿车，经营范围：巡游出租汽车客运，车辆外廓尺寸：4765*1837*1515mm，发证日期：2024年5月22日，有效期至2029年5月21日，发证单位：南昌市交通运输局，该车辆在中国人民财产保险股份有限公司投保强制保险及商业保险，机动车交通事故责任强制保险单号：PDZA202536</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697。该车自注册登记至事故发生前有8条违法记录均已处理。</w:t>
      </w:r>
    </w:p>
    <w:p w14:paraId="309EB402">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赣A7FB56福特牌小型轿车，所有人：邓南，车辆类型：小型轿车，地址：江西省南昌市南昌县幽兰镇园艺场邓家自然村53号。使用性质：非营运，品牌型号：福特牌CAF7200A42，车辆识别代码：LVSHFFAC4DF623804，发动机号码：DA05533，注册日期：2014年1月15日，检验有效期至2026年1月，外廓尺寸：4860*1854*1480mm, 该车辆在中国人民财产保险股份有限公司投保强制保险及商业保险，机动车交通事故责任强制保险单号：PDZA202536</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113。该车自注册登记至事故发生前有29条违法记录均已处理。</w:t>
      </w:r>
    </w:p>
    <w:p w14:paraId="32BD4868">
      <w:pPr>
        <w:ind w:firstLine="640" w:firstLineChars="200"/>
        <w:rPr>
          <w:rFonts w:hint="eastAsia" w:ascii="Times New Roman" w:hAnsi="Times New Roman" w:eastAsia="仿宋_GB2312" w:cs="Times New Roman"/>
          <w:sz w:val="32"/>
          <w:szCs w:val="32"/>
          <w:lang w:val="en-US" w:eastAsia="zh-CN"/>
        </w:rPr>
      </w:pPr>
      <w:bookmarkStart w:id="5" w:name="_Toc30775"/>
      <w:bookmarkStart w:id="6" w:name="_Toc23843"/>
      <w:bookmarkStart w:id="7" w:name="_Toc15634"/>
      <w:bookmarkStart w:id="8" w:name="_Toc19661"/>
      <w:r>
        <w:rPr>
          <w:rFonts w:hint="eastAsia" w:ascii="Times New Roman" w:hAnsi="Times New Roman" w:eastAsia="仿宋_GB2312" w:cs="Times New Roman"/>
          <w:sz w:val="32"/>
          <w:szCs w:val="32"/>
          <w:lang w:val="en-US" w:eastAsia="zh-CN"/>
        </w:rPr>
        <w:t>3.赣AR7X588电动自行车，所有人：徐金福，地址：江西省南昌市南昌县蒋巷镇玉丰村严家自然村13号，车辆品牌型号：爱玛TDR8103-1Z，车辆识别代码：</w:t>
      </w:r>
      <w:bookmarkStart w:id="49" w:name="_GoBack"/>
      <w:r>
        <w:rPr>
          <w:rFonts w:hint="eastAsia" w:ascii="Times New Roman" w:hAnsi="Times New Roman" w:eastAsia="仿宋_GB2312" w:cs="Times New Roman"/>
          <w:sz w:val="32"/>
          <w:szCs w:val="32"/>
          <w:lang w:val="en-US" w:eastAsia="zh-CN"/>
        </w:rPr>
        <w:t>378922</w:t>
      </w:r>
      <w:bookmarkEnd w:id="49"/>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331。该车由徐金福2024年9月19日在洪城路南昌市青云谱区文氏电动车行购买所得，于2024年10月8日在洪城路邮政上牌点上牌登记。</w:t>
      </w:r>
    </w:p>
    <w:p w14:paraId="3FC69D8B">
      <w:pPr>
        <w:ind w:firstLine="643" w:firstLineChars="200"/>
        <w:rPr>
          <w:rFonts w:hint="eastAsia" w:ascii="Times New Roman" w:hAnsi="Times New Roman" w:eastAsia="仿宋_GB2312" w:cs="Times New Roman"/>
          <w:sz w:val="32"/>
          <w:szCs w:val="32"/>
          <w:lang w:val="en-US" w:eastAsia="zh-CN"/>
        </w:rPr>
      </w:pPr>
      <w:r>
        <w:rPr>
          <w:rFonts w:hint="eastAsia" w:ascii="楷体" w:hAnsi="楷体" w:eastAsia="楷体" w:cs="仿宋"/>
          <w:b/>
          <w:bCs/>
          <w:sz w:val="32"/>
          <w:szCs w:val="32"/>
          <w:lang w:eastAsia="zh-CN"/>
        </w:rPr>
        <w:t>电动车溯源：</w:t>
      </w:r>
      <w:r>
        <w:rPr>
          <w:rFonts w:hint="eastAsia" w:ascii="Times New Roman" w:hAnsi="Times New Roman" w:eastAsia="仿宋_GB2312" w:cs="Times New Roman"/>
          <w:sz w:val="32"/>
          <w:szCs w:val="32"/>
          <w:lang w:val="en-US" w:eastAsia="zh-CN"/>
        </w:rPr>
        <w:t>（1）查外卖骑手身份信息</w:t>
      </w:r>
      <w:r>
        <w:rPr>
          <w:rFonts w:hint="eastAsia" w:eastAsia="仿宋_GB2312" w:cs="Times New Roman"/>
          <w:sz w:val="32"/>
          <w:szCs w:val="32"/>
          <w:lang w:val="en-US" w:eastAsia="zh-CN"/>
        </w:rPr>
        <w:t>等</w:t>
      </w:r>
      <w:r>
        <w:rPr>
          <w:rFonts w:hint="eastAsia" w:ascii="Times New Roman" w:hAnsi="Times New Roman" w:eastAsia="仿宋_GB2312" w:cs="Times New Roman"/>
          <w:sz w:val="32"/>
          <w:szCs w:val="32"/>
          <w:lang w:val="en-US" w:eastAsia="zh-CN"/>
        </w:rPr>
        <w:t>：经调查，赣AR7X588电动车驾驶人徐文轩不是外卖骑手，车辆不属于外卖车辆。（2）查两轮电动车来源：经调查，赣AR7X588电动车由车主徐金福2024年9月19日在洪城路南昌市青云谱区文氏电动车行购买所得。（3）查两轮电动车手续：经调查，赣AR7X588电动车该车于2024年10月8日在洪城路邮政上牌点上牌登记。（4）查两轮电动车安全性能：经调查，该车上牌登记时鞍座及电池电压符合国家标准，上牌登记后电动车加装鞍座及电池。</w:t>
      </w:r>
    </w:p>
    <w:p w14:paraId="13E842A4">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三</w:t>
      </w:r>
      <w:r>
        <w:rPr>
          <w:rFonts w:hint="eastAsia" w:ascii="楷体_GB2312" w:hAnsi="仿宋_GB2312" w:eastAsia="楷体_GB2312" w:cs="仿宋_GB2312"/>
          <w:b/>
          <w:sz w:val="32"/>
          <w:szCs w:val="32"/>
        </w:rPr>
        <w:t>）驾驶人基本情况</w:t>
      </w:r>
      <w:bookmarkEnd w:id="5"/>
      <w:bookmarkEnd w:id="6"/>
      <w:bookmarkEnd w:id="7"/>
      <w:bookmarkEnd w:id="8"/>
    </w:p>
    <w:p w14:paraId="3E4897BA">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1.阙海秀：女，汉族，1981年1月2日出生，驾驶证地址：江西省南昌市进贤县民和镇西门路58号3栋1单元401室，</w:t>
      </w:r>
      <w:r>
        <w:rPr>
          <w:rFonts w:hint="eastAsia" w:eastAsia="仿宋_GB2312" w:cs="Times New Roman"/>
          <w:sz w:val="32"/>
          <w:szCs w:val="32"/>
          <w:lang w:val="en-US" w:eastAsia="zh-CN"/>
        </w:rPr>
        <w:t>驾驶</w:t>
      </w:r>
      <w:r>
        <w:rPr>
          <w:rFonts w:hint="eastAsia" w:ascii="Times New Roman" w:hAnsi="Times New Roman" w:eastAsia="仿宋_GB2312" w:cs="Times New Roman"/>
          <w:sz w:val="32"/>
          <w:szCs w:val="32"/>
          <w:lang w:val="en-US" w:eastAsia="zh-CN"/>
        </w:rPr>
        <w:t>证号：360124</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029，档案编号：360101123689，准驾车型：C1，初次领证日期：2006年9月29日，驾驶证有效期2022年9月29日至长期，事故发生时系赣ADW6681比亚迪牌小型轿车驾驶员。巡游出租汽车驾驶员证注册登记：54064，有效起始日期2018年4月24日，发证机关：南昌市城市客运管理处。</w:t>
      </w:r>
    </w:p>
    <w:p w14:paraId="11511813">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2.邓南：男，汉族，1985年4月8日出生，驾驶证地址：江西省南昌市南昌县幽兰镇园艺场邓家自然村53号，</w:t>
      </w:r>
      <w:r>
        <w:rPr>
          <w:rFonts w:hint="eastAsia" w:eastAsia="仿宋_GB2312" w:cs="Times New Roman"/>
          <w:sz w:val="32"/>
          <w:szCs w:val="32"/>
          <w:lang w:val="en-US" w:eastAsia="zh-CN"/>
        </w:rPr>
        <w:t>驾驶</w:t>
      </w:r>
      <w:r>
        <w:rPr>
          <w:rFonts w:hint="eastAsia" w:ascii="Times New Roman" w:hAnsi="Times New Roman" w:eastAsia="仿宋_GB2312" w:cs="Times New Roman"/>
          <w:sz w:val="32"/>
          <w:szCs w:val="32"/>
          <w:lang w:val="en-US" w:eastAsia="zh-CN"/>
        </w:rPr>
        <w:t>证号：360121</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654，档案编号：360104346182，准驾车型C1，初次领证日期2020年7月29日，驾驶证有效期限2020年7月29日至2026年7月29日，事故发生时系赣A7FB56小型轿车驾驶员。</w:t>
      </w:r>
    </w:p>
    <w:p w14:paraId="4184A160">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3.徐文轩：女，汉族，2004年11月20日出生，身份证地址：江西省南昌市南昌县蒋巷镇玉丰严家自然村13号，身份证</w:t>
      </w:r>
      <w:r>
        <w:rPr>
          <w:rFonts w:hint="eastAsia" w:eastAsia="仿宋_GB2312" w:cs="Times New Roman"/>
          <w:sz w:val="32"/>
          <w:szCs w:val="32"/>
          <w:lang w:val="en-US" w:eastAsia="zh-CN"/>
        </w:rPr>
        <w:t>号：360121*********989 ，</w:t>
      </w:r>
      <w:r>
        <w:rPr>
          <w:rFonts w:hint="eastAsia" w:ascii="Times New Roman" w:hAnsi="Times New Roman" w:eastAsia="仿宋_GB2312" w:cs="Times New Roman"/>
          <w:sz w:val="32"/>
          <w:szCs w:val="32"/>
          <w:lang w:val="en-US" w:eastAsia="zh-CN"/>
        </w:rPr>
        <w:t>事故发生时系赣AR7X588电动自行车驾驶员。</w:t>
      </w:r>
    </w:p>
    <w:p w14:paraId="3ABEF1FF">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9" w:name="_Toc2236"/>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四</w:t>
      </w:r>
      <w:r>
        <w:rPr>
          <w:rFonts w:hint="eastAsia" w:ascii="楷体_GB2312" w:hAnsi="仿宋_GB2312" w:eastAsia="楷体_GB2312" w:cs="仿宋_GB2312"/>
          <w:b/>
          <w:sz w:val="32"/>
          <w:szCs w:val="32"/>
        </w:rPr>
        <w:t>）事故道路、交通环境和天气情况</w:t>
      </w:r>
      <w:bookmarkEnd w:id="9"/>
    </w:p>
    <w:p w14:paraId="25B1D202">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1.事故现场位于南昌市青云谱区广州路青云谱区市民中心路段，该道路为东西走向，道路中心有护栏隔离，机</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非</w:t>
      </w:r>
      <w:r>
        <w:rPr>
          <w:rFonts w:hint="eastAsia" w:eastAsia="仿宋_GB2312" w:cs="Times New Roman"/>
          <w:sz w:val="32"/>
          <w:szCs w:val="32"/>
          <w:lang w:val="en-US" w:eastAsia="zh-CN"/>
        </w:rPr>
        <w:t>车道</w:t>
      </w:r>
      <w:r>
        <w:rPr>
          <w:rFonts w:hint="eastAsia" w:ascii="Times New Roman" w:hAnsi="Times New Roman" w:eastAsia="仿宋_GB2312" w:cs="Times New Roman"/>
          <w:sz w:val="32"/>
          <w:szCs w:val="32"/>
          <w:lang w:val="en-US" w:eastAsia="zh-CN"/>
        </w:rPr>
        <w:t>有花圃隔离，有交通标志标线控制，沥青路面。天气：晴天。道路交通事故现场图如下：</w:t>
      </w:r>
    </w:p>
    <w:p w14:paraId="140FF007">
      <w:pPr>
        <w:contextualSpacing/>
        <w:rPr>
          <w:rFonts w:ascii="仿宋_GB2312" w:hAnsi="仿宋_GB2312" w:eastAsia="仿宋_GB2312"/>
          <w:sz w:val="32"/>
          <w:szCs w:val="32"/>
        </w:rPr>
      </w:pPr>
      <w:r>
        <w:rPr>
          <w:rFonts w:ascii="仿宋_GB2312" w:hAnsi="仿宋_GB2312" w:eastAsia="仿宋_GB2312"/>
          <w:sz w:val="32"/>
          <w:szCs w:val="32"/>
        </w:rPr>
        <w:drawing>
          <wp:inline distT="0" distB="0" distL="114300" distR="114300">
            <wp:extent cx="3963035" cy="5419725"/>
            <wp:effectExtent l="0" t="0" r="952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rot="16200000">
                      <a:off x="0" y="0"/>
                      <a:ext cx="3963035" cy="5419725"/>
                    </a:xfrm>
                    <a:prstGeom prst="rect">
                      <a:avLst/>
                    </a:prstGeom>
                    <a:noFill/>
                    <a:ln>
                      <a:noFill/>
                    </a:ln>
                  </pic:spPr>
                </pic:pic>
              </a:graphicData>
            </a:graphic>
          </wp:inline>
        </w:drawing>
      </w:r>
    </w:p>
    <w:p w14:paraId="68D3899A">
      <w:pPr>
        <w:spacing w:line="560" w:lineRule="exact"/>
        <w:ind w:firstLine="640" w:firstLineChars="200"/>
        <w:contextualSpacing/>
        <w:rPr>
          <w:rFonts w:ascii="仿宋_GB2312" w:hAnsi="仿宋_GB2312" w:eastAsia="仿宋_GB2312"/>
          <w:sz w:val="32"/>
          <w:szCs w:val="32"/>
        </w:rPr>
      </w:pPr>
    </w:p>
    <w:p w14:paraId="12B2B7C0">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2.事故发生时天气为晴，气温35～38℃，地表干燥，事发时间为下午4点10分。</w:t>
      </w:r>
    </w:p>
    <w:p w14:paraId="12BA39B9">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10" w:name="_Toc19579"/>
      <w:bookmarkStart w:id="11" w:name="_Toc15933"/>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五</w:t>
      </w:r>
      <w:r>
        <w:rPr>
          <w:rFonts w:hint="eastAsia" w:ascii="楷体_GB2312" w:hAnsi="仿宋_GB2312" w:eastAsia="楷体_GB2312" w:cs="仿宋_GB2312"/>
          <w:b/>
          <w:sz w:val="32"/>
          <w:szCs w:val="32"/>
        </w:rPr>
        <w:t>）人员伤亡情况和直接经济损失</w:t>
      </w:r>
      <w:bookmarkEnd w:id="10"/>
      <w:bookmarkEnd w:id="11"/>
    </w:p>
    <w:p w14:paraId="60D92839">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1.人员伤亡情况：造成1人死亡1人受伤，死者刘腊云，女，出生日期：1950年8月13日，汉族，住址：南昌县蒋巷镇玉丰村严家自然村13号，身份证号码：360121</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921，伤害情况：2025年7月22日死亡；伤者徐文轩，女，出生日期：2004年11月20日，汉族，住址：南昌县蒋巷镇玉丰村严家自然村13号，身份证号码：360121</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989，伤害情况：受伤。</w:t>
      </w:r>
    </w:p>
    <w:p w14:paraId="3808ECF3">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2.直接经济损失情况：本起事故共造成直接经济损失约38万元人民币。</w:t>
      </w:r>
    </w:p>
    <w:p w14:paraId="37C5B580">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仿宋_GB2312"/>
          <w:b w:val="0"/>
          <w:bCs w:val="0"/>
          <w:sz w:val="32"/>
          <w:szCs w:val="32"/>
        </w:rPr>
      </w:pPr>
      <w:bookmarkStart w:id="12" w:name="_Toc22891"/>
      <w:r>
        <w:rPr>
          <w:rFonts w:hint="eastAsia" w:ascii="黑体" w:hAnsi="黑体" w:eastAsia="黑体" w:cs="仿宋_GB2312"/>
          <w:b w:val="0"/>
          <w:bCs w:val="0"/>
          <w:sz w:val="32"/>
          <w:szCs w:val="32"/>
        </w:rPr>
        <w:t>二、 事故应急处置及评估情况</w:t>
      </w:r>
      <w:bookmarkEnd w:id="12"/>
    </w:p>
    <w:p w14:paraId="4EF1A65B">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13" w:name="_Toc1341"/>
      <w:bookmarkStart w:id="14" w:name="_Toc12371"/>
      <w:r>
        <w:rPr>
          <w:rFonts w:hint="eastAsia" w:ascii="楷体_GB2312" w:hAnsi="仿宋_GB2312" w:eastAsia="楷体_GB2312" w:cs="仿宋_GB2312"/>
          <w:b/>
          <w:sz w:val="32"/>
          <w:szCs w:val="32"/>
        </w:rPr>
        <w:t>（一）应急处置情况</w:t>
      </w:r>
      <w:bookmarkEnd w:id="13"/>
      <w:bookmarkEnd w:id="14"/>
    </w:p>
    <w:p w14:paraId="4FD9FA11">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事故发生后，青云谱交警大队事故中队民警刘恩海、徐致远接到报警立即赶赴现场了解情况并及时处置，并立即向指挥中心及交警大队主要领导报告，伤者徐文轩、刘腊云2人由120送往解放军九〇八医院救治，后青云谱交警大队事故中队民警刘恩海、徐致远对徐文轩、阙海秀进行相关的酒毒检测，结果均属正常。事故现场勘查工作于7月15日16时30分许开始，并向区直有关部门报告，17时10分许勘查结束，区应急管理局于17时许向市应急指挥中心报告，17时10分许事故现场清理完毕，道路陆续恢复正常通行。</w:t>
      </w:r>
    </w:p>
    <w:p w14:paraId="0E71819C">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15" w:name="_Toc14435"/>
      <w:bookmarkStart w:id="16" w:name="_Toc2258"/>
      <w:r>
        <w:rPr>
          <w:rFonts w:hint="eastAsia" w:ascii="楷体_GB2312" w:hAnsi="仿宋_GB2312" w:eastAsia="楷体_GB2312" w:cs="仿宋_GB2312"/>
          <w:b/>
          <w:sz w:val="32"/>
          <w:szCs w:val="32"/>
        </w:rPr>
        <w:t>（二）事故善后情况</w:t>
      </w:r>
      <w:bookmarkEnd w:id="15"/>
      <w:bookmarkEnd w:id="16"/>
    </w:p>
    <w:p w14:paraId="213CB562">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在青云谱区人民政府、区直有关部门的共同努力下，事故善后工作正在有条不紊地开展。同时，保险公司正在与伤者及死者家属协商赔偿事宜。本次事故未发生群体性上访事件，当地社会秩序稳定。</w:t>
      </w:r>
    </w:p>
    <w:p w14:paraId="1DE7F796">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17" w:name="_Toc11571"/>
      <w:bookmarkStart w:id="18" w:name="_Toc12045"/>
      <w:r>
        <w:rPr>
          <w:rFonts w:hint="eastAsia" w:ascii="楷体_GB2312" w:hAnsi="仿宋_GB2312" w:eastAsia="楷体_GB2312" w:cs="仿宋_GB2312"/>
          <w:b/>
          <w:sz w:val="32"/>
          <w:szCs w:val="32"/>
        </w:rPr>
        <w:t>（三）事故应急处置评估意见</w:t>
      </w:r>
      <w:bookmarkEnd w:id="17"/>
      <w:bookmarkEnd w:id="18"/>
    </w:p>
    <w:p w14:paraId="205D7096">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经评估，事故发生后，交警与应急部门事故救援先期响应迅速、现场处置得当、救援行动开展有序、事故应急处置到位，未发生次生事故，符合相关法律法规及事故处理工作规范的要求。</w:t>
      </w:r>
    </w:p>
    <w:p w14:paraId="71246891">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仿宋_GB2312"/>
          <w:b w:val="0"/>
          <w:bCs w:val="0"/>
          <w:sz w:val="32"/>
          <w:szCs w:val="32"/>
        </w:rPr>
      </w:pPr>
      <w:bookmarkStart w:id="19" w:name="_Toc20873"/>
      <w:bookmarkStart w:id="20" w:name="_Toc9182"/>
      <w:bookmarkStart w:id="21" w:name="_Toc15599"/>
      <w:bookmarkStart w:id="22" w:name="_Toc16110"/>
      <w:bookmarkStart w:id="23" w:name="_Toc18597"/>
      <w:r>
        <w:rPr>
          <w:rFonts w:hint="eastAsia" w:ascii="黑体" w:hAnsi="黑体" w:eastAsia="黑体" w:cs="仿宋_GB2312"/>
          <w:b w:val="0"/>
          <w:bCs w:val="0"/>
          <w:sz w:val="32"/>
          <w:szCs w:val="32"/>
        </w:rPr>
        <w:t>三、事故原因</w:t>
      </w:r>
      <w:bookmarkEnd w:id="19"/>
      <w:bookmarkEnd w:id="20"/>
      <w:bookmarkEnd w:id="21"/>
      <w:r>
        <w:rPr>
          <w:rFonts w:hint="eastAsia" w:ascii="黑体" w:hAnsi="黑体" w:eastAsia="黑体" w:cs="仿宋_GB2312"/>
          <w:b w:val="0"/>
          <w:bCs w:val="0"/>
          <w:sz w:val="32"/>
          <w:szCs w:val="32"/>
        </w:rPr>
        <w:t>分析</w:t>
      </w:r>
      <w:bookmarkEnd w:id="22"/>
      <w:bookmarkEnd w:id="23"/>
    </w:p>
    <w:p w14:paraId="3D6C50C1">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24" w:name="_Toc12590"/>
      <w:bookmarkStart w:id="25" w:name="_Toc1825"/>
      <w:bookmarkStart w:id="26" w:name="_Toc6253"/>
      <w:bookmarkStart w:id="27" w:name="_Toc26115"/>
      <w:bookmarkStart w:id="28" w:name="_Toc13454"/>
      <w:r>
        <w:rPr>
          <w:rFonts w:hint="eastAsia" w:ascii="楷体_GB2312" w:hAnsi="仿宋_GB2312" w:eastAsia="楷体_GB2312" w:cs="仿宋_GB2312"/>
          <w:b/>
          <w:sz w:val="32"/>
          <w:szCs w:val="32"/>
        </w:rPr>
        <w:t>（一）</w:t>
      </w:r>
      <w:r>
        <w:rPr>
          <w:rFonts w:hint="eastAsia" w:ascii="楷体_GB2312" w:hAnsi="仿宋_GB2312" w:eastAsia="楷体_GB2312" w:cs="仿宋_GB2312"/>
          <w:b/>
          <w:sz w:val="32"/>
          <w:szCs w:val="32"/>
          <w:lang w:val="en-US" w:eastAsia="zh-CN"/>
        </w:rPr>
        <w:t>主要</w:t>
      </w:r>
      <w:r>
        <w:rPr>
          <w:rFonts w:hint="eastAsia" w:ascii="楷体_GB2312" w:hAnsi="仿宋_GB2312" w:eastAsia="楷体_GB2312" w:cs="仿宋_GB2312"/>
          <w:b/>
          <w:sz w:val="32"/>
          <w:szCs w:val="32"/>
        </w:rPr>
        <w:t>事故原因</w:t>
      </w:r>
      <w:bookmarkEnd w:id="24"/>
      <w:bookmarkEnd w:id="25"/>
      <w:bookmarkEnd w:id="26"/>
      <w:bookmarkEnd w:id="27"/>
      <w:bookmarkEnd w:id="28"/>
    </w:p>
    <w:p w14:paraId="1F55873C">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1.徐文轩驾驶不符合非机动车安全技术标准的非机动车不按规定载人、逆向、超速行驶是本次事故发生的主要原因之一；</w:t>
      </w:r>
    </w:p>
    <w:p w14:paraId="77ED2608">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2.阙海秀驾驶机动车逆行未确保安全是本次事故发生的主要原因之一。</w:t>
      </w:r>
    </w:p>
    <w:p w14:paraId="38EF3AA2">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二</w:t>
      </w:r>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val="en-US" w:eastAsia="zh-CN"/>
        </w:rPr>
        <w:t>次要</w:t>
      </w:r>
      <w:r>
        <w:rPr>
          <w:rFonts w:hint="eastAsia" w:ascii="楷体_GB2312" w:hAnsi="仿宋_GB2312" w:eastAsia="楷体_GB2312" w:cs="仿宋_GB2312"/>
          <w:b/>
          <w:sz w:val="32"/>
          <w:szCs w:val="32"/>
        </w:rPr>
        <w:t>事故原因</w:t>
      </w:r>
    </w:p>
    <w:p w14:paraId="45F220D0">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邓南驾驶机动车不按规定停车是本次事故发生的次要原因。</w:t>
      </w:r>
    </w:p>
    <w:p w14:paraId="68EB0CEB">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29" w:name="_Toc25208"/>
      <w:bookmarkStart w:id="30" w:name="_Toc3254"/>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三</w:t>
      </w:r>
      <w:r>
        <w:rPr>
          <w:rFonts w:hint="eastAsia" w:ascii="楷体_GB2312" w:hAnsi="仿宋_GB2312" w:eastAsia="楷体_GB2312" w:cs="仿宋_GB2312"/>
          <w:b/>
          <w:sz w:val="32"/>
          <w:szCs w:val="32"/>
        </w:rPr>
        <w:t>）事故相关检验检测和鉴定情况</w:t>
      </w:r>
      <w:bookmarkEnd w:id="29"/>
      <w:bookmarkEnd w:id="30"/>
    </w:p>
    <w:p w14:paraId="3FAEA0AD">
      <w:pPr>
        <w:tabs>
          <w:tab w:val="left" w:pos="418"/>
          <w:tab w:val="left" w:pos="836"/>
          <w:tab w:val="left" w:pos="1672"/>
        </w:tabs>
        <w:wordWrap w:val="0"/>
        <w:spacing w:line="240" w:lineRule="atLeast"/>
        <w:ind w:firstLine="643" w:firstLineChars="200"/>
        <w:rPr>
          <w:rFonts w:ascii="仿宋_GB2312" w:hAnsi="宋体" w:eastAsia="仿宋_GB2312"/>
          <w:b/>
          <w:sz w:val="32"/>
          <w:szCs w:val="32"/>
        </w:rPr>
      </w:pPr>
      <w:r>
        <w:rPr>
          <w:rFonts w:hint="eastAsia" w:ascii="仿宋_GB2312" w:hAnsi="宋体" w:eastAsia="仿宋_GB2312"/>
          <w:b/>
          <w:sz w:val="32"/>
          <w:szCs w:val="32"/>
          <w:lang w:eastAsia="zh-CN"/>
        </w:rPr>
        <w:t>1.</w:t>
      </w:r>
      <w:r>
        <w:rPr>
          <w:rFonts w:hint="eastAsia" w:ascii="仿宋_GB2312" w:hAnsi="宋体" w:eastAsia="仿宋_GB2312"/>
          <w:b/>
          <w:sz w:val="32"/>
          <w:szCs w:val="32"/>
        </w:rPr>
        <w:t>江西开元司法鉴定中心对死者刘腊云的死亡原因进行鉴定</w:t>
      </w:r>
    </w:p>
    <w:p w14:paraId="3011D5BB">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赣开元中心【2025】病鉴字第132号司法鉴定意见书：被鉴定人刘腊云符合交通事故致严重颅脑损伤死亡。</w:t>
      </w:r>
    </w:p>
    <w:p w14:paraId="3CBF7158">
      <w:pPr>
        <w:tabs>
          <w:tab w:val="left" w:pos="418"/>
          <w:tab w:val="left" w:pos="836"/>
          <w:tab w:val="left" w:pos="1672"/>
        </w:tabs>
        <w:ind w:firstLine="643" w:firstLineChars="200"/>
        <w:rPr>
          <w:rFonts w:ascii="仿宋_GB2312" w:eastAsia="仿宋_GB2312"/>
          <w:b/>
          <w:sz w:val="32"/>
          <w:szCs w:val="32"/>
        </w:rPr>
      </w:pPr>
      <w:r>
        <w:rPr>
          <w:rFonts w:hint="eastAsia" w:ascii="仿宋_GB2312" w:hAnsi="宋体" w:eastAsia="仿宋_GB2312"/>
          <w:b/>
          <w:sz w:val="32"/>
          <w:szCs w:val="32"/>
          <w:lang w:eastAsia="zh-CN"/>
        </w:rPr>
        <w:t>2.</w:t>
      </w:r>
      <w:r>
        <w:rPr>
          <w:rFonts w:hint="eastAsia" w:ascii="仿宋_GB2312" w:hAnsi="宋体" w:eastAsia="仿宋_GB2312"/>
          <w:b/>
          <w:sz w:val="32"/>
          <w:szCs w:val="32"/>
        </w:rPr>
        <w:t>江西长运机动车安全技术司法</w:t>
      </w:r>
      <w:r>
        <w:rPr>
          <w:rFonts w:hint="eastAsia" w:ascii="仿宋_GB2312" w:hAnsi="宋体" w:eastAsia="仿宋_GB2312"/>
          <w:b/>
          <w:sz w:val="32"/>
          <w:szCs w:val="32"/>
          <w:lang w:eastAsia="zh-CN"/>
        </w:rPr>
        <w:t>鉴定</w:t>
      </w:r>
      <w:r>
        <w:rPr>
          <w:rFonts w:hint="eastAsia" w:ascii="仿宋_GB2312" w:hAnsi="宋体" w:eastAsia="仿宋_GB2312"/>
          <w:b/>
          <w:sz w:val="32"/>
          <w:szCs w:val="32"/>
        </w:rPr>
        <w:t>中心对事故</w:t>
      </w:r>
      <w:r>
        <w:rPr>
          <w:rFonts w:hint="eastAsia" w:ascii="仿宋_GB2312" w:hAnsi="宋体" w:eastAsia="仿宋_GB2312"/>
          <w:b/>
          <w:sz w:val="32"/>
          <w:szCs w:val="32"/>
          <w:lang w:eastAsia="zh-CN"/>
        </w:rPr>
        <w:t>车辆</w:t>
      </w:r>
      <w:r>
        <w:rPr>
          <w:rFonts w:hint="eastAsia" w:ascii="仿宋_GB2312" w:hAnsi="宋体" w:eastAsia="仿宋_GB2312"/>
          <w:b/>
          <w:sz w:val="32"/>
          <w:szCs w:val="32"/>
        </w:rPr>
        <w:t>安全性能进行鉴定</w:t>
      </w:r>
    </w:p>
    <w:p w14:paraId="50A61678">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赣长运中心【2025】痕鉴字第1506号司法鉴定意见书：被鉴定车辆（赣ADW6681小型轿车）的前照明灯远光发光强度、制动性能、转向及传动部件等符合《机动车运行安全技术条件》GB7258-2017的要求。</w:t>
      </w:r>
    </w:p>
    <w:p w14:paraId="5F697C1C">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赣长运中心【2025】痕鉴字第1507号司法鉴定意见书：</w:t>
      </w:r>
    </w:p>
    <w:p w14:paraId="4296287C">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被鉴定车辆（赣AR7X588电动自行车）进行了加装和改装，不符合《电动自行车安全技术规范》GB17761-2018的要求。</w:t>
      </w:r>
    </w:p>
    <w:p w14:paraId="74012D4F">
      <w:pPr>
        <w:tabs>
          <w:tab w:val="left" w:pos="418"/>
          <w:tab w:val="left" w:pos="836"/>
          <w:tab w:val="left" w:pos="1672"/>
        </w:tabs>
        <w:ind w:firstLine="643" w:firstLineChars="200"/>
        <w:rPr>
          <w:rFonts w:ascii="仿宋_GB2312" w:eastAsia="仿宋_GB2312"/>
          <w:b/>
          <w:bCs/>
          <w:sz w:val="32"/>
          <w:szCs w:val="32"/>
        </w:rPr>
      </w:pPr>
      <w:r>
        <w:rPr>
          <w:rFonts w:hint="eastAsia" w:ascii="仿宋_GB2312" w:hAnsi="宋体" w:eastAsia="仿宋_GB2312"/>
          <w:b/>
          <w:bCs/>
          <w:sz w:val="32"/>
          <w:szCs w:val="32"/>
          <w:lang w:eastAsia="zh-CN"/>
        </w:rPr>
        <w:t>3.</w:t>
      </w:r>
      <w:r>
        <w:rPr>
          <w:rFonts w:hint="eastAsia" w:ascii="仿宋_GB2312" w:hAnsi="宋体" w:eastAsia="仿宋_GB2312"/>
          <w:b/>
          <w:bCs/>
          <w:sz w:val="32"/>
          <w:szCs w:val="32"/>
        </w:rPr>
        <w:t>江西长运机动车安全技术司法</w:t>
      </w:r>
      <w:r>
        <w:rPr>
          <w:rFonts w:hint="eastAsia" w:ascii="仿宋_GB2312" w:hAnsi="宋体" w:eastAsia="仿宋_GB2312"/>
          <w:b/>
          <w:bCs/>
          <w:sz w:val="32"/>
          <w:szCs w:val="32"/>
          <w:lang w:eastAsia="zh-CN"/>
        </w:rPr>
        <w:t>鉴定</w:t>
      </w:r>
      <w:r>
        <w:rPr>
          <w:rFonts w:hint="eastAsia" w:ascii="仿宋_GB2312" w:hAnsi="宋体" w:eastAsia="仿宋_GB2312"/>
          <w:b/>
          <w:bCs/>
          <w:sz w:val="32"/>
          <w:szCs w:val="32"/>
        </w:rPr>
        <w:t>中心对事故车辆痕迹进行鉴定</w:t>
      </w:r>
    </w:p>
    <w:p w14:paraId="6F9DA966">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赣长运中心【2025】痕鉴字第1507号司法鉴定意见书：赣ADW6681小型轿车行驶中车头左前部与赣AR7X588两轮电动车车体右前侧相摩擦接触在本次事故中所形成。</w:t>
      </w:r>
    </w:p>
    <w:p w14:paraId="641F6B0F">
      <w:pPr>
        <w:tabs>
          <w:tab w:val="left" w:pos="418"/>
          <w:tab w:val="left" w:pos="836"/>
          <w:tab w:val="left" w:pos="1672"/>
        </w:tabs>
        <w:wordWrap w:val="0"/>
        <w:spacing w:line="240" w:lineRule="atLeast"/>
        <w:ind w:firstLine="643" w:firstLineChars="200"/>
        <w:rPr>
          <w:rFonts w:ascii="仿宋_GB2312" w:eastAsia="仿宋_GB2312"/>
          <w:sz w:val="32"/>
          <w:szCs w:val="32"/>
        </w:rPr>
      </w:pPr>
      <w:r>
        <w:rPr>
          <w:rFonts w:hint="eastAsia" w:ascii="仿宋_GB2312" w:hAnsi="宋体" w:eastAsia="仿宋_GB2312"/>
          <w:b/>
          <w:bCs/>
          <w:sz w:val="32"/>
          <w:szCs w:val="32"/>
          <w:lang w:eastAsia="zh-CN"/>
        </w:rPr>
        <w:t>4.</w:t>
      </w:r>
      <w:r>
        <w:rPr>
          <w:rFonts w:hint="eastAsia" w:ascii="仿宋_GB2312" w:hAnsi="宋体" w:eastAsia="仿宋_GB2312"/>
          <w:b/>
          <w:sz w:val="32"/>
          <w:szCs w:val="32"/>
        </w:rPr>
        <w:t>江西长运机动车安全技术司法</w:t>
      </w:r>
      <w:r>
        <w:rPr>
          <w:rFonts w:hint="eastAsia" w:ascii="仿宋_GB2312" w:hAnsi="宋体" w:eastAsia="仿宋_GB2312"/>
          <w:b/>
          <w:sz w:val="32"/>
          <w:szCs w:val="32"/>
          <w:lang w:eastAsia="zh-CN"/>
        </w:rPr>
        <w:t>鉴定</w:t>
      </w:r>
      <w:r>
        <w:rPr>
          <w:rFonts w:hint="eastAsia" w:ascii="仿宋_GB2312" w:hAnsi="宋体" w:eastAsia="仿宋_GB2312"/>
          <w:b/>
          <w:sz w:val="32"/>
          <w:szCs w:val="32"/>
        </w:rPr>
        <w:t>中心对事故发生时两车时速进行鉴定</w:t>
      </w:r>
    </w:p>
    <w:p w14:paraId="681ED173">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赣长运中心【2025】痕鉴字第1521号司法鉴定意见书：被鉴定车辆（赣ADW6681小型轿车）抵达事发路段时的行驶速度为16KM/H-17KM/H。</w:t>
      </w:r>
    </w:p>
    <w:p w14:paraId="66C0C968">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赣长运中心【2025】痕鉴字第1586号司法鉴定意见书：被鉴定车辆（赣AR7X588电动自行车）抵达事发路段时的行驶速度为33KM/H-37KM/H。</w:t>
      </w:r>
    </w:p>
    <w:p w14:paraId="06253CBA">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31" w:name="_Toc17166"/>
      <w:bookmarkStart w:id="32" w:name="_Toc21652"/>
      <w:r>
        <w:rPr>
          <w:rFonts w:hint="eastAsia" w:ascii="楷体_GB2312" w:hAnsi="仿宋_GB2312" w:eastAsia="楷体_GB2312" w:cs="仿宋_GB2312"/>
          <w:b/>
          <w:sz w:val="32"/>
          <w:szCs w:val="32"/>
        </w:rPr>
        <w:t>（</w:t>
      </w:r>
      <w:r>
        <w:rPr>
          <w:rFonts w:hint="eastAsia" w:ascii="楷体_GB2312" w:hAnsi="仿宋_GB2312" w:eastAsia="楷体_GB2312" w:cs="仿宋_GB2312"/>
          <w:b/>
          <w:sz w:val="32"/>
          <w:szCs w:val="32"/>
          <w:lang w:eastAsia="zh-CN"/>
        </w:rPr>
        <w:t>四</w:t>
      </w:r>
      <w:r>
        <w:rPr>
          <w:rFonts w:hint="eastAsia" w:ascii="楷体_GB2312" w:hAnsi="仿宋_GB2312" w:eastAsia="楷体_GB2312" w:cs="仿宋_GB2312"/>
          <w:b/>
          <w:sz w:val="32"/>
          <w:szCs w:val="32"/>
        </w:rPr>
        <w:t>）其他可能因素排除</w:t>
      </w:r>
      <w:bookmarkEnd w:id="31"/>
      <w:bookmarkEnd w:id="32"/>
    </w:p>
    <w:p w14:paraId="27F8860B">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通过事故现场勘查和调查取证，排除道路设计建设，人为故意破坏、突发灾害因素、疲劳驾驶等因素的影响。</w:t>
      </w:r>
    </w:p>
    <w:p w14:paraId="6F16E059">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仿宋_GB2312"/>
          <w:b w:val="0"/>
          <w:bCs w:val="0"/>
          <w:sz w:val="32"/>
          <w:szCs w:val="32"/>
        </w:rPr>
      </w:pPr>
      <w:bookmarkStart w:id="33" w:name="_Toc141189803"/>
      <w:bookmarkStart w:id="34" w:name="_Toc15737"/>
      <w:r>
        <w:rPr>
          <w:rFonts w:hint="eastAsia" w:ascii="黑体" w:hAnsi="黑体" w:eastAsia="黑体" w:cs="仿宋_GB2312"/>
          <w:b w:val="0"/>
          <w:bCs w:val="0"/>
          <w:sz w:val="32"/>
          <w:szCs w:val="32"/>
        </w:rPr>
        <w:t>四、</w:t>
      </w:r>
      <w:bookmarkEnd w:id="33"/>
      <w:r>
        <w:rPr>
          <w:rFonts w:hint="eastAsia" w:ascii="黑体" w:hAnsi="黑体" w:eastAsia="黑体" w:cs="仿宋_GB2312"/>
          <w:b w:val="0"/>
          <w:bCs w:val="0"/>
          <w:sz w:val="32"/>
          <w:szCs w:val="32"/>
        </w:rPr>
        <w:t>对事故责任人员的处理建议</w:t>
      </w:r>
      <w:bookmarkEnd w:id="34"/>
    </w:p>
    <w:p w14:paraId="222B08EF">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bookmarkStart w:id="35" w:name="_Toc8180"/>
      <w:bookmarkStart w:id="36" w:name="_Toc19280"/>
      <w:bookmarkStart w:id="37" w:name="_Toc5268"/>
      <w:bookmarkStart w:id="38" w:name="_Toc8190"/>
      <w:bookmarkStart w:id="39" w:name="_Toc19782"/>
      <w:r>
        <w:rPr>
          <w:rFonts w:hint="eastAsia" w:ascii="楷体_GB2312" w:hAnsi="仿宋_GB2312" w:eastAsia="楷体_GB2312" w:cs="仿宋_GB2312"/>
          <w:b/>
          <w:sz w:val="32"/>
          <w:szCs w:val="32"/>
        </w:rPr>
        <w:t>（一）对事故责任人员的责任认定及处理建议</w:t>
      </w:r>
      <w:bookmarkEnd w:id="35"/>
      <w:bookmarkEnd w:id="36"/>
      <w:bookmarkEnd w:id="37"/>
      <w:bookmarkEnd w:id="38"/>
      <w:bookmarkEnd w:id="39"/>
    </w:p>
    <w:p w14:paraId="29D60C4D">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徐文轩，女，事故发生时系赣AR7X588电动自行车驾驶员，其行为违反了《中华人民共和国道路交通安全法》第十八条第三款：“非机动车的外形尺寸、质量、制动器、车铃和夜间反光装置，应当符合非机动车安全技术标准。”、   《中华人民共和国道路交通安全法》第三十五条：“机动车、非机动车实行右侧通行。”、《中华人民共和国道路交通安全法》第五十八条：“ 残疾人机动轮椅车、电动自行车在非机动车道内行驶时，最高时速不得超过十五公里。”及《江西省实施〈中华人民共和国道路交通安全法〉办法》 第五十二条：“ 驾驶非机动车应当遵守下列规定：第一款第六项（六）自行车、电动自行车限载一名十二周岁以下未成年人；搭载学龄前儿童的，应当使用安全座椅；十二周岁以上十六周岁以下的未成年人驾驶自行车不得载人。”之规定，在本次事故中承担同等责任，已按法律规定对相关的违法行为进行处罚。</w:t>
      </w:r>
    </w:p>
    <w:p w14:paraId="288C908D">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2.阙海秀，女，事故发生时系赣ADW6681小型轿车驾驶员，其行为违反了《中华人民共和国道路交通安全法》第二十二条第一款：“ 机动车驾驶人应当遵守道路交通安全法律、法规的规定，按照操作规范安全驾驶、文明驾驶。”及《中华人民共和国道路交通安全法》第三十五条：“ 机动车、非机动车实行右侧通行。”之规定，在本次事故中承担同等责任，已按法律规定对相关的违法行为进行处罚。</w:t>
      </w:r>
    </w:p>
    <w:p w14:paraId="4F42FE49">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邓南，男，事故发生时系赣A7FB56小型轿车驾驶员，其行为违反了《中华人民共和国道路交通安全法实施条例》第六十三条第一款第一项：“机动车在道路上临时停车，应当遵守下列规定：（一）在设有禁停标志、标线的路段，在机动车道与非机动车道、人行道之间设有隔离设施的路段以及人行横道、施工地段，不得停车；”之规定。在本次事故中承担次要责任，已按法律规定对相关的违法行为进行处罚。</w:t>
      </w:r>
    </w:p>
    <w:p w14:paraId="4CC67618">
      <w:pPr>
        <w:keepNext w:val="0"/>
        <w:keepLines w:val="0"/>
        <w:pageBreakBefore w:val="0"/>
        <w:widowControl w:val="0"/>
        <w:kinsoku/>
        <w:wordWrap/>
        <w:overflowPunct/>
        <w:topLinePunct w:val="0"/>
        <w:autoSpaceDE/>
        <w:autoSpaceDN/>
        <w:bidi w:val="0"/>
        <w:spacing w:line="560" w:lineRule="exact"/>
        <w:ind w:firstLine="643" w:firstLineChars="200"/>
        <w:textAlignment w:val="auto"/>
        <w:outlineLvl w:val="1"/>
        <w:rPr>
          <w:rFonts w:hint="eastAsia" w:ascii="楷体_GB2312" w:hAnsi="仿宋_GB2312" w:eastAsia="楷体_GB2312" w:cs="仿宋_GB2312"/>
          <w:b/>
          <w:sz w:val="32"/>
          <w:szCs w:val="32"/>
        </w:rPr>
      </w:pPr>
      <w:r>
        <w:rPr>
          <w:rFonts w:hint="eastAsia" w:ascii="楷体_GB2312" w:hAnsi="仿宋_GB2312" w:eastAsia="楷体_GB2312" w:cs="仿宋_GB2312"/>
          <w:b/>
          <w:sz w:val="32"/>
          <w:szCs w:val="32"/>
        </w:rPr>
        <w:t>（二）其他处理建议</w:t>
      </w:r>
    </w:p>
    <w:p w14:paraId="0B3248A7">
      <w:pPr>
        <w:ind w:firstLine="640" w:firstLineChars="200"/>
        <w:rPr>
          <w:rFonts w:hint="eastAsia" w:ascii="Times New Roman" w:hAnsi="Times New Roman" w:eastAsia="仿宋_GB2312" w:cs="Times New Roman"/>
          <w:sz w:val="32"/>
          <w:szCs w:val="32"/>
          <w:lang w:val="en-US" w:eastAsia="zh-CN"/>
        </w:rPr>
      </w:pPr>
      <w:bookmarkStart w:id="40" w:name="_Toc24363"/>
      <w:bookmarkStart w:id="41" w:name="_Toc24739"/>
      <w:r>
        <w:rPr>
          <w:rFonts w:hint="eastAsia" w:ascii="Times New Roman" w:hAnsi="Times New Roman" w:eastAsia="仿宋_GB2312" w:cs="Times New Roman"/>
          <w:sz w:val="32"/>
          <w:szCs w:val="32"/>
          <w:lang w:val="en-US" w:eastAsia="zh-CN"/>
        </w:rPr>
        <w:t>1.刘腊云，女，系赣AR7X588电动自行车乘客，在本次事故中无责任。</w:t>
      </w:r>
      <w:bookmarkEnd w:id="40"/>
      <w:bookmarkEnd w:id="41"/>
    </w:p>
    <w:p w14:paraId="5043A024">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2.建议由青云谱区交警大队</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交通执法大队对肇事出租车司机的交通违法行为进行行政处罚，对司机和车主进行约谈、批评教育，要求限期整改。</w:t>
      </w:r>
    </w:p>
    <w:p w14:paraId="25C4F797">
      <w:pPr>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经青云谱区市场监督管理局调查，赣AR7X588电动自行车购于南昌市青云谱区文氏电动车行（位于南昌市青云谱区沿江南路619号6栋3号），原南昌市青云谱区文氏电动车行经营者陈小平已经病故，车行自2024年11月15日停止经营，未办理注销登记。建议青云谱区市场监督管理局将南昌市青云谱区文氏电动车行列入地址异常。</w:t>
      </w:r>
    </w:p>
    <w:p w14:paraId="6B0FA496">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仿宋_GB2312"/>
          <w:b w:val="0"/>
          <w:bCs w:val="0"/>
          <w:sz w:val="32"/>
          <w:szCs w:val="32"/>
        </w:rPr>
      </w:pPr>
      <w:bookmarkStart w:id="42" w:name="_Toc18514"/>
      <w:bookmarkStart w:id="43" w:name="_Toc22895"/>
      <w:r>
        <w:rPr>
          <w:rFonts w:hint="eastAsia" w:ascii="黑体" w:hAnsi="黑体" w:eastAsia="黑体" w:cs="仿宋_GB2312"/>
          <w:b w:val="0"/>
          <w:bCs w:val="0"/>
          <w:sz w:val="32"/>
          <w:szCs w:val="32"/>
        </w:rPr>
        <w:t>五、事故主要教训</w:t>
      </w:r>
      <w:bookmarkEnd w:id="42"/>
      <w:bookmarkEnd w:id="43"/>
      <w:r>
        <w:rPr>
          <w:rFonts w:hint="eastAsia" w:ascii="黑体" w:hAnsi="黑体" w:eastAsia="黑体" w:cs="仿宋_GB2312"/>
          <w:b w:val="0"/>
          <w:bCs w:val="0"/>
          <w:sz w:val="32"/>
          <w:szCs w:val="32"/>
        </w:rPr>
        <w:t xml:space="preserve"> </w:t>
      </w:r>
    </w:p>
    <w:p w14:paraId="5AD0F851">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该事故造成的影响非常恶劣，教训非常深刻。通过对事故原因的深入分析，事故的主要教训有：机动车司机对安全风险认识不足，不遵守交通安全相关法规违法通行及非机动车驾驶员法律意识淡薄违反规定载人、逆行、超速行驶是引发了事故的原因。</w:t>
      </w:r>
    </w:p>
    <w:p w14:paraId="621E87F6">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s="仿宋_GB2312"/>
          <w:b w:val="0"/>
          <w:bCs w:val="0"/>
          <w:sz w:val="32"/>
          <w:szCs w:val="32"/>
        </w:rPr>
      </w:pPr>
      <w:bookmarkStart w:id="44" w:name="_Toc604"/>
      <w:bookmarkStart w:id="45" w:name="_Toc29289"/>
      <w:bookmarkStart w:id="46" w:name="_Toc26709"/>
      <w:bookmarkStart w:id="47" w:name="_Toc674"/>
      <w:bookmarkStart w:id="48" w:name="_Toc3476"/>
      <w:r>
        <w:rPr>
          <w:rFonts w:hint="eastAsia" w:ascii="黑体" w:hAnsi="黑体" w:eastAsia="黑体" w:cs="仿宋_GB2312"/>
          <w:b w:val="0"/>
          <w:bCs w:val="0"/>
          <w:sz w:val="32"/>
          <w:szCs w:val="32"/>
        </w:rPr>
        <w:t>六、事故防范和整改措施</w:t>
      </w:r>
      <w:bookmarkEnd w:id="44"/>
      <w:bookmarkEnd w:id="45"/>
      <w:bookmarkEnd w:id="46"/>
      <w:bookmarkEnd w:id="47"/>
      <w:bookmarkEnd w:id="48"/>
    </w:p>
    <w:p w14:paraId="10F4DD14">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为预防同类事故的发生，建议相关单位落实如下整改措施： </w:t>
      </w:r>
    </w:p>
    <w:p w14:paraId="5D8B2104">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要深刻吸取事故教训，对营运车辆驾驶员适时召开事故警示教育会，定期开展安全教育和培训，加大对道路运输的监管力度，督促落实各项安全规章制度，开展安全隐患自查自改，针对事故中暴露出的问题，认真加以整改，确保生产安全。</w:t>
      </w:r>
    </w:p>
    <w:p w14:paraId="61F2A026">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（二）市场监督管理局等相关部门</w:t>
      </w:r>
      <w:r>
        <w:rPr>
          <w:rFonts w:hint="eastAsia" w:eastAsia="仿宋_GB2312" w:cs="Times New Roman"/>
          <w:sz w:val="32"/>
          <w:szCs w:val="32"/>
          <w:lang w:val="en-US" w:eastAsia="zh-CN"/>
        </w:rPr>
        <w:t>要</w:t>
      </w:r>
      <w:r>
        <w:rPr>
          <w:rFonts w:hint="eastAsia" w:ascii="Times New Roman" w:hAnsi="Times New Roman" w:eastAsia="仿宋_GB2312" w:cs="Times New Roman"/>
          <w:sz w:val="32"/>
          <w:szCs w:val="32"/>
          <w:lang w:val="en-US" w:eastAsia="zh-CN"/>
        </w:rPr>
        <w:t>强化对电动车销售企业的监管，严禁非法改装行为，加大执法检查力度，确保车辆安全标准严格执行，保障消费者出行安全。</w:t>
      </w:r>
    </w:p>
    <w:p w14:paraId="6FE12E62">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（三）利用媒体、社交平台、社区活动等，加强宣传交通法规、针对交通违法行为导致发生事故的危害进行重点警示，开展“交通安全进校园、进企业、进社区”活动。</w:t>
      </w:r>
    </w:p>
    <w:p w14:paraId="199EE415">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进一步加大道路交通安全管控力度，严控路面违法行为，依法查处各类道路交通违法违规行为，进一步加大道路交通路面执法管控力度，科学优化路面执勤警力的部署，加强对重点路段路巡路查，依法严惩各类交通违法行为，同时加大对道路交通隐患排查整治力度，严防类似事件的发生。</w:t>
      </w:r>
    </w:p>
    <w:p w14:paraId="241E7D10">
      <w:pPr>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要高度重视道路交通安全工作，要认真贯彻落实党中央、国务院和省、市、县有关道路交通安全方针政策和工作要求，切实履行属地监管责任，建立健全安全生产责任体系和道路交通安全管理长效机制，优化和增加执法力量，落实联合执法机制，强化路面执法查处，加强交通安全法律法规和交通安全知识的普及教育，坚决依法严厉打击各类违法违规行为，形成严管严处高压态势，确保道路交通安全稳定。</w:t>
      </w:r>
    </w:p>
    <w:sectPr>
      <w:footerReference r:id="rId9"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Verdana">
    <w:altName w:val="Ubuntu Light"/>
    <w:panose1 w:val="020B0604030504040204"/>
    <w:charset w:val="00"/>
    <w:family w:val="swiss"/>
    <w:pitch w:val="default"/>
    <w:sig w:usb0="00000000" w:usb1="00000000" w:usb2="00000010" w:usb3="00000000" w:csb0="2000019F" w:csb1="00000000"/>
  </w:font>
  <w:font w:name="Ubuntu Light">
    <w:panose1 w:val="020B0604030602030204"/>
    <w:charset w:val="00"/>
    <w:family w:val="auto"/>
    <w:pitch w:val="default"/>
    <w:sig w:usb0="E00002FF" w:usb1="5000205B" w:usb2="00000000" w:usb3="00000000" w:csb0="2000009F" w:csb1="5601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6DBCA">
    <w:pPr>
      <w:pStyle w:val="17"/>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68F27">
    <w:pPr>
      <w:pStyle w:val="17"/>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0BB43">
    <w:pPr>
      <w:pStyle w:val="17"/>
      <w:tabs>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6E3B7">
    <w:pPr>
      <w:pStyle w:val="17"/>
      <w:tabs>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-22860</wp:posOffset>
              </wp:positionV>
              <wp:extent cx="463550" cy="175895"/>
              <wp:effectExtent l="0" t="0" r="0" b="0"/>
              <wp:wrapNone/>
              <wp:docPr id="2" name="矩形 1025"/>
              <wp:cNvGraphicFramePr/>
              <a:graphic xmlns:a="http://schemas.openxmlformats.org/drawingml/2006/main">
                <a:graphicData uri="http://schemas.microsoft.com/office/word/2010/wordprocessingShape">
                  <wps:wsp>
                    <wps:cNvSpPr/>
                    <wps:spPr>
                      <a:xfrm>
                        <a:off x="0" y="0"/>
                        <a:ext cx="463550" cy="175895"/>
                      </a:xfrm>
                      <a:prstGeom prst="rect">
                        <a:avLst/>
                      </a:prstGeom>
                      <a:noFill/>
                      <a:ln>
                        <a:noFill/>
                      </a:ln>
                    </wps:spPr>
                    <wps:txbx>
                      <w:txbxContent>
                        <w:p w14:paraId="594BF4AA">
                          <w:r>
                            <w:t xml:space="preserve">— </w:t>
                          </w:r>
                          <w:r>
                            <w:fldChar w:fldCharType="begin"/>
                          </w:r>
                          <w:r>
                            <w:instrText xml:space="preserve"> PAGE  \* MERGEFORMAT </w:instrText>
                          </w:r>
                          <w:r>
                            <w:fldChar w:fldCharType="separate"/>
                          </w:r>
                          <w:r>
                            <w:t>4</w:t>
                          </w:r>
                          <w:r>
                            <w:fldChar w:fldCharType="end"/>
                          </w:r>
                          <w:r>
                            <w:t xml:space="preserve"> —</w:t>
                          </w:r>
                        </w:p>
                      </w:txbxContent>
                    </wps:txbx>
                    <wps:bodyPr lIns="0" tIns="0" rIns="0" bIns="0" upright="1"/>
                  </wps:wsp>
                </a:graphicData>
              </a:graphic>
            </wp:anchor>
          </w:drawing>
        </mc:Choice>
        <mc:Fallback>
          <w:pict>
            <v:rect id="矩形 1025" o:spid="_x0000_s1026" o:spt="1" style="position:absolute;left:0pt;margin-top:-1.8pt;height:13.85pt;width:36.5pt;mso-position-horizontal:outside;mso-position-horizontal-relative:margin;z-index:251659264;mso-width-relative:page;mso-height-relative:page;" filled="f" stroked="f" coordsize="21600,21600" o:gfxdata="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J&#10;2ub71wAAAAUBAAAPAAAAAAAAAAEAIAAAACIAAABkcnMvZG93bnJldi54bWxQSwECFAAUAAAACACH&#10;TuJAMdsQxLMBAABnAwAADgAAAAAAAAABACAAAAAmAQAAZHJzL2Uyb0RvYy54bWxQSwUGAAAAAAYA&#10;BgBZAQAASwUAAAAA&#10;">
              <v:fill on="f" focussize="0,0"/>
              <v:stroke on="f"/>
              <v:imagedata o:title=""/>
              <o:lock v:ext="edit" aspectratio="f"/>
              <v:textbox inset="0mm,0mm,0mm,0mm">
                <w:txbxContent>
                  <w:p w14:paraId="594BF4AA">
                    <w:r>
                      <w:t xml:space="preserve">— </w:t>
                    </w:r>
                    <w:r>
                      <w:fldChar w:fldCharType="begin"/>
                    </w:r>
                    <w:r>
                      <w:instrText xml:space="preserve"> PAGE  \* MERGEFORMAT </w:instrText>
                    </w:r>
                    <w:r>
                      <w:fldChar w:fldCharType="separate"/>
                    </w:r>
                    <w:r>
                      <w:t>4</w:t>
                    </w:r>
                    <w:r>
                      <w:fldChar w:fldCharType="end"/>
                    </w:r>
                    <w:r>
                      <w:t xml:space="preserve"> —</w:t>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E8D9C">
    <w:pPr>
      <w:pStyle w:val="18"/>
      <w:pBdr>
        <w:bottom w:val="none" w:color="auto" w:sz="0" w:space="0"/>
      </w:pBdr>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7761B">
    <w:pPr>
      <w:pStyle w:val="18"/>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565ED">
    <w:pPr>
      <w:pStyle w:val="18"/>
      <w:tabs>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compressPunctuation"/>
  <w:noLineBreaksAfter w:lang="zh-CN" w:val="$([{£¥·‘“〈《「『【〔〖〝﹙﹛﹝＄（．［｛￡￥"/>
  <w:noLineBreaksBefore w:lang="zh-CN" w:val="!%),.:;&gt;?]}¢¨°·ˇˉ―‖’”…‰′″›℃∶、。〃〉》」』】〕〗〞︶︺︾﹀﹄﹚﹜﹞！＂％＇），．：；？］｀｜｝～￠"/>
  <w:hdrShapeDefaults>
    <o:shapelayout v:ext="edit">
      <o:idmap v:ext="edit" data="3,4"/>
    </o:shapelayout>
  </w:hdrShapeDefaults>
  <w:compat>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hNGRlYWM4MjIzNTA2YzZlOTJhN2VkMGY5ZTIyMzMifQ=="/>
  </w:docVars>
  <w:rsids>
    <w:rsidRoot w:val="00163B89"/>
    <w:rsid w:val="000A1D3B"/>
    <w:rsid w:val="000A7F36"/>
    <w:rsid w:val="000E7D9B"/>
    <w:rsid w:val="00163B89"/>
    <w:rsid w:val="001707A2"/>
    <w:rsid w:val="00181829"/>
    <w:rsid w:val="0024326F"/>
    <w:rsid w:val="00275236"/>
    <w:rsid w:val="00276678"/>
    <w:rsid w:val="002A0984"/>
    <w:rsid w:val="003752CF"/>
    <w:rsid w:val="00384F34"/>
    <w:rsid w:val="00427D73"/>
    <w:rsid w:val="0045216C"/>
    <w:rsid w:val="0053749D"/>
    <w:rsid w:val="00700CA4"/>
    <w:rsid w:val="00725D82"/>
    <w:rsid w:val="007457D5"/>
    <w:rsid w:val="007607F7"/>
    <w:rsid w:val="00761E00"/>
    <w:rsid w:val="007E1424"/>
    <w:rsid w:val="008D5FED"/>
    <w:rsid w:val="008F4618"/>
    <w:rsid w:val="00A02FB1"/>
    <w:rsid w:val="00A0442D"/>
    <w:rsid w:val="00A048EE"/>
    <w:rsid w:val="00A47A4A"/>
    <w:rsid w:val="00A87412"/>
    <w:rsid w:val="00B07D62"/>
    <w:rsid w:val="00B32B58"/>
    <w:rsid w:val="00C04A4D"/>
    <w:rsid w:val="00C141FB"/>
    <w:rsid w:val="00C625F4"/>
    <w:rsid w:val="00CA2C09"/>
    <w:rsid w:val="00D661E1"/>
    <w:rsid w:val="00D86C5E"/>
    <w:rsid w:val="00DB18A3"/>
    <w:rsid w:val="00DC26CB"/>
    <w:rsid w:val="00E064B3"/>
    <w:rsid w:val="00E06CBA"/>
    <w:rsid w:val="00E66A1A"/>
    <w:rsid w:val="00E67776"/>
    <w:rsid w:val="00EC052D"/>
    <w:rsid w:val="00EE1D74"/>
    <w:rsid w:val="00F72869"/>
    <w:rsid w:val="00F77047"/>
    <w:rsid w:val="00FA1FE0"/>
    <w:rsid w:val="00FC5D6D"/>
    <w:rsid w:val="00FF45B1"/>
    <w:rsid w:val="02A41AF7"/>
    <w:rsid w:val="03BF1E18"/>
    <w:rsid w:val="052E656D"/>
    <w:rsid w:val="08E30AD9"/>
    <w:rsid w:val="091414D3"/>
    <w:rsid w:val="09F7471A"/>
    <w:rsid w:val="0B0D741B"/>
    <w:rsid w:val="0CC72064"/>
    <w:rsid w:val="0CE65793"/>
    <w:rsid w:val="0D705975"/>
    <w:rsid w:val="0D9A0C44"/>
    <w:rsid w:val="0E561810"/>
    <w:rsid w:val="12DA577F"/>
    <w:rsid w:val="12DE5A77"/>
    <w:rsid w:val="13EC6910"/>
    <w:rsid w:val="178A7BF6"/>
    <w:rsid w:val="18D55226"/>
    <w:rsid w:val="1A646862"/>
    <w:rsid w:val="1A9F0153"/>
    <w:rsid w:val="1BA64C58"/>
    <w:rsid w:val="20BB31CC"/>
    <w:rsid w:val="20D370F3"/>
    <w:rsid w:val="25BA0095"/>
    <w:rsid w:val="27BA6E32"/>
    <w:rsid w:val="298C0856"/>
    <w:rsid w:val="2C896302"/>
    <w:rsid w:val="325D7A4D"/>
    <w:rsid w:val="334C4F5A"/>
    <w:rsid w:val="357D0E84"/>
    <w:rsid w:val="35BB26E0"/>
    <w:rsid w:val="374E0226"/>
    <w:rsid w:val="37593426"/>
    <w:rsid w:val="38D74B86"/>
    <w:rsid w:val="3988347B"/>
    <w:rsid w:val="39981DA2"/>
    <w:rsid w:val="39F257E0"/>
    <w:rsid w:val="3A5A2317"/>
    <w:rsid w:val="3A876192"/>
    <w:rsid w:val="3BB75628"/>
    <w:rsid w:val="3C810D7D"/>
    <w:rsid w:val="3DDA2813"/>
    <w:rsid w:val="3ECA109D"/>
    <w:rsid w:val="40873378"/>
    <w:rsid w:val="412D25B6"/>
    <w:rsid w:val="435412BA"/>
    <w:rsid w:val="456A6B72"/>
    <w:rsid w:val="459D78DF"/>
    <w:rsid w:val="48F52BF7"/>
    <w:rsid w:val="4BD5718E"/>
    <w:rsid w:val="4CE1169E"/>
    <w:rsid w:val="4EA873FA"/>
    <w:rsid w:val="5074560B"/>
    <w:rsid w:val="51FA302C"/>
    <w:rsid w:val="52BC4F66"/>
    <w:rsid w:val="53E73A84"/>
    <w:rsid w:val="56EA55D5"/>
    <w:rsid w:val="57425A52"/>
    <w:rsid w:val="58C12AF6"/>
    <w:rsid w:val="5A2F6A15"/>
    <w:rsid w:val="5A661248"/>
    <w:rsid w:val="5BC55830"/>
    <w:rsid w:val="5C7F39C3"/>
    <w:rsid w:val="5CB50360"/>
    <w:rsid w:val="5CDB5BF9"/>
    <w:rsid w:val="5D6E77E6"/>
    <w:rsid w:val="5F770EC9"/>
    <w:rsid w:val="61265BEC"/>
    <w:rsid w:val="615E31E1"/>
    <w:rsid w:val="616F69F4"/>
    <w:rsid w:val="658E2348"/>
    <w:rsid w:val="65D75707"/>
    <w:rsid w:val="68896A60"/>
    <w:rsid w:val="6912772B"/>
    <w:rsid w:val="6B8005EE"/>
    <w:rsid w:val="6E557B10"/>
    <w:rsid w:val="6E883CD1"/>
    <w:rsid w:val="733468A8"/>
    <w:rsid w:val="733A5527"/>
    <w:rsid w:val="73445937"/>
    <w:rsid w:val="75A35B5E"/>
    <w:rsid w:val="760D2A7F"/>
    <w:rsid w:val="7CFD384D"/>
    <w:rsid w:val="7D5B67C5"/>
    <w:rsid w:val="7EF64AFB"/>
    <w:rsid w:val="7F030D45"/>
    <w:rsid w:val="7F7F36D7"/>
    <w:rsid w:val="7F9C128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0" w:semiHidden="0"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99" w:semiHidden="0"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locked/>
    <w:uiPriority w:val="0"/>
    <w:pPr>
      <w:spacing w:after="120"/>
    </w:pPr>
    <w:rPr>
      <w:kern w:val="0"/>
      <w:sz w:val="20"/>
    </w:rPr>
  </w:style>
  <w:style w:type="paragraph" w:styleId="3">
    <w:name w:val="footer"/>
    <w:basedOn w:val="1"/>
    <w:link w:val="7"/>
    <w:qFormat/>
    <w:uiPriority w:val="99"/>
    <w:pPr>
      <w:tabs>
        <w:tab w:val="center" w:pos="4153"/>
        <w:tab w:val="right" w:pos="8306"/>
      </w:tabs>
      <w:snapToGrid w:val="0"/>
      <w:jc w:val="left"/>
    </w:pPr>
    <w:rPr>
      <w:sz w:val="18"/>
    </w:rPr>
  </w:style>
  <w:style w:type="paragraph" w:styleId="4">
    <w:name w:val="Body Text First Indent"/>
    <w:basedOn w:val="2"/>
    <w:next w:val="1"/>
    <w:qFormat/>
    <w:locked/>
    <w:uiPriority w:val="99"/>
    <w:pPr>
      <w:spacing w:after="0"/>
      <w:ind w:firstLine="100" w:firstLineChars="100"/>
    </w:pPr>
    <w:rPr>
      <w:b/>
      <w:bCs/>
      <w:sz w:val="44"/>
      <w:szCs w:val="44"/>
    </w:rPr>
  </w:style>
  <w:style w:type="character" w:customStyle="1" w:styleId="7">
    <w:name w:val="Footer Char"/>
    <w:basedOn w:val="6"/>
    <w:link w:val="3"/>
    <w:semiHidden/>
    <w:qFormat/>
    <w:locked/>
    <w:uiPriority w:val="99"/>
    <w:rPr>
      <w:rFonts w:cs="Times New Roman"/>
      <w:sz w:val="18"/>
      <w:szCs w:val="18"/>
    </w:rPr>
  </w:style>
  <w:style w:type="paragraph" w:customStyle="1" w:styleId="8">
    <w:name w:val="标题 11"/>
    <w:basedOn w:val="1"/>
    <w:qFormat/>
    <w:uiPriority w:val="99"/>
    <w:pPr>
      <w:keepNext/>
      <w:keepLines/>
      <w:spacing w:before="340" w:after="330" w:line="576" w:lineRule="auto"/>
      <w:outlineLvl w:val="0"/>
    </w:pPr>
    <w:rPr>
      <w:b/>
      <w:kern w:val="44"/>
      <w:sz w:val="44"/>
    </w:rPr>
  </w:style>
  <w:style w:type="paragraph" w:customStyle="1" w:styleId="9">
    <w:name w:val="标题 21"/>
    <w:basedOn w:val="1"/>
    <w:qFormat/>
    <w:uiPriority w:val="99"/>
    <w:pPr>
      <w:keepNext/>
      <w:keepLines/>
      <w:spacing w:before="260" w:after="260" w:line="413" w:lineRule="auto"/>
      <w:outlineLvl w:val="1"/>
    </w:pPr>
    <w:rPr>
      <w:rFonts w:ascii="Arial" w:hAnsi="Arial" w:eastAsia="黑体"/>
      <w:b/>
      <w:sz w:val="32"/>
    </w:rPr>
  </w:style>
  <w:style w:type="character" w:customStyle="1" w:styleId="10">
    <w:name w:val="默认段落字体1"/>
    <w:semiHidden/>
    <w:qFormat/>
    <w:uiPriority w:val="99"/>
    <w:rPr>
      <w:rFonts w:ascii="Verdana" w:hAnsi="Verdana" w:eastAsia="仿宋_GB2312"/>
      <w:kern w:val="0"/>
      <w:sz w:val="24"/>
      <w:lang w:eastAsia="en-US"/>
    </w:rPr>
  </w:style>
  <w:style w:type="table" w:customStyle="1" w:styleId="11">
    <w:name w:val="普通表格1"/>
    <w:qFormat/>
    <w:uiPriority w:val="99"/>
    <w:rPr>
      <w:rFonts w:ascii="Calibri" w:hAnsi="Calibri"/>
    </w:rPr>
    <w:tblPr>
      <w:tblCellMar>
        <w:top w:w="0" w:type="dxa"/>
        <w:left w:w="0" w:type="dxa"/>
        <w:bottom w:w="0" w:type="dxa"/>
        <w:right w:w="0" w:type="dxa"/>
      </w:tblCellMar>
    </w:tblPr>
  </w:style>
  <w:style w:type="paragraph" w:customStyle="1" w:styleId="12">
    <w:name w:val="正文缩进1"/>
    <w:basedOn w:val="1"/>
    <w:qFormat/>
    <w:uiPriority w:val="99"/>
    <w:pPr>
      <w:ind w:firstLine="420" w:firstLineChars="200"/>
    </w:pPr>
    <w:rPr>
      <w:rFonts w:eastAsia="仿宋"/>
      <w:sz w:val="32"/>
    </w:rPr>
  </w:style>
  <w:style w:type="paragraph" w:customStyle="1" w:styleId="13">
    <w:name w:val="正文文本1"/>
    <w:basedOn w:val="1"/>
    <w:qFormat/>
    <w:uiPriority w:val="99"/>
    <w:pPr>
      <w:spacing w:after="120"/>
    </w:pPr>
    <w:rPr>
      <w:rFonts w:ascii="Calibri" w:hAnsi="Calibri"/>
    </w:rPr>
  </w:style>
  <w:style w:type="paragraph" w:customStyle="1" w:styleId="14">
    <w:name w:val="正文文本缩进1"/>
    <w:basedOn w:val="1"/>
    <w:qFormat/>
    <w:uiPriority w:val="99"/>
    <w:pPr>
      <w:spacing w:after="120"/>
      <w:ind w:left="420" w:leftChars="200"/>
    </w:pPr>
  </w:style>
  <w:style w:type="paragraph" w:customStyle="1" w:styleId="15">
    <w:name w:val="目录 31"/>
    <w:basedOn w:val="1"/>
    <w:qFormat/>
    <w:uiPriority w:val="99"/>
    <w:pPr>
      <w:ind w:left="840" w:leftChars="400"/>
    </w:pPr>
  </w:style>
  <w:style w:type="paragraph" w:customStyle="1" w:styleId="16">
    <w:name w:val="批注框文本1"/>
    <w:basedOn w:val="1"/>
    <w:semiHidden/>
    <w:qFormat/>
    <w:uiPriority w:val="99"/>
    <w:rPr>
      <w:sz w:val="18"/>
      <w:szCs w:val="18"/>
    </w:rPr>
  </w:style>
  <w:style w:type="paragraph" w:customStyle="1" w:styleId="17">
    <w:name w:val="页脚1"/>
    <w:basedOn w:val="1"/>
    <w:qFormat/>
    <w:uiPriority w:val="99"/>
    <w:pPr>
      <w:tabs>
        <w:tab w:val="center" w:pos="4153"/>
        <w:tab w:val="right" w:pos="8306"/>
      </w:tabs>
      <w:snapToGrid w:val="0"/>
      <w:jc w:val="left"/>
    </w:pPr>
    <w:rPr>
      <w:sz w:val="18"/>
      <w:szCs w:val="18"/>
    </w:rPr>
  </w:style>
  <w:style w:type="paragraph" w:customStyle="1" w:styleId="18">
    <w:name w:val="页眉1"/>
    <w:basedOn w:val="1"/>
    <w:qFormat/>
    <w:uiPriority w:val="99"/>
    <w:pPr>
      <w:pBdr>
        <w:bottom w:val="single" w:color="auto" w:sz="6" w:space="1"/>
      </w:pBdr>
      <w:tabs>
        <w:tab w:val="center" w:pos="4153"/>
        <w:tab w:val="right" w:pos="8306"/>
      </w:tabs>
      <w:snapToGrid w:val="0"/>
      <w:jc w:val="center"/>
    </w:pPr>
    <w:rPr>
      <w:sz w:val="18"/>
      <w:szCs w:val="18"/>
    </w:rPr>
  </w:style>
  <w:style w:type="paragraph" w:customStyle="1" w:styleId="19">
    <w:name w:val="目录 11"/>
    <w:basedOn w:val="1"/>
    <w:qFormat/>
    <w:uiPriority w:val="99"/>
  </w:style>
  <w:style w:type="paragraph" w:customStyle="1" w:styleId="20">
    <w:name w:val="脚注文本1"/>
    <w:basedOn w:val="1"/>
    <w:qFormat/>
    <w:uiPriority w:val="99"/>
    <w:pPr>
      <w:snapToGrid w:val="0"/>
      <w:jc w:val="left"/>
    </w:pPr>
    <w:rPr>
      <w:sz w:val="18"/>
    </w:rPr>
  </w:style>
  <w:style w:type="paragraph" w:customStyle="1" w:styleId="21">
    <w:name w:val="目录 21"/>
    <w:basedOn w:val="1"/>
    <w:qFormat/>
    <w:uiPriority w:val="99"/>
    <w:pPr>
      <w:ind w:left="420" w:leftChars="200"/>
    </w:pPr>
  </w:style>
  <w:style w:type="paragraph" w:customStyle="1" w:styleId="22">
    <w:name w:val="普通(网站)1"/>
    <w:basedOn w:val="1"/>
    <w:qFormat/>
    <w:uiPriority w:val="99"/>
    <w:pPr>
      <w:spacing w:before="100" w:beforeAutospacing="1" w:after="100" w:afterAutospacing="1"/>
      <w:jc w:val="left"/>
    </w:pPr>
    <w:rPr>
      <w:kern w:val="0"/>
      <w:sz w:val="24"/>
    </w:rPr>
  </w:style>
  <w:style w:type="paragraph" w:customStyle="1" w:styleId="23">
    <w:name w:val="正文首行缩进1"/>
    <w:basedOn w:val="13"/>
    <w:qFormat/>
    <w:uiPriority w:val="99"/>
    <w:pPr>
      <w:spacing w:after="0"/>
      <w:ind w:firstLine="100" w:firstLineChars="100"/>
    </w:pPr>
    <w:rPr>
      <w:b/>
      <w:bCs/>
      <w:sz w:val="44"/>
      <w:szCs w:val="44"/>
    </w:rPr>
  </w:style>
  <w:style w:type="paragraph" w:customStyle="1" w:styleId="24">
    <w:name w:val="正文首行缩进 21"/>
    <w:basedOn w:val="14"/>
    <w:qFormat/>
    <w:uiPriority w:val="99"/>
    <w:pPr>
      <w:spacing w:after="0"/>
      <w:ind w:firstLine="420" w:firstLineChars="200"/>
    </w:pPr>
  </w:style>
  <w:style w:type="table" w:customStyle="1" w:styleId="25">
    <w:name w:val="网格型1"/>
    <w:basedOn w:val="11"/>
    <w:qFormat/>
    <w:uiPriority w:val="99"/>
    <w:pPr>
      <w:widowControl w:val="0"/>
      <w:jc w:val="both"/>
    </w:pPr>
    <w:tblPr>
      <w:tblCellMar>
        <w:top w:w="0" w:type="dxa"/>
        <w:left w:w="0" w:type="dxa"/>
        <w:bottom w:w="0" w:type="dxa"/>
        <w:right w:w="0" w:type="dxa"/>
      </w:tblCellMar>
    </w:tblPr>
  </w:style>
  <w:style w:type="character" w:customStyle="1" w:styleId="26">
    <w:name w:val="要点1"/>
    <w:basedOn w:val="10"/>
    <w:qFormat/>
    <w:uiPriority w:val="99"/>
    <w:rPr>
      <w:rFonts w:cs="Times New Roman"/>
      <w:b/>
    </w:rPr>
  </w:style>
  <w:style w:type="character" w:customStyle="1" w:styleId="27">
    <w:name w:val="页码1"/>
    <w:basedOn w:val="10"/>
    <w:qFormat/>
    <w:uiPriority w:val="99"/>
    <w:rPr>
      <w:rFonts w:cs="Times New Roman"/>
    </w:rPr>
  </w:style>
  <w:style w:type="character" w:customStyle="1" w:styleId="28">
    <w:name w:val="超链接1"/>
    <w:basedOn w:val="10"/>
    <w:qFormat/>
    <w:uiPriority w:val="99"/>
    <w:rPr>
      <w:rFonts w:cs="Times New Roman"/>
      <w:color w:val="0563C1"/>
      <w:u w:val="single"/>
    </w:rPr>
  </w:style>
  <w:style w:type="character" w:customStyle="1" w:styleId="29">
    <w:name w:val="脚注引用1"/>
    <w:basedOn w:val="10"/>
    <w:qFormat/>
    <w:uiPriority w:val="99"/>
    <w:rPr>
      <w:rFonts w:cs="Times New Roman"/>
      <w:vertAlign w:val="superscript"/>
    </w:rPr>
  </w:style>
  <w:style w:type="paragraph" w:customStyle="1" w:styleId="30">
    <w:name w:val="Char Char Char Char Char Char Char Char Char Char Char Char Char Char Char Char Char Char Char Char Char Char Char Char Char Char Char Char Char Char Char Char Char"/>
    <w:basedOn w:val="1"/>
    <w:qFormat/>
    <w:uiPriority w:val="99"/>
    <w:pPr>
      <w:widowControl/>
      <w:snapToGrid w:val="0"/>
      <w:spacing w:after="160" w:line="240" w:lineRule="exact"/>
      <w:jc w:val="left"/>
    </w:pPr>
    <w:rPr>
      <w:rFonts w:ascii="Verdana" w:hAnsi="Verdana" w:eastAsia="仿宋_GB2312"/>
      <w:kern w:val="0"/>
      <w:sz w:val="24"/>
      <w:lang w:eastAsia="en-US"/>
    </w:rPr>
  </w:style>
  <w:style w:type="paragraph" w:customStyle="1" w:styleId="31">
    <w:name w:val="Default"/>
    <w:qFormat/>
    <w:uiPriority w:val="99"/>
    <w:pPr>
      <w:widowControl w:val="0"/>
      <w:autoSpaceDE w:val="0"/>
      <w:autoSpaceDN w:val="0"/>
    </w:pPr>
    <w:rPr>
      <w:rFonts w:ascii="Times New Roman" w:hAnsi="Times New Roman" w:eastAsia="宋体" w:cs="Times New Roman"/>
      <w:color w:val="000000"/>
      <w:kern w:val="0"/>
      <w:sz w:val="24"/>
      <w:szCs w:val="22"/>
      <w:lang w:val="en-US" w:eastAsia="zh-CN" w:bidi="ar-SA"/>
    </w:rPr>
  </w:style>
  <w:style w:type="paragraph" w:customStyle="1" w:styleId="32">
    <w:name w:val="WPSOffice手动目录 1"/>
    <w:qFormat/>
    <w:uiPriority w:val="99"/>
    <w:rPr>
      <w:rFonts w:ascii="等线" w:hAnsi="等线" w:eastAsia="等线" w:cs="Times New Roman"/>
      <w:kern w:val="0"/>
      <w:sz w:val="20"/>
      <w:szCs w:val="20"/>
      <w:lang w:val="en-US" w:eastAsia="zh-CN" w:bidi="ar-SA"/>
    </w:rPr>
  </w:style>
  <w:style w:type="paragraph" w:customStyle="1" w:styleId="33">
    <w:name w:val="WPSOffice手动目录 2"/>
    <w:qFormat/>
    <w:uiPriority w:val="99"/>
    <w:pPr>
      <w:ind w:left="200" w:leftChars="200"/>
    </w:pPr>
    <w:rPr>
      <w:rFonts w:ascii="Times New Roman" w:hAnsi="Times New Roman"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15</Pages>
  <Words>5624</Words>
  <Characters>6421</Characters>
  <Lines>0</Lines>
  <Paragraphs>0</Paragraphs>
  <TotalTime>34</TotalTime>
  <ScaleCrop>false</ScaleCrop>
  <LinksUpToDate>false</LinksUpToDate>
  <CharactersWithSpaces>6459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2025-02-21T19:50:00Z</dcterms:created>
  <dc:creator>vface2008</dc:creator>
  <cp:lastModifiedBy>user</cp:lastModifiedBy>
  <cp:lastPrinted>2025-09-11T19:27:00Z</cp:lastPrinted>
  <dcterms:modified xsi:type="dcterms:W3CDTF">2026-05-07T16:35:46Z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eyJoZGlkIjoiOGMxODBmNjYwYTc5OTM1YzhjZjNhNWY4OGFjNWJmZTciLCJ1c2VySWQiOiIzNzM3MTY0NDAifQ==</vt:lpwstr>
  </property>
  <property fmtid="{D5CDD505-2E9C-101B-9397-08002B2CF9AE}" pid="3" name="KSOProductBuildVer">
    <vt:lpwstr>2052-12.8.2.20327</vt:lpwstr>
  </property>
  <property fmtid="{D5CDD505-2E9C-101B-9397-08002B2CF9AE}" pid="4" name="ICV">
    <vt:lpwstr>4425C8B3ED19C419B102FC6919D29A68_43</vt:lpwstr>
  </property>
</Properties>
</file>