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spacing w:line="560" w:lineRule="exact"/>
        <w:ind w:left="0"/>
        <w:jc w:val="both"/>
        <w:textAlignment w:val="auto"/>
        <w:rPr>
          <w:rFonts w:hint="eastAsia"/>
        </w:rPr>
      </w:pP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eastAsia="方正小标宋简体"/>
          <w:sz w:val="44"/>
          <w:szCs w:val="44"/>
        </w:rPr>
      </w:pPr>
    </w:p>
    <w:p>
      <w:pPr>
        <w:pStyle w:val="2"/>
        <w:keepNext w:val="0"/>
        <w:keepLines w:val="0"/>
        <w:pageBreakBefore w:val="0"/>
        <w:widowControl w:val="0"/>
        <w:kinsoku/>
        <w:wordWrap/>
        <w:overflowPunct/>
        <w:topLinePunct w:val="0"/>
        <w:autoSpaceDE/>
        <w:autoSpaceDN/>
        <w:bidi w:val="0"/>
        <w:spacing w:line="560" w:lineRule="exact"/>
        <w:ind w:left="0"/>
        <w:textAlignment w:val="auto"/>
        <w:rPr>
          <w:rFonts w:hint="eastAsia"/>
        </w:rPr>
      </w:pP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通辽市诚达物业服务有限公司“6·22”</w:t>
      </w:r>
    </w:p>
    <w:p>
      <w:pPr>
        <w:keepNext w:val="0"/>
        <w:keepLines w:val="0"/>
        <w:pageBreakBefore w:val="0"/>
        <w:widowControl w:val="0"/>
        <w:kinsoku/>
        <w:wordWrap/>
        <w:overflowPunct/>
        <w:topLinePunct w:val="0"/>
        <w:autoSpaceDE/>
        <w:autoSpaceDN/>
        <w:bidi w:val="0"/>
        <w:spacing w:line="560" w:lineRule="exact"/>
        <w:ind w:left="0"/>
        <w:jc w:val="center"/>
        <w:textAlignment w:val="auto"/>
        <w:rPr>
          <w:rFonts w:hint="eastAsia" w:ascii="方正小标宋简体" w:eastAsia="方正小标宋简体"/>
          <w:sz w:val="44"/>
          <w:szCs w:val="44"/>
          <w:lang w:eastAsia="zh-CN"/>
        </w:rPr>
      </w:pPr>
      <w:r>
        <w:rPr>
          <w:rFonts w:hint="eastAsia" w:ascii="方正小标宋简体" w:hAnsi="方正小标宋简体" w:eastAsia="方正小标宋简体" w:cs="方正小标宋简体"/>
          <w:sz w:val="44"/>
          <w:szCs w:val="44"/>
          <w:lang w:val="en-US" w:eastAsia="zh-CN"/>
        </w:rPr>
        <w:t>高处坠落一般生产安全事故</w:t>
      </w:r>
      <w:r>
        <w:rPr>
          <w:rFonts w:hint="eastAsia" w:ascii="方正小标宋简体" w:eastAsia="方正小标宋简体"/>
          <w:sz w:val="44"/>
          <w:szCs w:val="44"/>
          <w:lang w:eastAsia="zh-CN"/>
        </w:rPr>
        <w:t>评估报告</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pStyle w:val="2"/>
        <w:keepNext w:val="0"/>
        <w:keepLines w:val="0"/>
        <w:pageBreakBefore w:val="0"/>
        <w:widowControl w:val="0"/>
        <w:kinsoku/>
        <w:wordWrap/>
        <w:overflowPunct/>
        <w:topLinePunct w:val="0"/>
        <w:autoSpaceDE/>
        <w:autoSpaceDN/>
        <w:bidi w:val="0"/>
        <w:spacing w:line="560" w:lineRule="exact"/>
        <w:ind w:left="0"/>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spacing w:line="560" w:lineRule="exact"/>
        <w:ind w:left="0"/>
        <w:textAlignment w:val="auto"/>
        <w:rPr>
          <w:rFonts w:hint="default"/>
          <w:lang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center"/>
        <w:textAlignment w:val="auto"/>
        <w:rPr>
          <w:rFonts w:hint="default" w:ascii="仿宋_GB2312" w:hAnsi="仿宋" w:eastAsia="仿宋_GB2312"/>
          <w:kern w:val="0"/>
          <w:sz w:val="32"/>
          <w:szCs w:val="32"/>
          <w:lang w:val="en-US" w:eastAsia="zh-CN"/>
        </w:rPr>
      </w:pPr>
      <w:r>
        <w:rPr>
          <w:rFonts w:hint="eastAsia" w:ascii="仿宋_GB2312" w:hAnsi="仿宋" w:eastAsia="仿宋_GB2312"/>
          <w:kern w:val="0"/>
          <w:sz w:val="32"/>
          <w:szCs w:val="32"/>
          <w:lang w:val="en-US" w:eastAsia="zh-CN"/>
        </w:rPr>
        <w:t>2022年10月</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jc w:val="left"/>
        <w:textAlignment w:val="auto"/>
        <w:rPr>
          <w:rFonts w:hint="default" w:ascii="仿宋_GB2312" w:hAnsi="仿宋" w:eastAsia="仿宋_GB2312"/>
          <w:kern w:val="0"/>
          <w:sz w:val="32"/>
          <w:szCs w:val="32"/>
          <w:lang w:eastAsia="zh-CN"/>
        </w:rPr>
      </w:pPr>
    </w:p>
    <w:p>
      <w:pPr>
        <w:keepNext w:val="0"/>
        <w:keepLines w:val="0"/>
        <w:pageBreakBefore w:val="0"/>
        <w:widowControl w:val="0"/>
        <w:kinsoku/>
        <w:wordWrap/>
        <w:overflowPunct/>
        <w:topLinePunct w:val="0"/>
        <w:autoSpaceDE/>
        <w:autoSpaceDN/>
        <w:bidi w:val="0"/>
        <w:spacing w:line="560" w:lineRule="exact"/>
        <w:ind w:left="0" w:firstLine="640" w:firstLineChars="200"/>
        <w:jc w:val="left"/>
        <w:textAlignment w:val="auto"/>
        <w:rPr>
          <w:rFonts w:hint="eastAsia" w:ascii="仿宋_GB2312" w:hAnsi="仿宋_GB2312" w:eastAsia="仿宋_GB2312" w:cs="仿宋_GB2312"/>
          <w:b w:val="0"/>
          <w:bCs w:val="0"/>
          <w:sz w:val="32"/>
          <w:szCs w:val="32"/>
          <w:lang w:eastAsia="zh-CN"/>
        </w:rPr>
      </w:pPr>
      <w:r>
        <w:rPr>
          <w:rFonts w:hint="default" w:ascii="仿宋_GB2312" w:hAnsi="仿宋" w:eastAsia="仿宋_GB2312"/>
          <w:kern w:val="0"/>
          <w:sz w:val="32"/>
          <w:szCs w:val="32"/>
          <w:lang w:eastAsia="zh-CN"/>
        </w:rPr>
        <w:t>根据</w:t>
      </w:r>
      <w:r>
        <w:rPr>
          <w:rFonts w:hint="eastAsia" w:ascii="仿宋_GB2312" w:hAnsi="仿宋" w:eastAsia="仿宋_GB2312"/>
          <w:kern w:val="0"/>
          <w:sz w:val="32"/>
          <w:szCs w:val="32"/>
          <w:lang w:val="en-US" w:eastAsia="zh-CN"/>
        </w:rPr>
        <w:t>《国务院安委会办公室关于印发生产安全事故防范和整改措施落实情况评估办法的通知》（安委办〔2021〕4号）、《</w:t>
      </w:r>
      <w:r>
        <w:rPr>
          <w:rFonts w:hint="eastAsia" w:ascii="仿宋_GB2312" w:hAnsi="仿宋_GB2312" w:eastAsia="仿宋_GB2312" w:cs="仿宋_GB2312"/>
          <w:sz w:val="32"/>
          <w:szCs w:val="32"/>
        </w:rPr>
        <w:t>内蒙古自治区安全生产委员会办公室关于加强生产安全事故防范和整改措施落实情况评估工作的通知</w:t>
      </w:r>
      <w:r>
        <w:rPr>
          <w:rFonts w:hint="eastAsia" w:ascii="仿宋_GB2312" w:hAnsi="仿宋" w:eastAsia="仿宋_GB2312"/>
          <w:kern w:val="0"/>
          <w:sz w:val="32"/>
          <w:szCs w:val="32"/>
          <w:lang w:val="en-US" w:eastAsia="zh-CN"/>
        </w:rPr>
        <w:t>》（</w:t>
      </w:r>
      <w:r>
        <w:rPr>
          <w:rFonts w:hint="eastAsia" w:ascii="仿宋_GB2312" w:eastAsia="仿宋_GB2312" w:hAnsiTheme="minorEastAsia"/>
          <w:sz w:val="32"/>
          <w:szCs w:val="32"/>
        </w:rPr>
        <w:t>内安委办〔2022〕26号</w:t>
      </w:r>
      <w:r>
        <w:rPr>
          <w:rFonts w:hint="eastAsia" w:ascii="仿宋_GB2312" w:hAnsi="仿宋" w:eastAsia="仿宋_GB2312"/>
          <w:kern w:val="0"/>
          <w:sz w:val="32"/>
          <w:szCs w:val="32"/>
          <w:lang w:val="en-US" w:eastAsia="zh-CN"/>
        </w:rPr>
        <w:t>）要求，通辽市安委会办公室组织原事故调查组成员单位相关同志成立</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通辽市生产安全事故防范和整改措施落实情况评估工作组，</w:t>
      </w:r>
      <w:r>
        <w:rPr>
          <w:rFonts w:hint="eastAsia" w:ascii="仿宋_GB2312" w:hAnsi="仿宋_GB2312" w:eastAsia="仿宋_GB2312" w:cs="仿宋_GB2312"/>
          <w:kern w:val="2"/>
          <w:sz w:val="32"/>
          <w:szCs w:val="32"/>
          <w:lang w:val="en-US" w:eastAsia="zh-CN" w:bidi="ar-SA"/>
        </w:rPr>
        <w:t>主要负责对2019年1月1日至2021年7月1日，由通辽市人民政府负责调查且已结案10-12个月的生产安全事故进行评估</w:t>
      </w:r>
      <w:r>
        <w:rPr>
          <w:rFonts w:hint="default" w:ascii="仿宋_GB2312" w:hAnsi="仿宋_GB2312" w:eastAsia="仿宋_GB2312" w:cs="仿宋_GB2312"/>
          <w:kern w:val="2"/>
          <w:sz w:val="32"/>
          <w:szCs w:val="32"/>
          <w:lang w:val="en-US" w:eastAsia="zh-CN" w:bidi="ar-SA"/>
        </w:rPr>
        <w:t>。</w:t>
      </w:r>
    </w:p>
    <w:p>
      <w:pPr>
        <w:pStyle w:val="2"/>
        <w:keepNext w:val="0"/>
        <w:keepLines w:val="0"/>
        <w:pageBreakBefore w:val="0"/>
        <w:widowControl w:val="0"/>
        <w:numPr>
          <w:ilvl w:val="0"/>
          <w:numId w:val="1"/>
        </w:numPr>
        <w:kinsoku/>
        <w:wordWrap/>
        <w:overflowPunct/>
        <w:topLinePunct w:val="0"/>
        <w:autoSpaceDE/>
        <w:autoSpaceDN/>
        <w:bidi w:val="0"/>
        <w:spacing w:line="560" w:lineRule="exact"/>
        <w:ind w:left="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事故基本情况及调查处理情况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2021年6月22日7时30分许，通辽市经济技术开发区诚达·龙庭御府小区内，施工人员在5</w:t>
      </w:r>
      <w:r>
        <w:rPr>
          <w:rFonts w:hint="eastAsia" w:ascii="仿宋_GB2312" w:hAnsi="仿宋_GB2312" w:eastAsia="仿宋_GB2312" w:cs="仿宋_GB2312"/>
          <w:sz w:val="32"/>
          <w:szCs w:val="32"/>
          <w:vertAlign w:val="superscript"/>
          <w:lang w:val="en-US" w:eastAsia="zh-CN"/>
        </w:rPr>
        <w:t>＃</w:t>
      </w:r>
      <w:r>
        <w:rPr>
          <w:rFonts w:hint="eastAsia" w:ascii="仿宋_GB2312" w:hAnsi="仿宋_GB2312" w:eastAsia="仿宋_GB2312" w:cs="仿宋_GB2312"/>
          <w:sz w:val="32"/>
          <w:szCs w:val="32"/>
          <w:vertAlign w:val="baseline"/>
          <w:lang w:val="en-US" w:eastAsia="zh-CN"/>
        </w:rPr>
        <w:t>楼</w:t>
      </w:r>
      <w:r>
        <w:rPr>
          <w:rFonts w:hint="eastAsia" w:ascii="仿宋_GB2312" w:hAnsi="仿宋_GB2312" w:eastAsia="仿宋_GB2312" w:cs="仿宋_GB2312"/>
          <w:sz w:val="32"/>
          <w:szCs w:val="32"/>
          <w:lang w:val="en-US" w:eastAsia="zh-CN"/>
        </w:rPr>
        <w:t>采光井顶部安装钢化玻璃时，发生一起高处坠落事故，造成1人死亡。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eastAsia="仿宋_GB2312"/>
          <w:sz w:val="32"/>
          <w:szCs w:val="32"/>
        </w:rPr>
      </w:pPr>
      <w:r>
        <w:rPr>
          <w:rFonts w:hint="eastAsia" w:ascii="仿宋_GB2312" w:hAnsi="仿宋_GB2312" w:eastAsia="仿宋_GB2312" w:cs="仿宋_GB2312"/>
          <w:sz w:val="32"/>
        </w:rPr>
        <w:t>依据《中华人民共和国安全生产法》和《生产安全事故报告和调查处理条例》</w:t>
      </w:r>
      <w:r>
        <w:rPr>
          <w:rFonts w:hint="eastAsia" w:ascii="仿宋_GB2312" w:hAnsi="仿宋_GB2312" w:eastAsia="仿宋_GB2312" w:cs="仿宋_GB2312"/>
          <w:sz w:val="32"/>
          <w:lang w:eastAsia="zh-CN"/>
        </w:rPr>
        <w:t>（国务院</w:t>
      </w:r>
      <w:r>
        <w:rPr>
          <w:rFonts w:hint="eastAsia" w:ascii="仿宋_GB2312" w:hAnsi="仿宋_GB2312" w:eastAsia="仿宋_GB2312" w:cs="仿宋_GB2312"/>
          <w:sz w:val="32"/>
          <w:lang w:val="en-US" w:eastAsia="zh-CN"/>
        </w:rPr>
        <w:t>493号令</w:t>
      </w:r>
      <w:r>
        <w:rPr>
          <w:rFonts w:hint="eastAsia" w:ascii="仿宋_GB2312" w:hAnsi="仿宋_GB2312" w:eastAsia="仿宋_GB2312" w:cs="仿宋_GB2312"/>
          <w:sz w:val="32"/>
          <w:lang w:eastAsia="zh-CN"/>
        </w:rPr>
        <w:t>）相关规定</w:t>
      </w:r>
      <w:r>
        <w:rPr>
          <w:rFonts w:hint="eastAsia" w:ascii="仿宋_GB2312" w:hAnsi="仿宋_GB2312" w:eastAsia="仿宋_GB2312" w:cs="仿宋_GB2312"/>
          <w:sz w:val="32"/>
        </w:rPr>
        <w:t>，</w:t>
      </w:r>
      <w:r>
        <w:rPr>
          <w:rFonts w:hint="eastAsia" w:ascii="仿宋_GB2312" w:hAnsi="仿宋_GB2312" w:eastAsia="仿宋_GB2312" w:cs="仿宋_GB2312"/>
          <w:sz w:val="32"/>
          <w:lang w:val="en-US" w:eastAsia="zh-CN"/>
        </w:rPr>
        <w:t>2021年6月26日，</w:t>
      </w:r>
      <w:r>
        <w:rPr>
          <w:rFonts w:hint="eastAsia" w:ascii="仿宋_GB2312" w:hAnsi="仿宋_GB2312" w:eastAsia="仿宋_GB2312" w:cs="仿宋_GB2312"/>
          <w:sz w:val="32"/>
          <w:lang w:eastAsia="zh-CN"/>
        </w:rPr>
        <w:t>通辽市人民政府</w:t>
      </w:r>
      <w:r>
        <w:rPr>
          <w:rFonts w:hint="eastAsia" w:ascii="仿宋_GB2312" w:hAnsi="仿宋_GB2312" w:eastAsia="仿宋_GB2312" w:cs="仿宋_GB2312"/>
          <w:sz w:val="32"/>
        </w:rPr>
        <w:t>成立</w:t>
      </w:r>
      <w:r>
        <w:rPr>
          <w:rFonts w:hint="eastAsia" w:ascii="仿宋_GB2312" w:hAnsi="仿宋_GB2312" w:eastAsia="仿宋_GB2312" w:cs="仿宋_GB2312"/>
          <w:sz w:val="32"/>
          <w:lang w:eastAsia="zh-CN"/>
        </w:rPr>
        <w:t>了由市应急管理局、市住建局、</w:t>
      </w:r>
      <w:r>
        <w:rPr>
          <w:rFonts w:hint="eastAsia" w:ascii="仿宋_GB2312" w:hAnsi="仿宋_GB2312" w:eastAsia="仿宋_GB2312" w:cs="仿宋_GB2312"/>
          <w:sz w:val="32"/>
          <w:lang w:val="en-US" w:eastAsia="zh-CN"/>
        </w:rPr>
        <w:t>市</w:t>
      </w:r>
      <w:r>
        <w:rPr>
          <w:rFonts w:hint="eastAsia" w:ascii="仿宋_GB2312" w:hAnsi="仿宋_GB2312" w:eastAsia="仿宋_GB2312" w:cs="仿宋_GB2312"/>
          <w:sz w:val="32"/>
          <w:lang w:eastAsia="zh-CN"/>
        </w:rPr>
        <w:t>公安</w:t>
      </w:r>
      <w:r>
        <w:rPr>
          <w:rFonts w:hint="eastAsia" w:ascii="仿宋_GB2312" w:hAnsi="仿宋_GB2312" w:eastAsia="仿宋_GB2312" w:cs="仿宋_GB2312"/>
          <w:sz w:val="32"/>
          <w:lang w:val="en-US" w:eastAsia="zh-CN"/>
        </w:rPr>
        <w:t>局</w:t>
      </w:r>
      <w:r>
        <w:rPr>
          <w:rFonts w:hint="eastAsia" w:ascii="仿宋_GB2312" w:hAnsi="仿宋_GB2312" w:eastAsia="仿宋_GB2312" w:cs="仿宋_GB2312"/>
          <w:sz w:val="32"/>
          <w:lang w:eastAsia="zh-CN"/>
        </w:rPr>
        <w:t>、市总工会，经济技术开发区管委会有关同志组成的</w:t>
      </w:r>
      <w:r>
        <w:rPr>
          <w:rFonts w:hint="eastAsia" w:ascii="仿宋_GB2312" w:hAnsi="仿宋_GB2312" w:eastAsia="仿宋_GB2312" w:cs="仿宋_GB2312"/>
          <w:sz w:val="32"/>
          <w:szCs w:val="32"/>
          <w:lang w:val="en-US" w:eastAsia="zh-CN"/>
        </w:rPr>
        <w:t>通辽市诚达物业服务有限公司</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6</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22</w:t>
      </w:r>
      <w:r>
        <w:rPr>
          <w:rFonts w:hint="eastAsia" w:ascii="仿宋_GB2312" w:hAnsi="仿宋_GB2312" w:eastAsia="仿宋_GB2312" w:cs="仿宋_GB2312"/>
          <w:sz w:val="32"/>
          <w:lang w:eastAsia="zh-CN"/>
        </w:rPr>
        <w:t>”高处坠落一般生产安全事故调查组（以下简称事故调查组），并邀请市纪委监委同志参加，</w:t>
      </w:r>
      <w:r>
        <w:rPr>
          <w:rFonts w:hint="eastAsia" w:ascii="仿宋_GB2312" w:eastAsia="仿宋_GB2312"/>
          <w:sz w:val="32"/>
          <w:szCs w:val="32"/>
        </w:rPr>
        <w:t>提级调查。</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2021年8月26日，通辽市人民政府对通辽市诚达物业服务有限公司</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6</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22</w:t>
      </w:r>
      <w:r>
        <w:rPr>
          <w:rFonts w:hint="eastAsia" w:ascii="仿宋_GB2312" w:hAnsi="仿宋_GB2312" w:eastAsia="仿宋_GB2312" w:cs="仿宋_GB2312"/>
          <w:sz w:val="32"/>
          <w:lang w:eastAsia="zh-CN"/>
        </w:rPr>
        <w:t>”高处坠落</w:t>
      </w:r>
      <w:r>
        <w:rPr>
          <w:rFonts w:hint="eastAsia" w:ascii="仿宋_GB2312" w:hAnsi="仿宋_GB2312" w:eastAsia="仿宋_GB2312" w:cs="仿宋_GB2312"/>
          <w:sz w:val="32"/>
          <w:szCs w:val="32"/>
          <w:lang w:val="en-US" w:eastAsia="zh-CN"/>
        </w:rPr>
        <w:t>一般生产全事故调查报告作出批复，原则同意</w:t>
      </w:r>
      <w:r>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t>事故调查组对此次事故发生原因和性质的认定，以及对事故责任的认定和对事故责任者的处理意见</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二、评估工作开展情况</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202</w:t>
      </w:r>
      <w:r>
        <w:rPr>
          <w:rFonts w:hint="eastAsia" w:ascii="仿宋_GB2312" w:hAnsi="仿宋_GB2312" w:eastAsia="仿宋_GB2312" w:cs="仿宋_GB2312"/>
          <w:kern w:val="2"/>
          <w:sz w:val="32"/>
          <w:szCs w:val="32"/>
          <w:lang w:val="en-US" w:eastAsia="zh-CN" w:bidi="ar-SA"/>
        </w:rPr>
        <w:t>2</w:t>
      </w:r>
      <w:r>
        <w:rPr>
          <w:rFonts w:hint="default" w:ascii="仿宋_GB2312" w:hAnsi="仿宋_GB2312" w:eastAsia="仿宋_GB2312" w:cs="仿宋_GB2312"/>
          <w:kern w:val="2"/>
          <w:sz w:val="32"/>
          <w:szCs w:val="32"/>
          <w:lang w:val="en-US" w:eastAsia="zh-CN" w:bidi="ar-SA"/>
        </w:rPr>
        <w:t>年</w:t>
      </w:r>
      <w:r>
        <w:rPr>
          <w:rFonts w:hint="eastAsia" w:ascii="仿宋_GB2312" w:hAnsi="仿宋_GB2312" w:eastAsia="仿宋_GB2312" w:cs="仿宋_GB2312"/>
          <w:kern w:val="2"/>
          <w:sz w:val="32"/>
          <w:szCs w:val="32"/>
          <w:lang w:val="en-US" w:eastAsia="zh-CN" w:bidi="ar-SA"/>
        </w:rPr>
        <w:t>10</w:t>
      </w:r>
      <w:r>
        <w:rPr>
          <w:rFonts w:hint="default" w:ascii="仿宋_GB2312" w:hAnsi="仿宋_GB2312" w:eastAsia="仿宋_GB2312" w:cs="仿宋_GB2312"/>
          <w:kern w:val="2"/>
          <w:sz w:val="32"/>
          <w:szCs w:val="32"/>
          <w:lang w:val="en-US" w:eastAsia="zh-CN" w:bidi="ar-SA"/>
        </w:rPr>
        <w:t>月</w:t>
      </w:r>
      <w:r>
        <w:rPr>
          <w:rFonts w:hint="eastAsia" w:ascii="仿宋_GB2312" w:hAnsi="仿宋_GB2312" w:eastAsia="仿宋_GB2312" w:cs="仿宋_GB2312"/>
          <w:kern w:val="2"/>
          <w:sz w:val="32"/>
          <w:szCs w:val="32"/>
          <w:lang w:val="en-US" w:eastAsia="zh-CN" w:bidi="ar-SA"/>
        </w:rPr>
        <w:t>27</w:t>
      </w:r>
      <w:r>
        <w:rPr>
          <w:rFonts w:hint="default" w:ascii="仿宋_GB2312" w:hAnsi="仿宋_GB2312" w:eastAsia="仿宋_GB2312" w:cs="仿宋_GB2312"/>
          <w:kern w:val="2"/>
          <w:sz w:val="32"/>
          <w:szCs w:val="32"/>
          <w:lang w:val="en-US" w:eastAsia="zh-CN" w:bidi="ar-SA"/>
        </w:rPr>
        <w:t>日，通辽市安委办</w:t>
      </w:r>
      <w:r>
        <w:rPr>
          <w:rFonts w:hint="eastAsia" w:ascii="仿宋_GB2312" w:hAnsi="仿宋_GB2312" w:eastAsia="仿宋_GB2312" w:cs="仿宋_GB2312"/>
          <w:kern w:val="2"/>
          <w:sz w:val="32"/>
          <w:szCs w:val="32"/>
          <w:lang w:val="en-US" w:eastAsia="zh-CN" w:bidi="ar-SA"/>
        </w:rPr>
        <w:t>组织</w:t>
      </w:r>
      <w:r>
        <w:rPr>
          <w:rFonts w:hint="eastAsia" w:ascii="仿宋_GB2312" w:hAnsi="仿宋_GB2312" w:eastAsia="仿宋_GB2312" w:cs="仿宋_GB2312"/>
          <w:sz w:val="32"/>
          <w:lang w:eastAsia="zh-CN"/>
        </w:rPr>
        <w:t>市应急管理局、市住建局、</w:t>
      </w:r>
      <w:r>
        <w:rPr>
          <w:rFonts w:hint="eastAsia" w:ascii="仿宋_GB2312" w:hAnsi="仿宋_GB2312" w:eastAsia="仿宋_GB2312" w:cs="仿宋_GB2312"/>
          <w:sz w:val="32"/>
          <w:lang w:val="en-US" w:eastAsia="zh-CN"/>
        </w:rPr>
        <w:t>市</w:t>
      </w:r>
      <w:r>
        <w:rPr>
          <w:rFonts w:hint="eastAsia" w:ascii="仿宋_GB2312" w:hAnsi="仿宋_GB2312" w:eastAsia="仿宋_GB2312" w:cs="仿宋_GB2312"/>
          <w:sz w:val="32"/>
          <w:lang w:eastAsia="zh-CN"/>
        </w:rPr>
        <w:t>公安</w:t>
      </w:r>
      <w:r>
        <w:rPr>
          <w:rFonts w:hint="eastAsia" w:ascii="仿宋_GB2312" w:hAnsi="仿宋_GB2312" w:eastAsia="仿宋_GB2312" w:cs="仿宋_GB2312"/>
          <w:sz w:val="32"/>
          <w:lang w:val="en-US" w:eastAsia="zh-CN"/>
        </w:rPr>
        <w:t>局</w:t>
      </w:r>
      <w:r>
        <w:rPr>
          <w:rFonts w:hint="eastAsia" w:ascii="仿宋_GB2312" w:hAnsi="仿宋_GB2312" w:eastAsia="仿宋_GB2312" w:cs="仿宋_GB2312"/>
          <w:sz w:val="32"/>
          <w:lang w:eastAsia="zh-CN"/>
        </w:rPr>
        <w:t>、市总工会，经济技术开发区管委会有关同志</w:t>
      </w:r>
      <w:r>
        <w:rPr>
          <w:rFonts w:hint="eastAsia" w:ascii="仿宋_GB2312" w:hAnsi="仿宋_GB2312" w:eastAsia="仿宋_GB2312" w:cs="仿宋_GB2312"/>
          <w:kern w:val="2"/>
          <w:sz w:val="32"/>
          <w:szCs w:val="32"/>
          <w:lang w:val="en-US" w:eastAsia="zh-CN" w:bidi="ar-SA"/>
        </w:rPr>
        <w:t>成立了</w:t>
      </w:r>
      <w:r>
        <w:rPr>
          <w:rFonts w:hint="default" w:ascii="仿宋_GB2312" w:hAnsi="仿宋_GB2312" w:eastAsia="仿宋_GB2312" w:cs="仿宋_GB2312"/>
          <w:kern w:val="2"/>
          <w:sz w:val="32"/>
          <w:szCs w:val="32"/>
          <w:lang w:val="en-US" w:eastAsia="zh-CN" w:bidi="ar-SA"/>
        </w:rPr>
        <w:t>生产安全事故防范和整改措施落实情况评估工作组</w:t>
      </w:r>
      <w:r>
        <w:rPr>
          <w:rFonts w:hint="eastAsia" w:ascii="仿宋_GB2312" w:hAnsi="仿宋_GB2312" w:eastAsia="仿宋_GB2312" w:cs="仿宋_GB2312"/>
          <w:kern w:val="2"/>
          <w:sz w:val="32"/>
          <w:szCs w:val="32"/>
          <w:lang w:val="en-US" w:eastAsia="zh-CN" w:bidi="ar-SA"/>
        </w:rPr>
        <w:t>（以下简称事故评估组），由事故评估组</w:t>
      </w:r>
      <w:r>
        <w:rPr>
          <w:rFonts w:hint="default" w:ascii="仿宋_GB2312" w:hAnsi="仿宋_GB2312" w:eastAsia="仿宋_GB2312" w:cs="仿宋_GB2312"/>
          <w:kern w:val="2"/>
          <w:sz w:val="32"/>
          <w:szCs w:val="32"/>
          <w:lang w:val="en-US" w:eastAsia="zh-CN" w:bidi="ar-SA"/>
        </w:rPr>
        <w:t>组长梁宏利带队</w:t>
      </w:r>
      <w:r>
        <w:rPr>
          <w:rFonts w:hint="eastAsia" w:ascii="仿宋_GB2312" w:hAnsi="仿宋_GB2312" w:eastAsia="仿宋_GB2312" w:cs="仿宋_GB2312"/>
          <w:kern w:val="2"/>
          <w:sz w:val="32"/>
          <w:szCs w:val="32"/>
          <w:lang w:val="en-US" w:eastAsia="zh-CN" w:bidi="ar-SA"/>
        </w:rPr>
        <w:t>到经济技术开发区诚达物业服务有限公司</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对</w:t>
      </w:r>
      <w:r>
        <w:rPr>
          <w:rFonts w:hint="eastAsia" w:ascii="仿宋_GB2312" w:hAnsi="仿宋_GB2312" w:eastAsia="仿宋_GB2312" w:cs="仿宋_GB2312"/>
          <w:sz w:val="32"/>
          <w:szCs w:val="32"/>
          <w:lang w:val="en-US" w:eastAsia="zh-CN"/>
        </w:rPr>
        <w:t>通辽市开发区诚达物业服务有限公司“6·22”高处坠落</w:t>
      </w:r>
      <w:r>
        <w:rPr>
          <w:rFonts w:hint="eastAsia" w:ascii="仿宋_GB2312" w:hAnsi="仿宋_GB2312" w:eastAsia="仿宋_GB2312" w:cs="仿宋_GB2312"/>
          <w:sz w:val="32"/>
          <w:szCs w:val="32"/>
        </w:rPr>
        <w:t>一般生产安全事故</w:t>
      </w:r>
      <w:r>
        <w:rPr>
          <w:rFonts w:hint="eastAsia" w:ascii="仿宋_GB2312" w:hAnsi="仿宋_GB2312" w:eastAsia="仿宋_GB2312" w:cs="仿宋_GB2312"/>
          <w:b w:val="0"/>
          <w:bCs w:val="0"/>
          <w:sz w:val="32"/>
          <w:szCs w:val="32"/>
          <w:lang w:eastAsia="zh-CN"/>
        </w:rPr>
        <w:t>防范和整改措施落实情况进行了评估，</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评估组先后</w:t>
      </w:r>
      <w:r>
        <w:rPr>
          <w:rFonts w:hint="default" w:ascii="仿宋_GB2312" w:hAnsi="仿宋_GB2312" w:eastAsia="仿宋_GB2312" w:cs="仿宋_GB2312"/>
          <w:kern w:val="2"/>
          <w:sz w:val="32"/>
          <w:szCs w:val="32"/>
          <w:lang w:val="en-US" w:eastAsia="zh-CN" w:bidi="ar-SA"/>
        </w:rPr>
        <w:t>听取</w:t>
      </w:r>
      <w:r>
        <w:rPr>
          <w:rFonts w:hint="eastAsia" w:ascii="仿宋_GB2312" w:hAnsi="仿宋_GB2312" w:eastAsia="仿宋_GB2312" w:cs="仿宋_GB2312"/>
          <w:kern w:val="2"/>
          <w:sz w:val="32"/>
          <w:szCs w:val="32"/>
          <w:lang w:val="en-US" w:eastAsia="zh-CN" w:bidi="ar-SA"/>
        </w:rPr>
        <w:t>了</w:t>
      </w:r>
      <w:r>
        <w:rPr>
          <w:rFonts w:hint="default" w:ascii="仿宋_GB2312" w:hAnsi="仿宋_GB2312" w:eastAsia="仿宋_GB2312" w:cs="仿宋_GB2312"/>
          <w:kern w:val="2"/>
          <w:sz w:val="32"/>
          <w:szCs w:val="32"/>
          <w:lang w:val="en-US" w:eastAsia="zh-CN" w:bidi="ar-SA"/>
        </w:rPr>
        <w:t>事故单位、行业</w:t>
      </w:r>
      <w:r>
        <w:rPr>
          <w:rFonts w:hint="eastAsia" w:ascii="仿宋_GB2312" w:hAnsi="仿宋_GB2312" w:eastAsia="仿宋_GB2312" w:cs="仿宋_GB2312"/>
          <w:kern w:val="2"/>
          <w:sz w:val="32"/>
          <w:szCs w:val="32"/>
          <w:lang w:val="en-US" w:eastAsia="zh-CN" w:bidi="ar-SA"/>
        </w:rPr>
        <w:t>监</w:t>
      </w:r>
      <w:r>
        <w:rPr>
          <w:rFonts w:hint="default" w:ascii="仿宋_GB2312" w:hAnsi="仿宋_GB2312" w:eastAsia="仿宋_GB2312" w:cs="仿宋_GB2312"/>
          <w:kern w:val="2"/>
          <w:sz w:val="32"/>
          <w:szCs w:val="32"/>
          <w:lang w:val="en-US" w:eastAsia="zh-CN" w:bidi="ar-SA"/>
        </w:rPr>
        <w:t>管部门</w:t>
      </w:r>
      <w:r>
        <w:rPr>
          <w:rFonts w:hint="eastAsia" w:ascii="仿宋_GB2312" w:hAnsi="仿宋_GB2312" w:eastAsia="仿宋_GB2312" w:cs="仿宋_GB2312"/>
          <w:kern w:val="2"/>
          <w:sz w:val="32"/>
          <w:szCs w:val="32"/>
          <w:lang w:val="en-US" w:eastAsia="zh-CN" w:bidi="ar-SA"/>
        </w:rPr>
        <w:t>针对事故</w:t>
      </w:r>
      <w:r>
        <w:rPr>
          <w:rFonts w:hint="default" w:ascii="仿宋_GB2312" w:hAnsi="仿宋_GB2312" w:eastAsia="仿宋_GB2312" w:cs="仿宋_GB2312"/>
          <w:kern w:val="2"/>
          <w:sz w:val="32"/>
          <w:szCs w:val="32"/>
          <w:lang w:val="en-US" w:eastAsia="zh-CN" w:bidi="ar-SA"/>
        </w:rPr>
        <w:t>防范</w:t>
      </w:r>
      <w:r>
        <w:rPr>
          <w:rFonts w:hint="eastAsia" w:ascii="仿宋_GB2312" w:hAnsi="仿宋_GB2312" w:eastAsia="仿宋_GB2312" w:cs="仿宋_GB2312"/>
          <w:kern w:val="2"/>
          <w:sz w:val="32"/>
          <w:szCs w:val="32"/>
          <w:lang w:val="en-US" w:eastAsia="zh-CN" w:bidi="ar-SA"/>
        </w:rPr>
        <w:t>采取的措施和事故问题隐患整改情况报告，并查阅了相关佐证材料后做了现场反馈。</w:t>
      </w:r>
    </w:p>
    <w:p>
      <w:pPr>
        <w:keepNext w:val="0"/>
        <w:keepLines w:val="0"/>
        <w:pageBreakBefore w:val="0"/>
        <w:widowControl w:val="0"/>
        <w:numPr>
          <w:ilvl w:val="0"/>
          <w:numId w:val="0"/>
        </w:numPr>
        <w:kinsoku/>
        <w:wordWrap/>
        <w:overflowPunct/>
        <w:topLinePunct w:val="0"/>
        <w:autoSpaceDE/>
        <w:autoSpaceDN/>
        <w:bidi w:val="0"/>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三、事故相关单位和人员责任追究情况</w:t>
      </w:r>
    </w:p>
    <w:p>
      <w:pPr>
        <w:pStyle w:val="2"/>
        <w:keepNext w:val="0"/>
        <w:keepLines w:val="0"/>
        <w:pageBreakBefore w:val="0"/>
        <w:widowControl w:val="0"/>
        <w:kinsoku/>
        <w:wordWrap/>
        <w:overflowPunct/>
        <w:topLinePunct w:val="0"/>
        <w:autoSpaceDE/>
        <w:autoSpaceDN/>
        <w:bidi w:val="0"/>
        <w:spacing w:line="560" w:lineRule="exact"/>
        <w:ind w:left="0" w:leftChars="0"/>
        <w:textAlignment w:val="auto"/>
        <w:rPr>
          <w:rFonts w:hint="eastAsia" w:ascii="仿宋_GB2312" w:hAnsi="仿宋_GB2312" w:cs="仿宋_GB2312"/>
          <w:sz w:val="32"/>
          <w:szCs w:val="32"/>
          <w:lang w:val="en-US" w:eastAsia="zh-CN"/>
        </w:rPr>
      </w:pPr>
      <w:r>
        <w:rPr>
          <w:rFonts w:hint="eastAsia"/>
          <w:sz w:val="32"/>
          <w:szCs w:val="32"/>
          <w:lang w:val="en-US" w:eastAsia="zh-CN"/>
        </w:rPr>
        <w:t>依据《</w:t>
      </w:r>
      <w:r>
        <w:rPr>
          <w:rFonts w:hint="eastAsia" w:ascii="仿宋_GB2312" w:hAnsi="仿宋_GB2312" w:eastAsia="仿宋_GB2312" w:cs="仿宋_GB2312"/>
          <w:sz w:val="32"/>
          <w:szCs w:val="32"/>
          <w:lang w:val="en-US" w:eastAsia="zh-CN"/>
        </w:rPr>
        <w:t>通辽市人民政府</w:t>
      </w:r>
      <w:r>
        <w:rPr>
          <w:rFonts w:hint="eastAsia" w:ascii="仿宋_GB2312" w:hAnsi="仿宋_GB2312" w:cs="仿宋_GB2312"/>
          <w:sz w:val="32"/>
          <w:szCs w:val="32"/>
          <w:lang w:val="en-US" w:eastAsia="zh-CN"/>
        </w:rPr>
        <w:t>关于</w:t>
      </w:r>
      <w:r>
        <w:rPr>
          <w:rFonts w:hint="eastAsia" w:ascii="仿宋_GB2312" w:hAnsi="仿宋_GB2312" w:eastAsia="仿宋_GB2312" w:cs="仿宋_GB2312"/>
          <w:sz w:val="32"/>
          <w:szCs w:val="32"/>
          <w:lang w:val="en-US" w:eastAsia="zh-CN"/>
        </w:rPr>
        <w:t>通辽市诚达物业服务有限公司</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6</w:t>
      </w:r>
      <w:r>
        <w:rPr>
          <w:rFonts w:hint="eastAsia" w:ascii="仿宋_GB2312" w:hAnsi="仿宋_GB2312" w:eastAsia="仿宋_GB2312" w:cs="仿宋_GB2312"/>
          <w:sz w:val="32"/>
          <w:lang w:eastAsia="zh-CN"/>
        </w:rPr>
        <w:t>·</w:t>
      </w:r>
      <w:r>
        <w:rPr>
          <w:rFonts w:hint="eastAsia" w:ascii="仿宋_GB2312" w:hAnsi="仿宋_GB2312" w:eastAsia="仿宋_GB2312" w:cs="仿宋_GB2312"/>
          <w:sz w:val="32"/>
          <w:lang w:val="en-US" w:eastAsia="zh-CN"/>
        </w:rPr>
        <w:t>22</w:t>
      </w:r>
      <w:r>
        <w:rPr>
          <w:rFonts w:hint="eastAsia" w:ascii="仿宋_GB2312" w:hAnsi="仿宋_GB2312" w:eastAsia="仿宋_GB2312" w:cs="仿宋_GB2312"/>
          <w:sz w:val="32"/>
          <w:lang w:eastAsia="zh-CN"/>
        </w:rPr>
        <w:t>”高处坠落</w:t>
      </w:r>
      <w:r>
        <w:rPr>
          <w:rFonts w:hint="eastAsia" w:ascii="仿宋_GB2312" w:hAnsi="仿宋_GB2312" w:eastAsia="仿宋_GB2312" w:cs="仿宋_GB2312"/>
          <w:sz w:val="32"/>
          <w:szCs w:val="32"/>
          <w:lang w:val="en-US" w:eastAsia="zh-CN"/>
        </w:rPr>
        <w:t>一般生产</w:t>
      </w:r>
      <w:r>
        <w:rPr>
          <w:rFonts w:hint="eastAsia" w:ascii="仿宋_GB2312" w:hAnsi="仿宋_GB2312" w:cs="仿宋_GB2312"/>
          <w:sz w:val="32"/>
          <w:szCs w:val="32"/>
          <w:lang w:val="en-US" w:eastAsia="zh-CN"/>
        </w:rPr>
        <w:t>安</w:t>
      </w:r>
      <w:r>
        <w:rPr>
          <w:rFonts w:hint="eastAsia" w:ascii="仿宋_GB2312" w:hAnsi="仿宋_GB2312" w:eastAsia="仿宋_GB2312" w:cs="仿宋_GB2312"/>
          <w:sz w:val="32"/>
          <w:szCs w:val="32"/>
          <w:lang w:val="en-US" w:eastAsia="zh-CN"/>
        </w:rPr>
        <w:t>全事故</w:t>
      </w:r>
      <w:r>
        <w:rPr>
          <w:rFonts w:hint="eastAsia" w:ascii="仿宋_GB2312" w:hAnsi="仿宋_GB2312" w:eastAsia="仿宋_GB2312" w:cs="仿宋_GB2312"/>
          <w:sz w:val="32"/>
          <w:szCs w:val="32"/>
          <w:lang w:eastAsia="zh-CN"/>
        </w:rPr>
        <w:t>调查处理报告</w:t>
      </w:r>
      <w:r>
        <w:rPr>
          <w:rFonts w:hint="eastAsia" w:ascii="仿宋_GB2312" w:hAnsi="仿宋_GB2312" w:cs="仿宋_GB2312"/>
          <w:sz w:val="32"/>
          <w:szCs w:val="32"/>
          <w:lang w:eastAsia="zh-CN"/>
        </w:rPr>
        <w:t>的</w:t>
      </w:r>
      <w:r>
        <w:rPr>
          <w:rFonts w:hint="eastAsia" w:ascii="仿宋_GB2312" w:hAnsi="仿宋_GB2312" w:eastAsia="仿宋_GB2312" w:cs="仿宋_GB2312"/>
          <w:sz w:val="32"/>
          <w:szCs w:val="32"/>
          <w:lang w:val="en-US" w:eastAsia="zh-CN"/>
        </w:rPr>
        <w:t>批复》（通政字﹝2021﹞64号）</w:t>
      </w:r>
      <w:r>
        <w:rPr>
          <w:rFonts w:hint="eastAsia" w:ascii="仿宋_GB2312" w:hAnsi="仿宋_GB2312" w:cs="仿宋_GB2312"/>
          <w:sz w:val="32"/>
          <w:szCs w:val="32"/>
          <w:lang w:val="en-US" w:eastAsia="zh-CN"/>
        </w:rPr>
        <w:t>文件</w:t>
      </w:r>
      <w:r>
        <w:rPr>
          <w:rFonts w:hint="eastAsia" w:ascii="仿宋_GB2312" w:hAnsi="仿宋_GB2312" w:eastAsia="仿宋_GB2312" w:cs="仿宋_GB2312"/>
          <w:sz w:val="32"/>
          <w:szCs w:val="32"/>
          <w:lang w:val="en-US" w:eastAsia="zh-CN"/>
        </w:rPr>
        <w:t>，</w:t>
      </w:r>
      <w:r>
        <w:rPr>
          <w:rFonts w:hint="eastAsia"/>
          <w:sz w:val="32"/>
          <w:szCs w:val="32"/>
          <w:lang w:val="en-US" w:eastAsia="zh-CN"/>
        </w:rPr>
        <w:t>通辽市应急管理局分别对通辽市诚达物业服务有限公司、通辽市诚达物业服务有限公司总经理刘峰、</w:t>
      </w:r>
      <w:r>
        <w:rPr>
          <w:rFonts w:hint="eastAsia" w:ascii="仿宋_GB2312" w:hAnsi="仿宋_GB2312" w:eastAsia="仿宋_GB2312" w:cs="仿宋_GB2312"/>
          <w:sz w:val="32"/>
          <w:szCs w:val="32"/>
          <w:lang w:val="en-US" w:eastAsia="zh-CN"/>
        </w:rPr>
        <w:t>通辽市诚达物业服务有限公司副总经理白阳</w:t>
      </w:r>
      <w:r>
        <w:rPr>
          <w:rFonts w:hint="eastAsia" w:ascii="仿宋_GB2312" w:hAnsi="仿宋_GB2312" w:cs="仿宋_GB2312"/>
          <w:sz w:val="32"/>
          <w:szCs w:val="32"/>
          <w:lang w:val="en-US" w:eastAsia="zh-CN"/>
        </w:rPr>
        <w:t>和</w:t>
      </w:r>
      <w:r>
        <w:rPr>
          <w:rFonts w:hint="eastAsia" w:ascii="仿宋_GB2312" w:hAnsi="仿宋_GB2312" w:eastAsia="仿宋_GB2312" w:cs="仿宋_GB2312"/>
          <w:sz w:val="32"/>
          <w:szCs w:val="32"/>
          <w:lang w:val="en-US" w:eastAsia="zh-CN"/>
        </w:rPr>
        <w:t>李绍臣、刘秀广</w:t>
      </w:r>
      <w:r>
        <w:rPr>
          <w:rFonts w:hint="eastAsia" w:ascii="仿宋_GB2312" w:hAnsi="仿宋_GB2312" w:eastAsia="仿宋_GB2312" w:cs="仿宋_GB2312"/>
          <w:sz w:val="32"/>
          <w:szCs w:val="32"/>
          <w:lang w:eastAsia="zh-CN"/>
        </w:rPr>
        <w:t>等单位和个人</w:t>
      </w:r>
      <w:r>
        <w:rPr>
          <w:rFonts w:hint="eastAsia" w:ascii="仿宋_GB2312" w:hAnsi="仿宋_GB2312" w:cs="仿宋_GB2312"/>
          <w:sz w:val="32"/>
          <w:szCs w:val="32"/>
          <w:lang w:eastAsia="zh-CN"/>
        </w:rPr>
        <w:t>违法违规行为</w:t>
      </w:r>
      <w:r>
        <w:rPr>
          <w:rFonts w:hint="eastAsia" w:ascii="仿宋_GB2312" w:hAnsi="仿宋_GB2312" w:eastAsia="仿宋_GB2312" w:cs="仿宋_GB2312"/>
          <w:sz w:val="32"/>
          <w:szCs w:val="32"/>
          <w:lang w:val="en-US" w:eastAsia="zh-CN"/>
        </w:rPr>
        <w:t>进行</w:t>
      </w:r>
      <w:r>
        <w:rPr>
          <w:rFonts w:hint="eastAsia" w:ascii="仿宋_GB2312" w:hAnsi="仿宋_GB2312" w:cs="仿宋_GB2312"/>
          <w:sz w:val="32"/>
          <w:szCs w:val="32"/>
          <w:lang w:val="en-US" w:eastAsia="zh-CN"/>
        </w:rPr>
        <w:t>了立案查处。</w:t>
      </w:r>
      <w:r>
        <w:rPr>
          <w:rFonts w:hint="eastAsia" w:ascii="仿宋_GB2312" w:hAnsi="仿宋_GB2312" w:eastAsia="仿宋_GB2312" w:cs="仿宋_GB2312"/>
          <w:sz w:val="32"/>
          <w:szCs w:val="32"/>
          <w:lang w:val="en-US" w:eastAsia="zh-CN"/>
        </w:rPr>
        <w:t>2021年8月26日立案；2021年</w:t>
      </w:r>
      <w:r>
        <w:rPr>
          <w:rFonts w:hint="eastAsia" w:ascii="仿宋_GB2312" w:hAnsi="仿宋_GB2312" w:eastAsia="仿宋_GB2312" w:cs="仿宋_GB2312"/>
          <w:sz w:val="32"/>
          <w:szCs w:val="32"/>
          <w:lang w:eastAsia="zh-CN"/>
        </w:rPr>
        <w:t>9</w:t>
      </w:r>
      <w:r>
        <w:rPr>
          <w:rFonts w:hint="eastAsia"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lang w:val="en-US" w:eastAsia="zh-CN"/>
        </w:rPr>
        <w:t>日，下达行政处罚决定书；2021年10月</w:t>
      </w:r>
      <w:r>
        <w:rPr>
          <w:rFonts w:hint="eastAsia" w:ascii="仿宋_GB2312" w:hAnsi="仿宋_GB2312" w:eastAsia="仿宋_GB2312" w:cs="仿宋_GB2312"/>
          <w:sz w:val="32"/>
          <w:szCs w:val="32"/>
          <w:lang w:eastAsia="zh-CN"/>
        </w:rPr>
        <w:t>18</w:t>
      </w:r>
      <w:r>
        <w:rPr>
          <w:rFonts w:hint="eastAsia" w:ascii="仿宋_GB2312" w:hAnsi="仿宋_GB2312" w:eastAsia="仿宋_GB2312" w:cs="仿宋_GB2312"/>
          <w:sz w:val="32"/>
          <w:szCs w:val="32"/>
          <w:lang w:val="en-US" w:eastAsia="zh-CN"/>
        </w:rPr>
        <w:t>日，</w:t>
      </w:r>
      <w:r>
        <w:rPr>
          <w:rFonts w:hint="eastAsia" w:ascii="仿宋_GB2312" w:hAnsi="仿宋_GB2312" w:cs="仿宋_GB2312"/>
          <w:sz w:val="32"/>
          <w:szCs w:val="32"/>
          <w:lang w:val="en-US" w:eastAsia="zh-CN"/>
        </w:rPr>
        <w:t>事故责任单位和个人罚款缴指指定银行。其中，</w:t>
      </w:r>
      <w:r>
        <w:rPr>
          <w:rFonts w:hint="eastAsia" w:ascii="仿宋_GB2312" w:hAnsi="仿宋_GB2312" w:eastAsia="仿宋_GB2312" w:cs="仿宋_GB2312"/>
          <w:sz w:val="32"/>
          <w:szCs w:val="32"/>
          <w:lang w:eastAsia="zh-CN"/>
        </w:rPr>
        <w:t>通辽市诚达物业服务有限公司</w:t>
      </w:r>
      <w:r>
        <w:rPr>
          <w:rFonts w:hint="eastAsia" w:ascii="仿宋_GB2312" w:hAnsi="仿宋_GB2312" w:eastAsia="仿宋_GB2312" w:cs="仿宋_GB2312"/>
          <w:sz w:val="32"/>
          <w:szCs w:val="32"/>
          <w:lang w:val="en-US" w:eastAsia="zh-CN"/>
        </w:rPr>
        <w:t>单位罚款</w:t>
      </w:r>
      <w:r>
        <w:rPr>
          <w:rFonts w:hint="eastAsia" w:ascii="仿宋_GB2312" w:hAnsi="仿宋_GB2312" w:eastAsia="仿宋_GB2312" w:cs="仿宋_GB2312"/>
          <w:sz w:val="32"/>
          <w:szCs w:val="32"/>
          <w:lang w:eastAsia="zh-CN"/>
        </w:rPr>
        <w:t>30</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lang w:eastAsia="zh-CN"/>
        </w:rPr>
        <w:t>、刘峰个人罚款2.52万元</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白阳个人罚款0.9万元、李绍臣个人罚款0.9万元、刘秀广个人罚款0.6万元</w:t>
      </w:r>
      <w:r>
        <w:rPr>
          <w:rFonts w:hint="eastAsia" w:ascii="仿宋_GB2312" w:hAnsi="仿宋_GB2312" w:cs="仿宋_GB2312"/>
          <w:sz w:val="32"/>
          <w:szCs w:val="32"/>
          <w:lang w:val="en-US" w:eastAsia="zh-CN"/>
        </w:rPr>
        <w:t>。</w:t>
      </w:r>
    </w:p>
    <w:p>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该事故无刑事责任追究和党纪政务处分。</w:t>
      </w:r>
    </w:p>
    <w:p>
      <w:pPr>
        <w:keepNext w:val="0"/>
        <w:keepLines w:val="0"/>
        <w:pageBreakBefore w:val="0"/>
        <w:widowControl w:val="0"/>
        <w:numPr>
          <w:ilvl w:val="0"/>
          <w:numId w:val="0"/>
        </w:numPr>
        <w:kinsoku/>
        <w:wordWrap/>
        <w:overflowPunct/>
        <w:topLinePunct w:val="0"/>
        <w:autoSpaceDE/>
        <w:autoSpaceDN/>
        <w:bidi w:val="0"/>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四、事故责任单位落实事故防范和整改措施情况</w:t>
      </w:r>
    </w:p>
    <w:p>
      <w:pPr>
        <w:pStyle w:val="2"/>
        <w:keepNext w:val="0"/>
        <w:keepLines w:val="0"/>
        <w:pageBreakBefore w:val="0"/>
        <w:widowControl w:val="0"/>
        <w:numPr>
          <w:ilvl w:val="0"/>
          <w:numId w:val="2"/>
        </w:numPr>
        <w:kinsoku/>
        <w:wordWrap/>
        <w:overflowPunct/>
        <w:topLinePunct w:val="0"/>
        <w:autoSpaceDE/>
        <w:autoSpaceDN/>
        <w:bidi w:val="0"/>
        <w:spacing w:line="560" w:lineRule="exact"/>
        <w:ind w:left="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开发区建设管理局</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通辽市经济技术开发区建设管理局作为事故责任主体物业公司行业主管部门按照事故调查报告提出的事故防范和整改措施要求</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将通辽市诚达物业服务有限公司记入2021年度物业管理数字化工作平台黑名单，并上报通辽市物业行业主管部门备案；</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加大对龙庭御府小区的安全监管力度和检查频次，针对住宅小区内存在的飞线充电、堵塞消防通道、易燃杂物乱堆乱放等日常存在的违规乱象，与各街道、社区、城市综合执法部门、消防部门、公安部门、物业服务企业等单位部门进行联合执法，及时消除安全隐患。</w:t>
      </w: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lang w:val="en-US" w:eastAsia="zh-CN"/>
        </w:rPr>
        <w:t>是</w:t>
      </w:r>
      <w:r>
        <w:rPr>
          <w:rFonts w:hint="eastAsia" w:ascii="仿宋_GB2312" w:hAnsi="仿宋_GB2312" w:eastAsia="仿宋_GB2312" w:cs="仿宋_GB2312"/>
          <w:sz w:val="32"/>
          <w:szCs w:val="32"/>
          <w:lang w:val="en-US" w:eastAsia="zh-CN"/>
        </w:rPr>
        <w:t>对物业服务企业在日常服务中可能存在安全隐患的操作（如：封闭空间作业、高空作业、高低压用电等），要求物业服务企业编写操作规程，并对工作人员进行定期培训，确保操作规范，无安全生产事故发生。</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督促指导各物业服务企业每年组织开展最少一次消防应急演练。</w:t>
      </w:r>
      <w:r>
        <w:rPr>
          <w:rFonts w:hint="eastAsia" w:ascii="仿宋_GB2312" w:hAnsi="仿宋_GB2312" w:eastAsia="仿宋_GB2312" w:cs="仿宋_GB2312"/>
          <w:b/>
          <w:bCs/>
          <w:sz w:val="32"/>
          <w:szCs w:val="32"/>
          <w:lang w:val="en-US" w:eastAsia="zh-CN"/>
        </w:rPr>
        <w:t>五是</w:t>
      </w:r>
      <w:r>
        <w:rPr>
          <w:rFonts w:hint="eastAsia" w:ascii="仿宋_GB2312" w:hAnsi="仿宋_GB2312" w:eastAsia="仿宋_GB2312" w:cs="仿宋_GB2312"/>
          <w:sz w:val="32"/>
          <w:szCs w:val="32"/>
          <w:lang w:val="en-US" w:eastAsia="zh-CN"/>
        </w:rPr>
        <w:t>安全生产宣传工作，组织各物业服务企业加强对防火、用电、高空坠物等相关法律法规和知识的宣传。</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通辽市诚达物业服务有限公司</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textAlignment w:val="auto"/>
        <w:rPr>
          <w:rFonts w:hint="default"/>
          <w:lang w:val="en-US" w:eastAsia="zh-CN"/>
        </w:rPr>
      </w:pPr>
      <w:r>
        <w:rPr>
          <w:rFonts w:hint="eastAsia" w:ascii="仿宋_GB2312" w:hAnsi="仿宋_GB2312" w:eastAsia="仿宋_GB2312" w:cs="仿宋_GB2312"/>
          <w:sz w:val="32"/>
          <w:szCs w:val="32"/>
          <w:lang w:val="en-US" w:eastAsia="zh-CN"/>
        </w:rPr>
        <w:t>通辽市诚达物业服务有限公司作为事故责任主体单位，</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建立健全</w:t>
      </w:r>
      <w:r>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t>有效的安全生产规章制度和操作规程等标准化管理</w:t>
      </w:r>
      <w:r>
        <w:rPr>
          <w:rFonts w:hint="eastAsia" w:ascii="仿宋_GB2312" w:hAnsi="仿宋_GB2312" w:eastAsia="仿宋_GB2312" w:cs="仿宋_GB2312"/>
          <w:i w:val="0"/>
          <w:iCs w:val="0"/>
          <w:caps w:val="0"/>
          <w:color w:val="000000" w:themeColor="text1"/>
          <w:spacing w:val="0"/>
          <w:sz w:val="32"/>
          <w:szCs w:val="32"/>
          <w:lang w:eastAsia="zh-CN"/>
          <w14:textFill>
            <w14:solidFill>
              <w14:schemeClr w14:val="tx1"/>
            </w14:solidFill>
          </w14:textFill>
        </w:rPr>
        <w:t>机制，包括</w:t>
      </w:r>
      <w:r>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t>教育培训、现场管理、警示标志、安全风险管控及隐患排查治理</w:t>
      </w:r>
      <w:r>
        <w:rPr>
          <w:rFonts w:hint="eastAsia" w:ascii="仿宋_GB2312" w:hAnsi="仿宋_GB2312" w:eastAsia="仿宋_GB2312" w:cs="仿宋_GB2312"/>
          <w:i w:val="0"/>
          <w:iCs w:val="0"/>
          <w:caps w:val="0"/>
          <w:color w:val="000000" w:themeColor="text1"/>
          <w:spacing w:val="0"/>
          <w:sz w:val="32"/>
          <w:szCs w:val="32"/>
          <w:lang w:eastAsia="zh-CN"/>
          <w14:textFill>
            <w14:solidFill>
              <w14:schemeClr w14:val="tx1"/>
            </w14:solidFill>
          </w14:textFill>
        </w:rPr>
        <w:t>等。</w:t>
      </w:r>
      <w:r>
        <w:rPr>
          <w:rFonts w:hint="eastAsia" w:ascii="仿宋_GB2312" w:hAnsi="仿宋_GB2312" w:eastAsia="仿宋_GB2312" w:cs="仿宋_GB2312"/>
          <w:b/>
          <w:bCs/>
          <w:i w:val="0"/>
          <w:iCs w:val="0"/>
          <w:caps w:val="0"/>
          <w:color w:val="000000" w:themeColor="text1"/>
          <w:spacing w:val="0"/>
          <w:sz w:val="32"/>
          <w:szCs w:val="32"/>
          <w:lang w:eastAsia="zh-CN"/>
          <w14:textFill>
            <w14:solidFill>
              <w14:schemeClr w14:val="tx1"/>
            </w14:solidFill>
          </w14:textFill>
        </w:rPr>
        <w:t>二是</w:t>
      </w:r>
      <w:r>
        <w:rPr>
          <w:rFonts w:hint="eastAsia" w:ascii="仿宋_GB2312" w:hAnsi="仿宋_GB2312" w:eastAsia="仿宋_GB2312" w:cs="仿宋_GB2312"/>
          <w:i w:val="0"/>
          <w:iCs w:val="0"/>
          <w:caps w:val="0"/>
          <w:color w:val="000000" w:themeColor="text1"/>
          <w:spacing w:val="0"/>
          <w:sz w:val="32"/>
          <w:szCs w:val="32"/>
          <w:lang w:eastAsia="zh-CN"/>
          <w14:textFill>
            <w14:solidFill>
              <w14:schemeClr w14:val="tx1"/>
            </w14:solidFill>
          </w14:textFill>
        </w:rPr>
        <w:t>所有特种作业人员均已持证上岗。</w:t>
      </w:r>
      <w:r>
        <w:rPr>
          <w:rFonts w:hint="eastAsia" w:ascii="仿宋_GB2312" w:hAnsi="仿宋_GB2312" w:eastAsia="仿宋_GB2312" w:cs="仿宋_GB2312"/>
          <w:b/>
          <w:bCs/>
          <w:i w:val="0"/>
          <w:iCs w:val="0"/>
          <w:caps w:val="0"/>
          <w:color w:val="000000" w:themeColor="text1"/>
          <w:spacing w:val="0"/>
          <w:sz w:val="32"/>
          <w:szCs w:val="32"/>
          <w:shd w:val="clear" w:fill="FFFFFF"/>
          <w:lang w:eastAsia="zh-CN"/>
          <w14:textFill>
            <w14:solidFill>
              <w14:schemeClr w14:val="tx1"/>
            </w14:solidFill>
          </w14:textFill>
        </w:rPr>
        <w:t>三是</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物业管理区域内的各类建设、改造、维修工程，督促施工单位依法申报施工许可或开工登记，签订安全</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生产管理协议</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明确责任义务，并</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向上级部门备案</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依法接受政府部门监督管理</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，杜绝以包代管。</w:t>
      </w:r>
      <w:r>
        <w:rPr>
          <w:rFonts w:hint="eastAsia" w:ascii="仿宋_GB2312" w:hAnsi="仿宋_GB2312" w:eastAsia="仿宋_GB2312" w:cs="仿宋_GB2312"/>
          <w:b/>
          <w:bCs/>
          <w:i w:val="0"/>
          <w:iCs w:val="0"/>
          <w:caps w:val="0"/>
          <w:color w:val="000000" w:themeColor="text1"/>
          <w:spacing w:val="0"/>
          <w:sz w:val="32"/>
          <w:szCs w:val="32"/>
          <w:shd w:val="clear" w:fill="FFFFFF"/>
          <w:lang w:eastAsia="zh-CN"/>
          <w14:textFill>
            <w14:solidFill>
              <w14:schemeClr w14:val="tx1"/>
            </w14:solidFill>
          </w14:textFill>
        </w:rPr>
        <w:t>四是</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加大日常监管巡查力度，重点</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对</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有限空间、高空抛物、高处坠落、机械类伤害、地下管线保护等事故易发点的安全隐患排查。</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hint="default" w:ascii="Times New Roman" w:hAnsi="Times New Roman" w:eastAsia="黑体" w:cs="Times New Roman"/>
          <w:b w:val="0"/>
          <w:bCs w:val="0"/>
          <w:color w:val="auto"/>
          <w:sz w:val="32"/>
          <w:szCs w:val="32"/>
          <w:lang w:val="en-US" w:eastAsia="zh-CN"/>
        </w:rPr>
      </w:pPr>
      <w:r>
        <w:rPr>
          <w:rFonts w:hint="eastAsia" w:eastAsia="黑体" w:cs="Times New Roman"/>
          <w:b w:val="0"/>
          <w:bCs w:val="0"/>
          <w:color w:val="auto"/>
          <w:sz w:val="32"/>
          <w:szCs w:val="32"/>
          <w:lang w:val="en-US" w:eastAsia="zh-CN"/>
        </w:rPr>
        <w:t>五</w:t>
      </w:r>
      <w:r>
        <w:rPr>
          <w:rFonts w:hint="default" w:ascii="Times New Roman" w:hAnsi="Times New Roman" w:eastAsia="黑体" w:cs="Times New Roman"/>
          <w:b w:val="0"/>
          <w:bCs w:val="0"/>
          <w:color w:val="auto"/>
          <w:sz w:val="32"/>
          <w:szCs w:val="32"/>
          <w:lang w:val="en-US" w:eastAsia="zh-CN"/>
        </w:rPr>
        <w:t>、综合评定的相关意见</w:t>
      </w:r>
    </w:p>
    <w:p>
      <w:pPr>
        <w:keepNext w:val="0"/>
        <w:keepLines w:val="0"/>
        <w:pageBreakBefore w:val="0"/>
        <w:widowControl w:val="0"/>
        <w:kinsoku/>
        <w:wordWrap/>
        <w:overflowPunct/>
        <w:topLinePunct w:val="0"/>
        <w:autoSpaceDE/>
        <w:autoSpaceDN/>
        <w:bidi w:val="0"/>
        <w:adjustRightInd/>
        <w:snapToGrid/>
        <w:spacing w:line="560" w:lineRule="exact"/>
        <w:ind w:left="0" w:firstLine="640"/>
        <w:textAlignment w:val="auto"/>
        <w:rPr>
          <w:rFonts w:hint="default" w:ascii="Times New Roman" w:hAnsi="Times New Roman" w:eastAsia="仿宋_GB2312" w:cs="Times New Roman"/>
          <w:color w:val="auto"/>
          <w:kern w:val="2"/>
          <w:sz w:val="32"/>
          <w:szCs w:val="32"/>
          <w:lang w:val="en-US" w:eastAsia="zh-CN" w:bidi="ar-SA"/>
        </w:rPr>
      </w:pPr>
      <w:r>
        <w:rPr>
          <w:rFonts w:hint="eastAsia" w:ascii="仿宋_GB2312" w:hAnsi="仿宋_GB2312" w:eastAsia="仿宋_GB2312" w:cs="仿宋_GB2312"/>
          <w:b w:val="0"/>
          <w:bCs w:val="0"/>
          <w:sz w:val="32"/>
          <w:szCs w:val="32"/>
          <w:lang w:val="en-US" w:eastAsia="zh-CN"/>
        </w:rPr>
        <w:t>从总体情况看，“6.22”事故发生后，</w:t>
      </w:r>
      <w:r>
        <w:rPr>
          <w:rFonts w:hint="eastAsia" w:ascii="仿宋_GB2312" w:hAnsi="仿宋_GB2312" w:eastAsia="仿宋_GB2312" w:cs="仿宋_GB2312"/>
          <w:color w:val="auto"/>
          <w:kern w:val="2"/>
          <w:sz w:val="32"/>
          <w:szCs w:val="32"/>
          <w:lang w:val="en-US" w:eastAsia="zh-CN" w:bidi="ar-SA"/>
        </w:rPr>
        <w:t>行业监管部门积极履职，事故企业积极整改，责任追究完成较为彻底，符合安全生产事故调查处理“四不放过”原则，起到了积极的警示作用。</w:t>
      </w:r>
    </w:p>
    <w:p>
      <w:pPr>
        <w:pStyle w:val="2"/>
        <w:keepNext w:val="0"/>
        <w:keepLines w:val="0"/>
        <w:pageBreakBefore w:val="0"/>
        <w:widowControl w:val="0"/>
        <w:kinsoku/>
        <w:wordWrap/>
        <w:overflowPunct/>
        <w:topLinePunct w:val="0"/>
        <w:autoSpaceDE/>
        <w:autoSpaceDN/>
        <w:bidi w:val="0"/>
        <w:spacing w:line="560" w:lineRule="exact"/>
        <w:ind w:left="0"/>
        <w:textAlignment w:val="auto"/>
        <w:rPr>
          <w:rFonts w:hint="eastAsia"/>
          <w:lang w:val="en-US" w:eastAsia="zh-CN"/>
        </w:rPr>
      </w:pPr>
    </w:p>
    <w:p>
      <w:pPr>
        <w:pStyle w:val="2"/>
        <w:keepNext w:val="0"/>
        <w:keepLines w:val="0"/>
        <w:pageBreakBefore w:val="0"/>
        <w:widowControl w:val="0"/>
        <w:kinsoku/>
        <w:wordWrap/>
        <w:overflowPunct/>
        <w:topLinePunct w:val="0"/>
        <w:autoSpaceDE/>
        <w:autoSpaceDN/>
        <w:bidi w:val="0"/>
        <w:spacing w:line="560" w:lineRule="exact"/>
        <w:ind w:left="0"/>
        <w:textAlignment w:val="auto"/>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新魏">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隶书">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AFF" w:usb1="C0007843" w:usb2="00000009" w:usb3="00000000" w:csb0="400001FF" w:csb1="FFFF0000"/>
  </w:font>
  <w:font w:name="Angsana New">
    <w:panose1 w:val="02020603050405020304"/>
    <w:charset w:val="00"/>
    <w:family w:val="auto"/>
    <w:pitch w:val="default"/>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DD9963"/>
    <w:multiLevelType w:val="singleLevel"/>
    <w:tmpl w:val="E9DD9963"/>
    <w:lvl w:ilvl="0" w:tentative="0">
      <w:start w:val="1"/>
      <w:numFmt w:val="chineseCounting"/>
      <w:suff w:val="nothing"/>
      <w:lvlText w:val="（%1）"/>
      <w:lvlJc w:val="left"/>
      <w:rPr>
        <w:rFonts w:hint="eastAsia"/>
      </w:rPr>
    </w:lvl>
  </w:abstractNum>
  <w:abstractNum w:abstractNumId="1">
    <w:nsid w:val="4A2B424D"/>
    <w:multiLevelType w:val="singleLevel"/>
    <w:tmpl w:val="4A2B424D"/>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yMmUxZTYzZWZkNTFjMDJkYTJmMTExNTczYTczN2UifQ=="/>
  </w:docVars>
  <w:rsids>
    <w:rsidRoot w:val="56A61E86"/>
    <w:rsid w:val="00B406C6"/>
    <w:rsid w:val="01A423A2"/>
    <w:rsid w:val="06E36BF4"/>
    <w:rsid w:val="07042E20"/>
    <w:rsid w:val="0A407226"/>
    <w:rsid w:val="0A7F0814"/>
    <w:rsid w:val="0DC91D6D"/>
    <w:rsid w:val="0E6F0323"/>
    <w:rsid w:val="0EDB32C2"/>
    <w:rsid w:val="121F5A3A"/>
    <w:rsid w:val="169A3C25"/>
    <w:rsid w:val="1AAF6514"/>
    <w:rsid w:val="1B0034A2"/>
    <w:rsid w:val="1C651EAE"/>
    <w:rsid w:val="1CA512EF"/>
    <w:rsid w:val="1FA57855"/>
    <w:rsid w:val="22C7418E"/>
    <w:rsid w:val="2C4757A6"/>
    <w:rsid w:val="318F599E"/>
    <w:rsid w:val="33AE06F6"/>
    <w:rsid w:val="391B1AB4"/>
    <w:rsid w:val="3D6F28F7"/>
    <w:rsid w:val="3D941E11"/>
    <w:rsid w:val="3FD555F9"/>
    <w:rsid w:val="40B9762F"/>
    <w:rsid w:val="462C0CAE"/>
    <w:rsid w:val="4639629D"/>
    <w:rsid w:val="469258A6"/>
    <w:rsid w:val="46CD5A05"/>
    <w:rsid w:val="49834E73"/>
    <w:rsid w:val="4B447D1C"/>
    <w:rsid w:val="4BDB0077"/>
    <w:rsid w:val="4F095EC6"/>
    <w:rsid w:val="4F4E4F29"/>
    <w:rsid w:val="506B379F"/>
    <w:rsid w:val="514069D9"/>
    <w:rsid w:val="54DA2296"/>
    <w:rsid w:val="54ED60EB"/>
    <w:rsid w:val="554A54FE"/>
    <w:rsid w:val="56A61E86"/>
    <w:rsid w:val="5D22453B"/>
    <w:rsid w:val="5D4122AC"/>
    <w:rsid w:val="602549E7"/>
    <w:rsid w:val="602816AC"/>
    <w:rsid w:val="61F87DC3"/>
    <w:rsid w:val="6394579A"/>
    <w:rsid w:val="6A531773"/>
    <w:rsid w:val="6B453D7E"/>
    <w:rsid w:val="6C1A00FB"/>
    <w:rsid w:val="6CA209F6"/>
    <w:rsid w:val="6E0830EE"/>
    <w:rsid w:val="6ED421B0"/>
    <w:rsid w:val="734422AB"/>
    <w:rsid w:val="75AC3A76"/>
    <w:rsid w:val="78E56C75"/>
    <w:rsid w:val="795C4313"/>
    <w:rsid w:val="7D7D5497"/>
    <w:rsid w:val="7EAE6F8A"/>
    <w:rsid w:val="7ECB4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公1"/>
    <w:basedOn w:val="1"/>
    <w:next w:val="1"/>
    <w:qFormat/>
    <w:uiPriority w:val="0"/>
    <w:pPr>
      <w:ind w:firstLine="200" w:firstLineChars="200"/>
      <w:jc w:val="left"/>
    </w:pPr>
    <w:rPr>
      <w:rFonts w:eastAsia="仿宋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1854</Words>
  <Characters>1943</Characters>
  <Lines>0</Lines>
  <Paragraphs>0</Paragraphs>
  <TotalTime>0</TotalTime>
  <ScaleCrop>false</ScaleCrop>
  <LinksUpToDate>false</LinksUpToDate>
  <CharactersWithSpaces>1946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2022-07-22T09:36:00Z</dcterms:created>
  <dc:creator>呼</dc:creator>
  <cp:lastModifiedBy>呼</cp:lastModifiedBy>
  <cp:lastPrinted>2022-08-05T08:08:00Z</cp:lastPrinted>
  <dcterms:modified xsi:type="dcterms:W3CDTF">2023-09-18T00:28:46Z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AF0FD53980C4402B9B481EDC86880799_13</vt:lpwstr>
  </property>
</Properties>
</file>