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F6F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p>
    <w:p w14:paraId="3BE045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p>
    <w:p w14:paraId="7A61CF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p>
    <w:p w14:paraId="6F834D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p>
    <w:p w14:paraId="26A6B9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val="en-US" w:eastAsia="zh-CN"/>
        </w:rPr>
        <w:t>盘锦兴隆台晨宇石油工程有限公司“9·16”</w:t>
      </w:r>
    </w:p>
    <w:p w14:paraId="22509F06">
      <w:pPr>
        <w:keepNext w:val="0"/>
        <w:keepLines w:val="0"/>
        <w:pageBreakBefore w:val="0"/>
        <w:kinsoku/>
        <w:wordWrap/>
        <w:overflowPunct/>
        <w:topLinePunct w:val="0"/>
        <w:autoSpaceDE/>
        <w:autoSpaceDN/>
        <w:bidi w:val="0"/>
        <w:adjustRightInd/>
        <w:snapToGrid/>
        <w:spacing w:line="560" w:lineRule="exact"/>
        <w:ind w:right="83"/>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val="en-US" w:eastAsia="zh-CN"/>
        </w:rPr>
        <w:t>一般爆燃事故调查报告</w:t>
      </w:r>
    </w:p>
    <w:p w14:paraId="3E795316">
      <w:pPr>
        <w:pStyle w:val="2"/>
        <w:rPr>
          <w:rFonts w:hint="eastAsia" w:ascii="方正小标宋_GBK" w:hAnsi="方正小标宋_GBK" w:eastAsia="方正小标宋_GBK" w:cs="方正小标宋_GBK"/>
          <w:b w:val="0"/>
          <w:bCs w:val="0"/>
          <w:color w:val="auto"/>
          <w:sz w:val="44"/>
          <w:szCs w:val="44"/>
          <w:highlight w:val="none"/>
          <w:lang w:val="en-US" w:eastAsia="zh-CN"/>
        </w:rPr>
      </w:pPr>
    </w:p>
    <w:p w14:paraId="289125D1">
      <w:pPr>
        <w:pStyle w:val="2"/>
        <w:rPr>
          <w:rFonts w:hint="eastAsia" w:ascii="方正小标宋_GBK" w:hAnsi="方正小标宋_GBK" w:eastAsia="方正小标宋_GBK" w:cs="方正小标宋_GBK"/>
          <w:b w:val="0"/>
          <w:bCs w:val="0"/>
          <w:color w:val="auto"/>
          <w:sz w:val="44"/>
          <w:szCs w:val="44"/>
          <w:highlight w:val="none"/>
          <w:lang w:val="en-US" w:eastAsia="zh-CN"/>
        </w:rPr>
      </w:pPr>
    </w:p>
    <w:p w14:paraId="73806EAC">
      <w:pPr>
        <w:pStyle w:val="2"/>
        <w:rPr>
          <w:rFonts w:hint="eastAsia" w:ascii="方正小标宋_GBK" w:hAnsi="方正小标宋_GBK" w:eastAsia="方正小标宋_GBK" w:cs="方正小标宋_GBK"/>
          <w:b w:val="0"/>
          <w:bCs w:val="0"/>
          <w:color w:val="auto"/>
          <w:sz w:val="44"/>
          <w:szCs w:val="44"/>
          <w:highlight w:val="none"/>
          <w:lang w:val="en-US" w:eastAsia="zh-CN"/>
        </w:rPr>
      </w:pPr>
    </w:p>
    <w:p w14:paraId="61300015">
      <w:pPr>
        <w:pStyle w:val="2"/>
        <w:rPr>
          <w:rFonts w:hint="eastAsia" w:ascii="方正小标宋_GBK" w:hAnsi="方正小标宋_GBK" w:eastAsia="方正小标宋_GBK" w:cs="方正小标宋_GBK"/>
          <w:b w:val="0"/>
          <w:bCs w:val="0"/>
          <w:color w:val="auto"/>
          <w:sz w:val="44"/>
          <w:szCs w:val="44"/>
          <w:highlight w:val="none"/>
          <w:lang w:val="en-US" w:eastAsia="zh-CN"/>
        </w:rPr>
      </w:pPr>
    </w:p>
    <w:p w14:paraId="11CC41AD">
      <w:pPr>
        <w:pStyle w:val="2"/>
        <w:rPr>
          <w:rFonts w:hint="eastAsia" w:ascii="方正小标宋_GBK" w:hAnsi="方正小标宋_GBK" w:eastAsia="方正小标宋_GBK" w:cs="方正小标宋_GBK"/>
          <w:b w:val="0"/>
          <w:bCs w:val="0"/>
          <w:color w:val="auto"/>
          <w:sz w:val="44"/>
          <w:szCs w:val="44"/>
          <w:highlight w:val="none"/>
          <w:lang w:val="en-US" w:eastAsia="zh-CN"/>
        </w:rPr>
      </w:pPr>
    </w:p>
    <w:p w14:paraId="11F6ACF9">
      <w:pPr>
        <w:pStyle w:val="2"/>
        <w:rPr>
          <w:rFonts w:hint="eastAsia" w:ascii="方正小标宋_GBK" w:hAnsi="方正小标宋_GBK" w:eastAsia="方正小标宋_GBK" w:cs="方正小标宋_GBK"/>
          <w:b w:val="0"/>
          <w:bCs w:val="0"/>
          <w:color w:val="auto"/>
          <w:sz w:val="44"/>
          <w:szCs w:val="44"/>
          <w:highlight w:val="none"/>
          <w:lang w:val="en-US" w:eastAsia="zh-CN"/>
        </w:rPr>
      </w:pPr>
    </w:p>
    <w:p w14:paraId="2950F046">
      <w:pPr>
        <w:keepNext w:val="0"/>
        <w:keepLines w:val="0"/>
        <w:pageBreakBefore w:val="0"/>
        <w:kinsoku/>
        <w:wordWrap/>
        <w:overflowPunct/>
        <w:topLinePunct w:val="0"/>
        <w:autoSpaceDE/>
        <w:autoSpaceDN/>
        <w:bidi w:val="0"/>
        <w:adjustRightInd/>
        <w:snapToGrid/>
        <w:spacing w:line="560" w:lineRule="exact"/>
        <w:ind w:right="83" w:firstLine="640"/>
        <w:jc w:val="center"/>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盘锦市政府事故调查组</w:t>
      </w:r>
    </w:p>
    <w:p w14:paraId="5A8705F4">
      <w:pPr>
        <w:keepNext w:val="0"/>
        <w:keepLines w:val="0"/>
        <w:pageBreakBefore w:val="0"/>
        <w:kinsoku/>
        <w:wordWrap/>
        <w:overflowPunct/>
        <w:topLinePunct w:val="0"/>
        <w:autoSpaceDE/>
        <w:autoSpaceDN/>
        <w:bidi w:val="0"/>
        <w:adjustRightInd/>
        <w:snapToGrid/>
        <w:spacing w:line="560" w:lineRule="exact"/>
        <w:ind w:right="83" w:firstLine="640"/>
        <w:jc w:val="center"/>
        <w:textAlignment w:val="auto"/>
        <w:rPr>
          <w:rFonts w:hint="default"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2026年1月</w:t>
      </w:r>
    </w:p>
    <w:p w14:paraId="6FD2A65D">
      <w:pPr>
        <w:keepNext w:val="0"/>
        <w:keepLines w:val="0"/>
        <w:pageBreakBefore w:val="0"/>
        <w:kinsoku/>
        <w:wordWrap/>
        <w:overflowPunct/>
        <w:topLinePunct w:val="0"/>
        <w:autoSpaceDE/>
        <w:autoSpaceDN/>
        <w:bidi w:val="0"/>
        <w:adjustRightInd/>
        <w:snapToGrid/>
        <w:spacing w:line="560" w:lineRule="exact"/>
        <w:ind w:right="83"/>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sectPr>
          <w:footnotePr>
            <w:numFmt w:val="decimal"/>
          </w:footnotePr>
          <w:pgSz w:w="11906" w:h="16838"/>
          <w:pgMar w:top="2098" w:right="1474" w:bottom="1984" w:left="1587" w:header="851" w:footer="992" w:gutter="0"/>
          <w:pgNumType w:fmt="numberInDash" w:start="1"/>
          <w:cols w:space="720" w:num="1"/>
          <w:rtlGutter w:val="0"/>
          <w:docGrid w:type="lines" w:linePitch="312" w:charSpace="0"/>
        </w:sectPr>
      </w:pPr>
    </w:p>
    <w:p w14:paraId="51628F24">
      <w:pPr>
        <w:spacing w:before="0" w:beforeLines="0" w:after="0" w:afterLines="0" w:line="240" w:lineRule="auto"/>
        <w:ind w:left="0" w:leftChars="0" w:right="0" w:rightChars="0" w:firstLine="0" w:firstLineChars="0"/>
        <w:jc w:val="center"/>
        <w:rPr>
          <w:b/>
          <w:bCs/>
          <w:sz w:val="32"/>
          <w:szCs w:val="32"/>
        </w:rPr>
      </w:pPr>
      <w:bookmarkStart w:id="0" w:name="_Toc1718797295_WPSOffice_Type2"/>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14:paraId="286A73C6">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_Toc787320889_WPSOffice_Level1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一、基本情况</w:t>
      </w:r>
      <w:r>
        <w:rPr>
          <w:rFonts w:hint="eastAsia" w:ascii="黑体" w:hAnsi="黑体" w:eastAsia="黑体" w:cs="黑体"/>
          <w:b w:val="0"/>
          <w:bCs w:val="0"/>
          <w:sz w:val="28"/>
          <w:szCs w:val="28"/>
        </w:rPr>
        <w:tab/>
      </w:r>
      <w:bookmarkStart w:id="1" w:name="_Toc787320889_WPSOffice_Level1Page"/>
      <w:r>
        <w:rPr>
          <w:rFonts w:hint="eastAsia" w:ascii="黑体" w:hAnsi="黑体" w:eastAsia="黑体" w:cs="黑体"/>
          <w:b w:val="0"/>
          <w:bCs w:val="0"/>
          <w:sz w:val="28"/>
          <w:szCs w:val="28"/>
        </w:rPr>
        <w:t>2</w:t>
      </w:r>
      <w:bookmarkEnd w:id="1"/>
      <w:r>
        <w:rPr>
          <w:rFonts w:hint="eastAsia" w:ascii="黑体" w:hAnsi="黑体" w:eastAsia="黑体" w:cs="黑体"/>
          <w:b w:val="0"/>
          <w:bCs w:val="0"/>
          <w:sz w:val="28"/>
          <w:szCs w:val="28"/>
        </w:rPr>
        <w:fldChar w:fldCharType="end"/>
      </w:r>
    </w:p>
    <w:p w14:paraId="02D81BCA">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_Toc1067347660_WPSOffice_Level2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（一）事故发生单位及相关单位概括</w:t>
      </w:r>
      <w:r>
        <w:rPr>
          <w:rFonts w:hint="eastAsia" w:ascii="宋体" w:hAnsi="宋体" w:eastAsia="宋体" w:cs="宋体"/>
          <w:sz w:val="28"/>
          <w:szCs w:val="28"/>
        </w:rPr>
        <w:tab/>
      </w:r>
      <w:bookmarkStart w:id="2" w:name="_Toc1067347660_WPSOffice_Level2Page"/>
      <w:r>
        <w:rPr>
          <w:rFonts w:hint="eastAsia" w:ascii="宋体" w:hAnsi="宋体" w:eastAsia="宋体" w:cs="宋体"/>
          <w:sz w:val="28"/>
          <w:szCs w:val="28"/>
        </w:rPr>
        <w:t>2</w:t>
      </w:r>
      <w:bookmarkEnd w:id="2"/>
      <w:r>
        <w:rPr>
          <w:rFonts w:hint="eastAsia" w:ascii="宋体" w:hAnsi="宋体" w:eastAsia="宋体" w:cs="宋体"/>
          <w:sz w:val="28"/>
          <w:szCs w:val="28"/>
        </w:rPr>
        <w:fldChar w:fldCharType="end"/>
      </w:r>
    </w:p>
    <w:p w14:paraId="0C1B0579">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_Toc885068866_WPSOffice_Level2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（二）合同签订情况</w:t>
      </w:r>
      <w:r>
        <w:rPr>
          <w:rFonts w:hint="eastAsia" w:ascii="宋体" w:hAnsi="宋体" w:eastAsia="宋体" w:cs="宋体"/>
          <w:sz w:val="28"/>
          <w:szCs w:val="28"/>
        </w:rPr>
        <w:tab/>
      </w:r>
      <w:bookmarkStart w:id="3" w:name="_Toc885068866_WPSOffice_Level2Page"/>
      <w:r>
        <w:rPr>
          <w:rFonts w:hint="eastAsia" w:ascii="宋体" w:hAnsi="宋体" w:eastAsia="宋体" w:cs="宋体"/>
          <w:sz w:val="28"/>
          <w:szCs w:val="28"/>
        </w:rPr>
        <w:t>3</w:t>
      </w:r>
      <w:bookmarkEnd w:id="3"/>
      <w:r>
        <w:rPr>
          <w:rFonts w:hint="eastAsia" w:ascii="宋体" w:hAnsi="宋体" w:eastAsia="宋体" w:cs="宋体"/>
          <w:sz w:val="28"/>
          <w:szCs w:val="28"/>
        </w:rPr>
        <w:fldChar w:fldCharType="end"/>
      </w:r>
    </w:p>
    <w:p w14:paraId="765C9115">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_Toc1096464498_WPSOffice_Level2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（三）于9-19井基本情况</w:t>
      </w:r>
      <w:r>
        <w:rPr>
          <w:rFonts w:hint="eastAsia" w:ascii="宋体" w:hAnsi="宋体" w:eastAsia="宋体" w:cs="宋体"/>
          <w:sz w:val="28"/>
          <w:szCs w:val="28"/>
        </w:rPr>
        <w:tab/>
      </w:r>
      <w:bookmarkStart w:id="4" w:name="_Toc1096464498_WPSOffice_Level2Page"/>
      <w:r>
        <w:rPr>
          <w:rFonts w:hint="eastAsia" w:ascii="宋体" w:hAnsi="宋体" w:eastAsia="宋体" w:cs="宋体"/>
          <w:sz w:val="28"/>
          <w:szCs w:val="28"/>
        </w:rPr>
        <w:t>3</w:t>
      </w:r>
      <w:bookmarkEnd w:id="4"/>
      <w:r>
        <w:rPr>
          <w:rFonts w:hint="eastAsia" w:ascii="宋体" w:hAnsi="宋体" w:eastAsia="宋体" w:cs="宋体"/>
          <w:sz w:val="28"/>
          <w:szCs w:val="28"/>
        </w:rPr>
        <w:fldChar w:fldCharType="end"/>
      </w:r>
    </w:p>
    <w:p w14:paraId="62E64B4E">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_Toc277728933_WPSOffice_Level2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（四）事故发生单位安全管理情况</w:t>
      </w:r>
      <w:r>
        <w:rPr>
          <w:rFonts w:hint="eastAsia" w:ascii="宋体" w:hAnsi="宋体" w:eastAsia="宋体" w:cs="宋体"/>
          <w:sz w:val="28"/>
          <w:szCs w:val="28"/>
        </w:rPr>
        <w:tab/>
      </w:r>
      <w:bookmarkStart w:id="5" w:name="_Toc277728933_WPSOffice_Level2Page"/>
      <w:r>
        <w:rPr>
          <w:rFonts w:hint="eastAsia" w:ascii="宋体" w:hAnsi="宋体" w:eastAsia="宋体" w:cs="宋体"/>
          <w:sz w:val="28"/>
          <w:szCs w:val="28"/>
        </w:rPr>
        <w:t>4</w:t>
      </w:r>
      <w:bookmarkEnd w:id="5"/>
      <w:r>
        <w:rPr>
          <w:rFonts w:hint="eastAsia" w:ascii="宋体" w:hAnsi="宋体" w:eastAsia="宋体" w:cs="宋体"/>
          <w:sz w:val="28"/>
          <w:szCs w:val="28"/>
        </w:rPr>
        <w:fldChar w:fldCharType="end"/>
      </w:r>
    </w:p>
    <w:p w14:paraId="3B040C74">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_Toc1965420101_WPSOffice_Level2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（五）事故发生经过</w:t>
      </w:r>
      <w:r>
        <w:rPr>
          <w:rFonts w:hint="eastAsia" w:ascii="宋体" w:hAnsi="宋体" w:eastAsia="宋体" w:cs="宋体"/>
          <w:sz w:val="28"/>
          <w:szCs w:val="28"/>
        </w:rPr>
        <w:tab/>
      </w:r>
      <w:bookmarkStart w:id="6" w:name="_Toc1965420101_WPSOffice_Level2Page"/>
      <w:r>
        <w:rPr>
          <w:rFonts w:hint="eastAsia" w:ascii="宋体" w:hAnsi="宋体" w:eastAsia="宋体" w:cs="宋体"/>
          <w:sz w:val="28"/>
          <w:szCs w:val="28"/>
        </w:rPr>
        <w:t>4</w:t>
      </w:r>
      <w:bookmarkEnd w:id="6"/>
      <w:r>
        <w:rPr>
          <w:rFonts w:hint="eastAsia" w:ascii="宋体" w:hAnsi="宋体" w:eastAsia="宋体" w:cs="宋体"/>
          <w:sz w:val="28"/>
          <w:szCs w:val="28"/>
        </w:rPr>
        <w:fldChar w:fldCharType="end"/>
      </w:r>
    </w:p>
    <w:p w14:paraId="11C08055">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_Toc1172152645_WPSOffice_Level2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（六）事故现场及勘验情况</w:t>
      </w:r>
      <w:r>
        <w:rPr>
          <w:rFonts w:hint="eastAsia" w:ascii="宋体" w:hAnsi="宋体" w:eastAsia="宋体" w:cs="宋体"/>
          <w:sz w:val="28"/>
          <w:szCs w:val="28"/>
        </w:rPr>
        <w:tab/>
      </w:r>
      <w:bookmarkStart w:id="7" w:name="_Toc1172152645_WPSOffice_Level2Page"/>
      <w:r>
        <w:rPr>
          <w:rFonts w:hint="eastAsia" w:ascii="宋体" w:hAnsi="宋体" w:eastAsia="宋体" w:cs="宋体"/>
          <w:sz w:val="28"/>
          <w:szCs w:val="28"/>
        </w:rPr>
        <w:t>6</w:t>
      </w:r>
      <w:bookmarkEnd w:id="7"/>
      <w:r>
        <w:rPr>
          <w:rFonts w:hint="eastAsia" w:ascii="宋体" w:hAnsi="宋体" w:eastAsia="宋体" w:cs="宋体"/>
          <w:sz w:val="28"/>
          <w:szCs w:val="28"/>
        </w:rPr>
        <w:fldChar w:fldCharType="end"/>
      </w:r>
    </w:p>
    <w:p w14:paraId="15520D76">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_Toc559475601_WPSOffice_Level2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（七）人员伤亡和直接经济损失情况</w:t>
      </w:r>
      <w:r>
        <w:rPr>
          <w:rFonts w:hint="eastAsia" w:ascii="宋体" w:hAnsi="宋体" w:eastAsia="宋体" w:cs="宋体"/>
          <w:sz w:val="28"/>
          <w:szCs w:val="28"/>
        </w:rPr>
        <w:tab/>
      </w:r>
      <w:bookmarkStart w:id="8" w:name="_Toc559475601_WPSOffice_Level2Page"/>
      <w:r>
        <w:rPr>
          <w:rFonts w:hint="eastAsia" w:ascii="宋体" w:hAnsi="宋体" w:eastAsia="宋体" w:cs="宋体"/>
          <w:sz w:val="28"/>
          <w:szCs w:val="28"/>
        </w:rPr>
        <w:t>7</w:t>
      </w:r>
      <w:bookmarkEnd w:id="8"/>
      <w:r>
        <w:rPr>
          <w:rFonts w:hint="eastAsia" w:ascii="宋体" w:hAnsi="宋体" w:eastAsia="宋体" w:cs="宋体"/>
          <w:sz w:val="28"/>
          <w:szCs w:val="28"/>
        </w:rPr>
        <w:fldChar w:fldCharType="end"/>
      </w:r>
    </w:p>
    <w:p w14:paraId="3AF50D34">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_Toc119261860_WPSOffice_Level2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（八）天气情况</w:t>
      </w:r>
      <w:r>
        <w:rPr>
          <w:rFonts w:hint="eastAsia" w:ascii="宋体" w:hAnsi="宋体" w:eastAsia="宋体" w:cs="宋体"/>
          <w:sz w:val="28"/>
          <w:szCs w:val="28"/>
        </w:rPr>
        <w:tab/>
      </w:r>
      <w:bookmarkStart w:id="9" w:name="_Toc119261860_WPSOffice_Level2Page"/>
      <w:r>
        <w:rPr>
          <w:rFonts w:hint="eastAsia" w:ascii="宋体" w:hAnsi="宋体" w:eastAsia="宋体" w:cs="宋体"/>
          <w:sz w:val="28"/>
          <w:szCs w:val="28"/>
        </w:rPr>
        <w:t>7</w:t>
      </w:r>
      <w:bookmarkEnd w:id="9"/>
      <w:r>
        <w:rPr>
          <w:rFonts w:hint="eastAsia" w:ascii="宋体" w:hAnsi="宋体" w:eastAsia="宋体" w:cs="宋体"/>
          <w:sz w:val="28"/>
          <w:szCs w:val="28"/>
        </w:rPr>
        <w:fldChar w:fldCharType="end"/>
      </w:r>
    </w:p>
    <w:p w14:paraId="1042B18B">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_Toc1212878175_WPSOffice_Level1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二、事故应急处置及评估情况</w:t>
      </w:r>
      <w:r>
        <w:rPr>
          <w:rFonts w:hint="eastAsia" w:ascii="黑体" w:hAnsi="黑体" w:eastAsia="黑体" w:cs="黑体"/>
          <w:b w:val="0"/>
          <w:bCs w:val="0"/>
          <w:sz w:val="28"/>
          <w:szCs w:val="28"/>
        </w:rPr>
        <w:tab/>
      </w:r>
      <w:bookmarkStart w:id="10" w:name="_Toc1212878175_WPSOffice_Level1Page"/>
      <w:r>
        <w:rPr>
          <w:rFonts w:hint="eastAsia" w:ascii="黑体" w:hAnsi="黑体" w:eastAsia="黑体" w:cs="黑体"/>
          <w:b w:val="0"/>
          <w:bCs w:val="0"/>
          <w:sz w:val="28"/>
          <w:szCs w:val="28"/>
        </w:rPr>
        <w:t>7</w:t>
      </w:r>
      <w:bookmarkEnd w:id="10"/>
      <w:r>
        <w:rPr>
          <w:rFonts w:hint="eastAsia" w:ascii="黑体" w:hAnsi="黑体" w:eastAsia="黑体" w:cs="黑体"/>
          <w:b w:val="0"/>
          <w:bCs w:val="0"/>
          <w:sz w:val="28"/>
          <w:szCs w:val="28"/>
        </w:rPr>
        <w:fldChar w:fldCharType="end"/>
      </w:r>
    </w:p>
    <w:p w14:paraId="309D2D06">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_Toc330233755_WPSOffice_Level2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（一）事故信息接报及响应情况</w:t>
      </w:r>
      <w:r>
        <w:rPr>
          <w:rFonts w:hint="eastAsia" w:ascii="宋体" w:hAnsi="宋体" w:eastAsia="宋体" w:cs="宋体"/>
          <w:sz w:val="28"/>
          <w:szCs w:val="28"/>
        </w:rPr>
        <w:tab/>
      </w:r>
      <w:bookmarkStart w:id="11" w:name="_Toc330233755_WPSOffice_Level2Page"/>
      <w:r>
        <w:rPr>
          <w:rFonts w:hint="eastAsia" w:ascii="宋体" w:hAnsi="宋体" w:eastAsia="宋体" w:cs="宋体"/>
          <w:sz w:val="28"/>
          <w:szCs w:val="28"/>
        </w:rPr>
        <w:t>7</w:t>
      </w:r>
      <w:bookmarkEnd w:id="11"/>
      <w:r>
        <w:rPr>
          <w:rFonts w:hint="eastAsia" w:ascii="宋体" w:hAnsi="宋体" w:eastAsia="宋体" w:cs="宋体"/>
          <w:sz w:val="28"/>
          <w:szCs w:val="28"/>
        </w:rPr>
        <w:fldChar w:fldCharType="end"/>
      </w:r>
    </w:p>
    <w:p w14:paraId="190BD78B">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_Toc583008231_WPSOffice_Level2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（二）事故现场应急处置情况</w:t>
      </w:r>
      <w:r>
        <w:rPr>
          <w:rFonts w:hint="eastAsia" w:ascii="宋体" w:hAnsi="宋体" w:eastAsia="宋体" w:cs="宋体"/>
          <w:sz w:val="28"/>
          <w:szCs w:val="28"/>
        </w:rPr>
        <w:tab/>
      </w:r>
      <w:bookmarkStart w:id="12" w:name="_Toc583008231_WPSOffice_Level2Page"/>
      <w:r>
        <w:rPr>
          <w:rFonts w:hint="eastAsia" w:ascii="宋体" w:hAnsi="宋体" w:eastAsia="宋体" w:cs="宋体"/>
          <w:sz w:val="28"/>
          <w:szCs w:val="28"/>
        </w:rPr>
        <w:t>8</w:t>
      </w:r>
      <w:bookmarkEnd w:id="12"/>
      <w:r>
        <w:rPr>
          <w:rFonts w:hint="eastAsia" w:ascii="宋体" w:hAnsi="宋体" w:eastAsia="宋体" w:cs="宋体"/>
          <w:sz w:val="28"/>
          <w:szCs w:val="28"/>
        </w:rPr>
        <w:fldChar w:fldCharType="end"/>
      </w:r>
    </w:p>
    <w:p w14:paraId="0512DD5B">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_Toc1914509914_WPSOffice_Level2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（三）医疗救治和善后情况</w:t>
      </w:r>
      <w:r>
        <w:rPr>
          <w:rFonts w:hint="eastAsia" w:ascii="宋体" w:hAnsi="宋体" w:eastAsia="宋体" w:cs="宋体"/>
          <w:sz w:val="28"/>
          <w:szCs w:val="28"/>
        </w:rPr>
        <w:tab/>
      </w:r>
      <w:bookmarkStart w:id="13" w:name="_Toc1914509914_WPSOffice_Level2Page"/>
      <w:r>
        <w:rPr>
          <w:rFonts w:hint="eastAsia" w:ascii="宋体" w:hAnsi="宋体" w:eastAsia="宋体" w:cs="宋体"/>
          <w:sz w:val="28"/>
          <w:szCs w:val="28"/>
        </w:rPr>
        <w:t>8</w:t>
      </w:r>
      <w:bookmarkEnd w:id="13"/>
      <w:r>
        <w:rPr>
          <w:rFonts w:hint="eastAsia" w:ascii="宋体" w:hAnsi="宋体" w:eastAsia="宋体" w:cs="宋体"/>
          <w:sz w:val="28"/>
          <w:szCs w:val="28"/>
        </w:rPr>
        <w:fldChar w:fldCharType="end"/>
      </w:r>
    </w:p>
    <w:p w14:paraId="7F617EEE">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_Toc1162853889_WPSOffice_Level2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（四）事故应急处置评估</w:t>
      </w:r>
      <w:r>
        <w:rPr>
          <w:rFonts w:hint="eastAsia" w:ascii="宋体" w:hAnsi="宋体" w:eastAsia="宋体" w:cs="宋体"/>
          <w:sz w:val="28"/>
          <w:szCs w:val="28"/>
        </w:rPr>
        <w:tab/>
      </w:r>
      <w:bookmarkStart w:id="14" w:name="_Toc1162853889_WPSOffice_Level2Page"/>
      <w:r>
        <w:rPr>
          <w:rFonts w:hint="eastAsia" w:ascii="宋体" w:hAnsi="宋体" w:eastAsia="宋体" w:cs="宋体"/>
          <w:sz w:val="28"/>
          <w:szCs w:val="28"/>
        </w:rPr>
        <w:t>8</w:t>
      </w:r>
      <w:bookmarkEnd w:id="14"/>
      <w:r>
        <w:rPr>
          <w:rFonts w:hint="eastAsia" w:ascii="宋体" w:hAnsi="宋体" w:eastAsia="宋体" w:cs="宋体"/>
          <w:sz w:val="28"/>
          <w:szCs w:val="28"/>
        </w:rPr>
        <w:fldChar w:fldCharType="end"/>
      </w:r>
    </w:p>
    <w:p w14:paraId="765717EF">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_Toc1575374019_WPSOffice_Level1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三、事故原因分析</w:t>
      </w:r>
      <w:r>
        <w:rPr>
          <w:rFonts w:hint="eastAsia" w:ascii="黑体" w:hAnsi="黑体" w:eastAsia="黑体" w:cs="黑体"/>
          <w:b w:val="0"/>
          <w:bCs w:val="0"/>
          <w:sz w:val="28"/>
          <w:szCs w:val="28"/>
        </w:rPr>
        <w:tab/>
      </w:r>
      <w:bookmarkStart w:id="15" w:name="_Toc1575374019_WPSOffice_Level1Page"/>
      <w:r>
        <w:rPr>
          <w:rFonts w:hint="eastAsia" w:ascii="黑体" w:hAnsi="黑体" w:eastAsia="黑体" w:cs="黑体"/>
          <w:b w:val="0"/>
          <w:bCs w:val="0"/>
          <w:sz w:val="28"/>
          <w:szCs w:val="28"/>
        </w:rPr>
        <w:t>8</w:t>
      </w:r>
      <w:bookmarkEnd w:id="15"/>
      <w:r>
        <w:rPr>
          <w:rFonts w:hint="eastAsia" w:ascii="黑体" w:hAnsi="黑体" w:eastAsia="黑体" w:cs="黑体"/>
          <w:b w:val="0"/>
          <w:bCs w:val="0"/>
          <w:sz w:val="28"/>
          <w:szCs w:val="28"/>
        </w:rPr>
        <w:fldChar w:fldCharType="end"/>
      </w:r>
    </w:p>
    <w:p w14:paraId="24641918">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_Toc101907502_WPSOffice_Level2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（一）事故直接原因</w:t>
      </w:r>
      <w:r>
        <w:rPr>
          <w:rFonts w:hint="eastAsia" w:ascii="宋体" w:hAnsi="宋体" w:eastAsia="宋体" w:cs="宋体"/>
          <w:sz w:val="28"/>
          <w:szCs w:val="28"/>
        </w:rPr>
        <w:tab/>
      </w:r>
      <w:bookmarkStart w:id="16" w:name="_Toc101907502_WPSOffice_Level2Page"/>
      <w:r>
        <w:rPr>
          <w:rFonts w:hint="eastAsia" w:ascii="宋体" w:hAnsi="宋体" w:eastAsia="宋体" w:cs="宋体"/>
          <w:sz w:val="28"/>
          <w:szCs w:val="28"/>
        </w:rPr>
        <w:t>8</w:t>
      </w:r>
      <w:bookmarkEnd w:id="16"/>
      <w:r>
        <w:rPr>
          <w:rFonts w:hint="eastAsia" w:ascii="宋体" w:hAnsi="宋体" w:eastAsia="宋体" w:cs="宋体"/>
          <w:sz w:val="28"/>
          <w:szCs w:val="28"/>
        </w:rPr>
        <w:fldChar w:fldCharType="end"/>
      </w:r>
    </w:p>
    <w:p w14:paraId="29752B99">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_Toc1045398216_WPSOffice_Level2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（二）其他可能因素排除</w:t>
      </w:r>
      <w:r>
        <w:rPr>
          <w:rFonts w:hint="eastAsia" w:ascii="宋体" w:hAnsi="宋体" w:eastAsia="宋体" w:cs="宋体"/>
          <w:sz w:val="28"/>
          <w:szCs w:val="28"/>
        </w:rPr>
        <w:tab/>
      </w:r>
      <w:bookmarkStart w:id="17" w:name="_Toc1045398216_WPSOffice_Level2Page"/>
      <w:r>
        <w:rPr>
          <w:rFonts w:hint="eastAsia" w:ascii="宋体" w:hAnsi="宋体" w:eastAsia="宋体" w:cs="宋体"/>
          <w:sz w:val="28"/>
          <w:szCs w:val="28"/>
        </w:rPr>
        <w:t>8</w:t>
      </w:r>
      <w:bookmarkEnd w:id="17"/>
      <w:r>
        <w:rPr>
          <w:rFonts w:hint="eastAsia" w:ascii="宋体" w:hAnsi="宋体" w:eastAsia="宋体" w:cs="宋体"/>
          <w:sz w:val="28"/>
          <w:szCs w:val="28"/>
        </w:rPr>
        <w:fldChar w:fldCharType="end"/>
      </w:r>
    </w:p>
    <w:p w14:paraId="38A25E3E">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_Toc310228498_WPSOffice_Level2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（三）事故间接原因</w:t>
      </w:r>
      <w:r>
        <w:rPr>
          <w:rFonts w:hint="eastAsia" w:ascii="宋体" w:hAnsi="宋体" w:eastAsia="宋体" w:cs="宋体"/>
          <w:sz w:val="28"/>
          <w:szCs w:val="28"/>
        </w:rPr>
        <w:tab/>
      </w:r>
      <w:bookmarkStart w:id="18" w:name="_Toc310228498_WPSOffice_Level2Page"/>
      <w:r>
        <w:rPr>
          <w:rFonts w:hint="eastAsia" w:ascii="宋体" w:hAnsi="宋体" w:eastAsia="宋体" w:cs="宋体"/>
          <w:sz w:val="28"/>
          <w:szCs w:val="28"/>
        </w:rPr>
        <w:t>9</w:t>
      </w:r>
      <w:bookmarkEnd w:id="18"/>
      <w:r>
        <w:rPr>
          <w:rFonts w:hint="eastAsia" w:ascii="宋体" w:hAnsi="宋体" w:eastAsia="宋体" w:cs="宋体"/>
          <w:sz w:val="28"/>
          <w:szCs w:val="28"/>
        </w:rPr>
        <w:fldChar w:fldCharType="end"/>
      </w:r>
    </w:p>
    <w:p w14:paraId="21C4726D">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_Toc417714782_WPSOffice_Level1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四、有关责任单位存在的主要问题</w:t>
      </w:r>
      <w:r>
        <w:rPr>
          <w:rFonts w:hint="eastAsia" w:ascii="黑体" w:hAnsi="黑体" w:eastAsia="黑体" w:cs="黑体"/>
          <w:b w:val="0"/>
          <w:bCs w:val="0"/>
          <w:sz w:val="28"/>
          <w:szCs w:val="28"/>
        </w:rPr>
        <w:tab/>
      </w:r>
      <w:bookmarkStart w:id="19" w:name="_Toc417714782_WPSOffice_Level1Page"/>
      <w:r>
        <w:rPr>
          <w:rFonts w:hint="eastAsia" w:ascii="黑体" w:hAnsi="黑体" w:eastAsia="黑体" w:cs="黑体"/>
          <w:b w:val="0"/>
          <w:bCs w:val="0"/>
          <w:sz w:val="28"/>
          <w:szCs w:val="28"/>
        </w:rPr>
        <w:t>9</w:t>
      </w:r>
      <w:bookmarkEnd w:id="19"/>
      <w:r>
        <w:rPr>
          <w:rFonts w:hint="eastAsia" w:ascii="黑体" w:hAnsi="黑体" w:eastAsia="黑体" w:cs="黑体"/>
          <w:b w:val="0"/>
          <w:bCs w:val="0"/>
          <w:sz w:val="28"/>
          <w:szCs w:val="28"/>
        </w:rPr>
        <w:fldChar w:fldCharType="end"/>
      </w:r>
    </w:p>
    <w:p w14:paraId="1914380D">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_Toc422021018_WPSOffice_Level2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（一）辽宁中油晟晖石油技术有限公司</w:t>
      </w:r>
      <w:r>
        <w:rPr>
          <w:rFonts w:hint="eastAsia" w:ascii="宋体" w:hAnsi="宋体" w:eastAsia="宋体" w:cs="宋体"/>
          <w:sz w:val="28"/>
          <w:szCs w:val="28"/>
        </w:rPr>
        <w:tab/>
      </w:r>
      <w:bookmarkStart w:id="20" w:name="_Toc422021018_WPSOffice_Level2Page"/>
      <w:r>
        <w:rPr>
          <w:rFonts w:hint="eastAsia" w:ascii="宋体" w:hAnsi="宋体" w:eastAsia="宋体" w:cs="宋体"/>
          <w:sz w:val="28"/>
          <w:szCs w:val="28"/>
        </w:rPr>
        <w:t>9</w:t>
      </w:r>
      <w:bookmarkEnd w:id="20"/>
      <w:r>
        <w:rPr>
          <w:rFonts w:hint="eastAsia" w:ascii="宋体" w:hAnsi="宋体" w:eastAsia="宋体" w:cs="宋体"/>
          <w:sz w:val="28"/>
          <w:szCs w:val="28"/>
        </w:rPr>
        <w:fldChar w:fldCharType="end"/>
      </w:r>
    </w:p>
    <w:p w14:paraId="0818FFF9">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_Toc2070003754_WPSOffice_Level2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（二）盘锦晨宇石油工程有限公司</w:t>
      </w:r>
      <w:r>
        <w:rPr>
          <w:rFonts w:hint="eastAsia" w:ascii="宋体" w:hAnsi="宋体" w:eastAsia="宋体" w:cs="宋体"/>
          <w:sz w:val="28"/>
          <w:szCs w:val="28"/>
        </w:rPr>
        <w:tab/>
      </w:r>
      <w:bookmarkStart w:id="21" w:name="_Toc2070003754_WPSOffice_Level2Page"/>
      <w:r>
        <w:rPr>
          <w:rFonts w:hint="eastAsia" w:ascii="宋体" w:hAnsi="宋体" w:eastAsia="宋体" w:cs="宋体"/>
          <w:sz w:val="28"/>
          <w:szCs w:val="28"/>
        </w:rPr>
        <w:t>10</w:t>
      </w:r>
      <w:bookmarkEnd w:id="21"/>
      <w:r>
        <w:rPr>
          <w:rFonts w:hint="eastAsia" w:ascii="宋体" w:hAnsi="宋体" w:eastAsia="宋体" w:cs="宋体"/>
          <w:sz w:val="28"/>
          <w:szCs w:val="28"/>
        </w:rPr>
        <w:fldChar w:fldCharType="end"/>
      </w:r>
    </w:p>
    <w:p w14:paraId="2C5A8F7B">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_Toc2036996236_WPSOffice_Level1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五、对有关责任人员和责任单位的处理建议</w:t>
      </w:r>
      <w:r>
        <w:rPr>
          <w:rFonts w:hint="eastAsia" w:ascii="黑体" w:hAnsi="黑体" w:eastAsia="黑体" w:cs="黑体"/>
          <w:b w:val="0"/>
          <w:bCs w:val="0"/>
          <w:sz w:val="28"/>
          <w:szCs w:val="28"/>
        </w:rPr>
        <w:tab/>
      </w:r>
      <w:bookmarkStart w:id="22" w:name="_Toc2036996236_WPSOffice_Level1Page"/>
      <w:r>
        <w:rPr>
          <w:rFonts w:hint="eastAsia" w:ascii="黑体" w:hAnsi="黑体" w:eastAsia="黑体" w:cs="黑体"/>
          <w:b w:val="0"/>
          <w:bCs w:val="0"/>
          <w:sz w:val="28"/>
          <w:szCs w:val="28"/>
        </w:rPr>
        <w:t>11</w:t>
      </w:r>
      <w:bookmarkEnd w:id="22"/>
      <w:r>
        <w:rPr>
          <w:rFonts w:hint="eastAsia" w:ascii="黑体" w:hAnsi="黑体" w:eastAsia="黑体" w:cs="黑体"/>
          <w:b w:val="0"/>
          <w:bCs w:val="0"/>
          <w:sz w:val="28"/>
          <w:szCs w:val="28"/>
        </w:rPr>
        <w:fldChar w:fldCharType="end"/>
      </w:r>
    </w:p>
    <w:p w14:paraId="7D34635D">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_Toc623341389_WPSOffice_Level2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（一）对事故有关责任人员和责任单位的行政处罚建议</w:t>
      </w:r>
      <w:r>
        <w:rPr>
          <w:rFonts w:hint="eastAsia" w:ascii="宋体" w:hAnsi="宋体" w:eastAsia="宋体" w:cs="宋体"/>
          <w:sz w:val="28"/>
          <w:szCs w:val="28"/>
        </w:rPr>
        <w:tab/>
      </w:r>
      <w:bookmarkStart w:id="23" w:name="_Toc623341389_WPSOffice_Level2Page"/>
      <w:r>
        <w:rPr>
          <w:rFonts w:hint="eastAsia" w:ascii="宋体" w:hAnsi="宋体" w:eastAsia="宋体" w:cs="宋体"/>
          <w:sz w:val="28"/>
          <w:szCs w:val="28"/>
        </w:rPr>
        <w:t>11</w:t>
      </w:r>
      <w:bookmarkEnd w:id="23"/>
      <w:r>
        <w:rPr>
          <w:rFonts w:hint="eastAsia" w:ascii="宋体" w:hAnsi="宋体" w:eastAsia="宋体" w:cs="宋体"/>
          <w:sz w:val="28"/>
          <w:szCs w:val="28"/>
        </w:rPr>
        <w:fldChar w:fldCharType="end"/>
      </w:r>
    </w:p>
    <w:p w14:paraId="5016BC7B">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_Toc1983043281_WPSOffice_Level2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（二）其他处理建议</w:t>
      </w:r>
      <w:r>
        <w:rPr>
          <w:rFonts w:hint="eastAsia" w:ascii="宋体" w:hAnsi="宋体" w:eastAsia="宋体" w:cs="宋体"/>
          <w:sz w:val="28"/>
          <w:szCs w:val="28"/>
        </w:rPr>
        <w:tab/>
      </w:r>
      <w:bookmarkStart w:id="24" w:name="_Toc1983043281_WPSOffice_Level2Page"/>
      <w:r>
        <w:rPr>
          <w:rFonts w:hint="eastAsia" w:ascii="宋体" w:hAnsi="宋体" w:eastAsia="宋体" w:cs="宋体"/>
          <w:sz w:val="28"/>
          <w:szCs w:val="28"/>
        </w:rPr>
        <w:t>13</w:t>
      </w:r>
      <w:bookmarkEnd w:id="24"/>
      <w:r>
        <w:rPr>
          <w:rFonts w:hint="eastAsia" w:ascii="宋体" w:hAnsi="宋体" w:eastAsia="宋体" w:cs="宋体"/>
          <w:sz w:val="28"/>
          <w:szCs w:val="28"/>
        </w:rPr>
        <w:fldChar w:fldCharType="end"/>
      </w:r>
    </w:p>
    <w:p w14:paraId="101706E8">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_Toc186508013_WPSOffice_Level1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六、事故主要教训</w:t>
      </w:r>
      <w:r>
        <w:rPr>
          <w:rFonts w:hint="eastAsia" w:ascii="黑体" w:hAnsi="黑体" w:eastAsia="黑体" w:cs="黑体"/>
          <w:b w:val="0"/>
          <w:bCs w:val="0"/>
          <w:sz w:val="28"/>
          <w:szCs w:val="28"/>
        </w:rPr>
        <w:tab/>
      </w:r>
      <w:bookmarkStart w:id="25" w:name="_Toc186508013_WPSOffice_Level1Page"/>
      <w:r>
        <w:rPr>
          <w:rFonts w:hint="eastAsia" w:ascii="黑体" w:hAnsi="黑体" w:eastAsia="黑体" w:cs="黑体"/>
          <w:b w:val="0"/>
          <w:bCs w:val="0"/>
          <w:sz w:val="28"/>
          <w:szCs w:val="28"/>
        </w:rPr>
        <w:t>13</w:t>
      </w:r>
      <w:bookmarkEnd w:id="25"/>
      <w:r>
        <w:rPr>
          <w:rFonts w:hint="eastAsia" w:ascii="黑体" w:hAnsi="黑体" w:eastAsia="黑体" w:cs="黑体"/>
          <w:b w:val="0"/>
          <w:bCs w:val="0"/>
          <w:sz w:val="28"/>
          <w:szCs w:val="28"/>
        </w:rPr>
        <w:fldChar w:fldCharType="end"/>
      </w:r>
    </w:p>
    <w:p w14:paraId="52A6F26F">
      <w:pPr>
        <w:pStyle w:val="3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HYPERLINK \l _Toc1882774917_WPSOffice_Level1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七、事故整改和防范措施</w:t>
      </w:r>
      <w:r>
        <w:rPr>
          <w:rFonts w:hint="eastAsia" w:ascii="黑体" w:hAnsi="黑体" w:eastAsia="黑体" w:cs="黑体"/>
          <w:b w:val="0"/>
          <w:bCs w:val="0"/>
          <w:sz w:val="28"/>
          <w:szCs w:val="28"/>
        </w:rPr>
        <w:tab/>
      </w:r>
      <w:bookmarkStart w:id="26" w:name="_Toc1882774917_WPSOffice_Level1Page"/>
      <w:r>
        <w:rPr>
          <w:rFonts w:hint="eastAsia" w:ascii="黑体" w:hAnsi="黑体" w:eastAsia="黑体" w:cs="黑体"/>
          <w:b w:val="0"/>
          <w:bCs w:val="0"/>
          <w:sz w:val="28"/>
          <w:szCs w:val="28"/>
        </w:rPr>
        <w:t>13</w:t>
      </w:r>
      <w:bookmarkEnd w:id="26"/>
      <w:r>
        <w:rPr>
          <w:rFonts w:hint="eastAsia" w:ascii="黑体" w:hAnsi="黑体" w:eastAsia="黑体" w:cs="黑体"/>
          <w:b w:val="0"/>
          <w:bCs w:val="0"/>
          <w:sz w:val="28"/>
          <w:szCs w:val="28"/>
        </w:rPr>
        <w:fldChar w:fldCharType="end"/>
      </w:r>
    </w:p>
    <w:p w14:paraId="7C4BE04C">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_Toc575163251_WPSOffice_Level2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（一）压实各方安全责任，规范合同管理</w:t>
      </w:r>
      <w:r>
        <w:rPr>
          <w:rFonts w:hint="eastAsia" w:ascii="宋体" w:hAnsi="宋体" w:eastAsia="宋体" w:cs="宋体"/>
          <w:sz w:val="28"/>
          <w:szCs w:val="28"/>
        </w:rPr>
        <w:tab/>
      </w:r>
      <w:bookmarkStart w:id="27" w:name="_Toc575163251_WPSOffice_Level2Page"/>
      <w:r>
        <w:rPr>
          <w:rFonts w:hint="eastAsia" w:ascii="宋体" w:hAnsi="宋体" w:eastAsia="宋体" w:cs="宋体"/>
          <w:sz w:val="28"/>
          <w:szCs w:val="28"/>
        </w:rPr>
        <w:t>13</w:t>
      </w:r>
      <w:bookmarkEnd w:id="27"/>
      <w:r>
        <w:rPr>
          <w:rFonts w:hint="eastAsia" w:ascii="宋体" w:hAnsi="宋体" w:eastAsia="宋体" w:cs="宋体"/>
          <w:sz w:val="28"/>
          <w:szCs w:val="28"/>
        </w:rPr>
        <w:fldChar w:fldCharType="end"/>
      </w:r>
    </w:p>
    <w:p w14:paraId="3AB53C61">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_Toc1885197502_WPSOffice_Level2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（二）强化现场安全管控，筑牢安全防线</w:t>
      </w:r>
      <w:r>
        <w:rPr>
          <w:rFonts w:hint="eastAsia" w:ascii="宋体" w:hAnsi="宋体" w:eastAsia="宋体" w:cs="宋体"/>
          <w:sz w:val="28"/>
          <w:szCs w:val="28"/>
        </w:rPr>
        <w:tab/>
      </w:r>
      <w:bookmarkStart w:id="28" w:name="_Toc1885197502_WPSOffice_Level2Page"/>
      <w:r>
        <w:rPr>
          <w:rFonts w:hint="eastAsia" w:ascii="宋体" w:hAnsi="宋体" w:eastAsia="宋体" w:cs="宋体"/>
          <w:sz w:val="28"/>
          <w:szCs w:val="28"/>
        </w:rPr>
        <w:t>14</w:t>
      </w:r>
      <w:bookmarkEnd w:id="28"/>
      <w:r>
        <w:rPr>
          <w:rFonts w:hint="eastAsia" w:ascii="宋体" w:hAnsi="宋体" w:eastAsia="宋体" w:cs="宋体"/>
          <w:sz w:val="28"/>
          <w:szCs w:val="28"/>
        </w:rPr>
        <w:fldChar w:fldCharType="end"/>
      </w:r>
    </w:p>
    <w:p w14:paraId="1AAF202A">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_Toc1696507553_WPSOffice_Level2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（三）加强安全培训教育，提升应急能力</w:t>
      </w:r>
      <w:r>
        <w:rPr>
          <w:rFonts w:hint="eastAsia" w:ascii="宋体" w:hAnsi="宋体" w:eastAsia="宋体" w:cs="宋体"/>
          <w:sz w:val="28"/>
          <w:szCs w:val="28"/>
        </w:rPr>
        <w:tab/>
      </w:r>
      <w:bookmarkStart w:id="29" w:name="_Toc1696507553_WPSOffice_Level2Page"/>
      <w:r>
        <w:rPr>
          <w:rFonts w:hint="eastAsia" w:ascii="宋体" w:hAnsi="宋体" w:eastAsia="宋体" w:cs="宋体"/>
          <w:sz w:val="28"/>
          <w:szCs w:val="28"/>
        </w:rPr>
        <w:t>14</w:t>
      </w:r>
      <w:bookmarkEnd w:id="29"/>
      <w:r>
        <w:rPr>
          <w:rFonts w:hint="eastAsia" w:ascii="宋体" w:hAnsi="宋体" w:eastAsia="宋体" w:cs="宋体"/>
          <w:sz w:val="28"/>
          <w:szCs w:val="28"/>
        </w:rPr>
        <w:fldChar w:fldCharType="end"/>
      </w:r>
    </w:p>
    <w:p w14:paraId="3D4F6074">
      <w:pPr>
        <w:pStyle w:val="30"/>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_Toc298978117_WPSOffice_Level2 </w:instrText>
      </w:r>
      <w:r>
        <w:rPr>
          <w:rFonts w:hint="eastAsia" w:ascii="宋体" w:hAnsi="宋体" w:eastAsia="宋体" w:cs="宋体"/>
          <w:sz w:val="28"/>
          <w:szCs w:val="28"/>
        </w:rPr>
        <w:fldChar w:fldCharType="separate"/>
      </w:r>
      <w:r>
        <w:rPr>
          <w:rFonts w:hint="eastAsia" w:ascii="宋体" w:hAnsi="宋体" w:eastAsia="宋体" w:cs="宋体"/>
          <w:sz w:val="28"/>
          <w:szCs w:val="28"/>
        </w:rPr>
        <w:t>（四）严格事故报告制度，强化监督问责</w:t>
      </w:r>
      <w:r>
        <w:rPr>
          <w:rFonts w:hint="eastAsia" w:ascii="宋体" w:hAnsi="宋体" w:eastAsia="宋体" w:cs="宋体"/>
          <w:sz w:val="28"/>
          <w:szCs w:val="28"/>
        </w:rPr>
        <w:tab/>
      </w:r>
      <w:bookmarkStart w:id="30" w:name="_Toc298978117_WPSOffice_Level2Page"/>
      <w:r>
        <w:rPr>
          <w:rFonts w:hint="eastAsia" w:ascii="宋体" w:hAnsi="宋体" w:eastAsia="宋体" w:cs="宋体"/>
          <w:sz w:val="28"/>
          <w:szCs w:val="28"/>
        </w:rPr>
        <w:t>14</w:t>
      </w:r>
      <w:bookmarkEnd w:id="30"/>
      <w:r>
        <w:rPr>
          <w:rFonts w:hint="eastAsia" w:ascii="宋体" w:hAnsi="宋体" w:eastAsia="宋体" w:cs="宋体"/>
          <w:sz w:val="28"/>
          <w:szCs w:val="28"/>
        </w:rPr>
        <w:fldChar w:fldCharType="end"/>
      </w:r>
      <w:bookmarkEnd w:id="0"/>
    </w:p>
    <w:p w14:paraId="38D29046">
      <w:pPr>
        <w:keepNext w:val="0"/>
        <w:keepLines w:val="0"/>
        <w:pageBreakBefore w:val="0"/>
        <w:kinsoku/>
        <w:wordWrap/>
        <w:overflowPunct/>
        <w:topLinePunct w:val="0"/>
        <w:autoSpaceDE/>
        <w:autoSpaceDN/>
        <w:bidi w:val="0"/>
        <w:adjustRightInd/>
        <w:snapToGrid/>
        <w:spacing w:line="400" w:lineRule="exact"/>
        <w:ind w:right="83" w:firstLine="560" w:firstLineChars="200"/>
        <w:jc w:val="both"/>
        <w:textAlignment w:val="auto"/>
        <w:rPr>
          <w:rFonts w:hint="eastAsia" w:ascii="宋体" w:hAnsi="宋体" w:eastAsia="宋体" w:cs="宋体"/>
          <w:color w:val="auto"/>
          <w:sz w:val="28"/>
          <w:szCs w:val="28"/>
          <w:highlight w:val="none"/>
          <w:lang w:eastAsia="zh-CN"/>
        </w:rPr>
        <w:sectPr>
          <w:footerReference r:id="rId4" w:type="default"/>
          <w:footnotePr>
            <w:numFmt w:val="decimal"/>
          </w:footnotePr>
          <w:pgSz w:w="11906" w:h="16838"/>
          <w:pgMar w:top="2098" w:right="1474" w:bottom="1984" w:left="1587" w:header="851" w:footer="992" w:gutter="0"/>
          <w:pgNumType w:fmt="numberInDash" w:start="1"/>
          <w:cols w:space="720" w:num="1"/>
          <w:rtlGutter w:val="0"/>
          <w:docGrid w:type="lines" w:linePitch="312" w:charSpace="0"/>
        </w:sectPr>
      </w:pPr>
    </w:p>
    <w:p w14:paraId="74CF41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bookmarkStart w:id="31" w:name="_Toc1871298514_WPSOffice_Level1"/>
      <w:r>
        <w:rPr>
          <w:rFonts w:hint="eastAsia" w:ascii="方正小标宋_GBK" w:hAnsi="方正小标宋_GBK" w:eastAsia="方正小标宋_GBK" w:cs="方正小标宋_GBK"/>
          <w:b w:val="0"/>
          <w:bCs w:val="0"/>
          <w:color w:val="auto"/>
          <w:sz w:val="44"/>
          <w:szCs w:val="44"/>
          <w:highlight w:val="none"/>
          <w:lang w:val="en-US" w:eastAsia="zh-CN"/>
        </w:rPr>
        <w:t>盘锦兴隆台晨宇石油工程有限公司“9·16”</w:t>
      </w:r>
      <w:bookmarkEnd w:id="31"/>
    </w:p>
    <w:p w14:paraId="5A31622D">
      <w:pPr>
        <w:keepNext w:val="0"/>
        <w:keepLines w:val="0"/>
        <w:pageBreakBefore w:val="0"/>
        <w:kinsoku/>
        <w:wordWrap/>
        <w:overflowPunct/>
        <w:topLinePunct w:val="0"/>
        <w:autoSpaceDE/>
        <w:autoSpaceDN/>
        <w:bidi w:val="0"/>
        <w:adjustRightInd/>
        <w:snapToGrid/>
        <w:spacing w:line="560" w:lineRule="exact"/>
        <w:ind w:right="83"/>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bookmarkStart w:id="32" w:name="_Toc1981083441_WPSOffice_Level1"/>
      <w:r>
        <w:rPr>
          <w:rFonts w:hint="eastAsia" w:ascii="方正小标宋_GBK" w:hAnsi="方正小标宋_GBK" w:eastAsia="方正小标宋_GBK" w:cs="方正小标宋_GBK"/>
          <w:b w:val="0"/>
          <w:bCs w:val="0"/>
          <w:color w:val="auto"/>
          <w:sz w:val="44"/>
          <w:szCs w:val="44"/>
          <w:highlight w:val="none"/>
          <w:lang w:val="en-US" w:eastAsia="zh-CN"/>
        </w:rPr>
        <w:t>一般爆燃事故调查报告</w:t>
      </w:r>
      <w:bookmarkEnd w:id="32"/>
    </w:p>
    <w:p w14:paraId="71A77344">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p>
    <w:p w14:paraId="40816F36">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2025年9月16日5时许，辽宁中油晟晖石油技术有限公司在辽河油田兴隆台采油厂于9-19井开展洗井作业时，盘锦晨宇石油工程有限公司为其提供的服务车辆在作业过程中发生可燃气体爆燃事故，</w:t>
      </w:r>
      <w:r>
        <w:rPr>
          <w:rFonts w:hint="eastAsia" w:ascii="仿宋_GB2312" w:hAnsi="仿宋_GB2312" w:eastAsia="仿宋_GB2312" w:cs="仿宋_GB2312"/>
          <w:color w:val="auto"/>
          <w:sz w:val="32"/>
          <w:szCs w:val="32"/>
          <w:highlight w:val="none"/>
          <w:lang w:val="en-US" w:eastAsia="zh-CN"/>
        </w:rPr>
        <w:t>造成2人重伤，直接经济损失约200万元。</w:t>
      </w:r>
    </w:p>
    <w:p w14:paraId="5059DD84">
      <w:pPr>
        <w:keepNext w:val="0"/>
        <w:keepLines w:val="0"/>
        <w:pageBreakBefore w:val="0"/>
        <w:kinsoku/>
        <w:wordWrap/>
        <w:overflowPunct/>
        <w:topLinePunct w:val="0"/>
        <w:autoSpaceDE/>
        <w:autoSpaceDN/>
        <w:bidi w:val="0"/>
        <w:adjustRightInd/>
        <w:snapToGrid/>
        <w:spacing w:line="560" w:lineRule="exact"/>
        <w:ind w:right="83" w:firstLine="64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根据《生产安全事故报告和调查处理条例》（国务院令第</w:t>
      </w:r>
      <w:r>
        <w:rPr>
          <w:rFonts w:hint="eastAsia" w:ascii="仿宋_GB2312" w:hAnsi="仿宋_GB2312" w:eastAsia="仿宋_GB2312" w:cs="仿宋_GB2312"/>
          <w:color w:val="auto"/>
          <w:sz w:val="32"/>
          <w:szCs w:val="32"/>
          <w:highlight w:val="none"/>
        </w:rPr>
        <w:t>493号）</w:t>
      </w:r>
      <w:r>
        <w:rPr>
          <w:rFonts w:hint="eastAsia" w:ascii="仿宋_GB2312" w:hAnsi="仿宋_GB2312" w:eastAsia="仿宋_GB2312" w:cs="仿宋_GB2312"/>
          <w:color w:val="auto"/>
          <w:sz w:val="32"/>
          <w:szCs w:val="32"/>
          <w:highlight w:val="none"/>
          <w:lang w:eastAsia="zh-CN"/>
        </w:rPr>
        <w:t>和《辽宁省安全生产条例》等有关</w:t>
      </w:r>
      <w:r>
        <w:rPr>
          <w:rFonts w:hint="eastAsia" w:ascii="仿宋_GB2312" w:hAnsi="仿宋_GB2312" w:eastAsia="仿宋_GB2312" w:cs="仿宋_GB2312"/>
          <w:color w:val="auto"/>
          <w:sz w:val="32"/>
          <w:szCs w:val="32"/>
          <w:highlight w:val="none"/>
        </w:rPr>
        <w:t>规定，经盘锦市人民政府批准，</w:t>
      </w:r>
      <w:r>
        <w:rPr>
          <w:rFonts w:hint="eastAsia" w:ascii="仿宋_GB2312" w:hAnsi="仿宋_GB2312" w:eastAsia="仿宋_GB2312" w:cs="仿宋_GB2312"/>
          <w:color w:val="auto"/>
          <w:sz w:val="32"/>
          <w:szCs w:val="32"/>
          <w:highlight w:val="none"/>
          <w:lang w:eastAsia="zh-CN"/>
        </w:rPr>
        <w:t>成立</w:t>
      </w:r>
      <w:r>
        <w:rPr>
          <w:rFonts w:hint="eastAsia" w:ascii="仿宋_GB2312" w:hAnsi="仿宋_GB2312" w:eastAsia="仿宋_GB2312" w:cs="仿宋_GB2312"/>
          <w:color w:val="auto"/>
          <w:sz w:val="32"/>
          <w:szCs w:val="32"/>
          <w:highlight w:val="none"/>
        </w:rPr>
        <w:t>由市应急局、</w:t>
      </w:r>
      <w:r>
        <w:rPr>
          <w:rFonts w:hint="eastAsia" w:ascii="仿宋_GB2312" w:hAnsi="仿宋_GB2312" w:eastAsia="仿宋_GB2312" w:cs="仿宋_GB2312"/>
          <w:color w:val="auto"/>
          <w:sz w:val="32"/>
          <w:szCs w:val="32"/>
          <w:highlight w:val="none"/>
          <w:lang w:eastAsia="zh-CN"/>
        </w:rPr>
        <w:t>辽河公安局</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市总工会等</w:t>
      </w:r>
      <w:r>
        <w:rPr>
          <w:rFonts w:hint="eastAsia" w:ascii="仿宋_GB2312" w:hAnsi="仿宋_GB2312" w:eastAsia="仿宋_GB2312" w:cs="仿宋_GB2312"/>
          <w:color w:val="auto"/>
          <w:sz w:val="32"/>
          <w:szCs w:val="32"/>
          <w:highlight w:val="none"/>
        </w:rPr>
        <w:t>有关部门人员组成的</w:t>
      </w:r>
      <w:r>
        <w:rPr>
          <w:rFonts w:hint="eastAsia" w:ascii="仿宋_GB2312" w:hAnsi="仿宋_GB2312" w:eastAsia="仿宋_GB2312" w:cs="仿宋_GB2312"/>
          <w:color w:val="auto"/>
          <w:sz w:val="32"/>
          <w:szCs w:val="32"/>
          <w:highlight w:val="none"/>
          <w:lang w:val="en-US" w:eastAsia="zh-CN"/>
        </w:rPr>
        <w:t>盘锦兴隆台晨宇石油工程有限公司“9·16”一般爆燃事故调查组</w:t>
      </w:r>
      <w:r>
        <w:rPr>
          <w:rFonts w:hint="eastAsia" w:ascii="仿宋_GB2312" w:hAnsi="仿宋_GB2312" w:eastAsia="仿宋_GB2312" w:cs="仿宋_GB2312"/>
          <w:color w:val="auto"/>
          <w:sz w:val="32"/>
          <w:szCs w:val="32"/>
          <w:highlight w:val="none"/>
        </w:rPr>
        <w:t>（以下简称事故调查组），</w:t>
      </w:r>
      <w:r>
        <w:rPr>
          <w:rFonts w:hint="eastAsia" w:ascii="仿宋_GB2312" w:hAnsi="仿宋_GB2312" w:eastAsia="仿宋_GB2312" w:cs="仿宋_GB2312"/>
          <w:color w:val="auto"/>
          <w:sz w:val="32"/>
          <w:szCs w:val="32"/>
          <w:highlight w:val="none"/>
          <w:lang w:eastAsia="zh-CN"/>
        </w:rPr>
        <w:t>并聘请相关安全生产专家，</w:t>
      </w:r>
      <w:r>
        <w:rPr>
          <w:rFonts w:hint="eastAsia" w:ascii="仿宋_GB2312" w:hAnsi="仿宋_GB2312" w:eastAsia="仿宋_GB2312" w:cs="仿宋_GB2312"/>
          <w:color w:val="auto"/>
          <w:sz w:val="32"/>
          <w:szCs w:val="32"/>
          <w:highlight w:val="none"/>
          <w:lang w:val="en-US" w:eastAsia="zh-CN"/>
        </w:rPr>
        <w:t>依法依规全面开展事故调查工作，同时邀请辽河油田分公司纪委、辽河检察院派员参加。</w:t>
      </w:r>
    </w:p>
    <w:p w14:paraId="561924B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事故</w:t>
      </w:r>
      <w:r>
        <w:rPr>
          <w:rFonts w:hint="eastAsia" w:ascii="仿宋_GB2312" w:hAnsi="仿宋_GB2312" w:eastAsia="仿宋_GB2312" w:cs="仿宋_GB2312"/>
          <w:color w:val="auto"/>
          <w:sz w:val="32"/>
          <w:szCs w:val="32"/>
          <w:highlight w:val="none"/>
        </w:rPr>
        <w:t>调查组</w:t>
      </w:r>
      <w:r>
        <w:rPr>
          <w:rFonts w:hint="eastAsia" w:ascii="仿宋_GB2312" w:hAnsi="仿宋_GB2312" w:eastAsia="仿宋_GB2312" w:cs="仿宋_GB2312"/>
          <w:color w:val="auto"/>
          <w:sz w:val="32"/>
          <w:szCs w:val="32"/>
          <w:highlight w:val="none"/>
          <w:lang w:eastAsia="zh-CN"/>
        </w:rPr>
        <w:t>坚持“科学严谨、依法依规、实事求是、注重实效”和“四不放过”的原则，</w:t>
      </w:r>
      <w:r>
        <w:rPr>
          <w:rFonts w:hint="eastAsia" w:ascii="仿宋_GB2312" w:hAnsi="仿宋_GB2312" w:eastAsia="仿宋_GB2312" w:cs="仿宋_GB2312"/>
          <w:color w:val="auto"/>
          <w:sz w:val="32"/>
          <w:szCs w:val="32"/>
          <w:highlight w:val="none"/>
        </w:rPr>
        <w:t>通过</w:t>
      </w:r>
      <w:r>
        <w:rPr>
          <w:rFonts w:hint="eastAsia" w:ascii="仿宋_GB2312" w:hAnsi="仿宋_GB2312" w:eastAsia="仿宋_GB2312" w:cs="仿宋_GB2312"/>
          <w:color w:val="auto"/>
          <w:sz w:val="32"/>
          <w:szCs w:val="32"/>
          <w:highlight w:val="none"/>
          <w:lang w:eastAsia="zh-CN"/>
        </w:rPr>
        <w:t>现场勘查、调查询问、视频分析、</w:t>
      </w:r>
      <w:r>
        <w:rPr>
          <w:rFonts w:hint="eastAsia" w:ascii="仿宋_GB2312" w:hAnsi="仿宋_GB2312" w:eastAsia="仿宋_GB2312" w:cs="仿宋_GB2312"/>
          <w:color w:val="auto"/>
          <w:sz w:val="32"/>
          <w:szCs w:val="32"/>
          <w:highlight w:val="none"/>
        </w:rPr>
        <w:t>查阅资料</w:t>
      </w:r>
      <w:r>
        <w:rPr>
          <w:rFonts w:hint="eastAsia" w:ascii="仿宋_GB2312" w:hAnsi="仿宋_GB2312" w:eastAsia="仿宋_GB2312" w:cs="仿宋_GB2312"/>
          <w:color w:val="auto"/>
          <w:sz w:val="32"/>
          <w:szCs w:val="32"/>
          <w:highlight w:val="none"/>
          <w:lang w:eastAsia="zh-CN"/>
        </w:rPr>
        <w:t>、综合分析等方式</w:t>
      </w:r>
      <w:r>
        <w:rPr>
          <w:rFonts w:hint="eastAsia" w:ascii="仿宋_GB2312" w:hAnsi="仿宋_GB2312" w:eastAsia="仿宋_GB2312" w:cs="仿宋_GB2312"/>
          <w:color w:val="auto"/>
          <w:sz w:val="32"/>
          <w:szCs w:val="32"/>
          <w:highlight w:val="none"/>
        </w:rPr>
        <w:t>，查明了事故发生的经过、原因、人员伤亡和直接经济损失等情况，认定了事故性质和责任，并对事故责任单位和人员提出处理建议。同时，针对事故原因及暴露出的突出问题，总结事故教训，</w:t>
      </w:r>
      <w:r>
        <w:rPr>
          <w:rFonts w:hint="eastAsia" w:ascii="仿宋_GB2312" w:hAnsi="仿宋_GB2312" w:eastAsia="仿宋_GB2312" w:cs="仿宋_GB2312"/>
          <w:color w:val="auto"/>
          <w:sz w:val="32"/>
          <w:szCs w:val="32"/>
          <w:highlight w:val="none"/>
          <w:lang w:val="en-US" w:eastAsia="zh-CN"/>
        </w:rPr>
        <w:t>提出了事故整改和防范措施建议。</w:t>
      </w:r>
    </w:p>
    <w:p w14:paraId="4E88AFB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经</w:t>
      </w:r>
      <w:r>
        <w:rPr>
          <w:rFonts w:hint="eastAsia" w:ascii="仿宋_GB2312" w:hAnsi="仿宋_GB2312" w:eastAsia="仿宋_GB2312" w:cs="仿宋_GB2312"/>
          <w:color w:val="auto"/>
          <w:sz w:val="32"/>
          <w:szCs w:val="32"/>
          <w:highlight w:val="none"/>
          <w:lang w:eastAsia="zh-CN"/>
        </w:rPr>
        <w:t>调查</w:t>
      </w:r>
      <w:r>
        <w:rPr>
          <w:rFonts w:hint="eastAsia" w:ascii="仿宋_GB2312" w:hAnsi="仿宋_GB2312" w:eastAsia="仿宋_GB2312" w:cs="仿宋_GB2312"/>
          <w:color w:val="auto"/>
          <w:sz w:val="32"/>
          <w:szCs w:val="32"/>
          <w:highlight w:val="none"/>
        </w:rPr>
        <w:t>认定，</w:t>
      </w:r>
      <w:r>
        <w:rPr>
          <w:rFonts w:hint="eastAsia" w:ascii="仿宋_GB2312" w:hAnsi="仿宋_GB2312" w:eastAsia="仿宋_GB2312" w:cs="仿宋_GB2312"/>
          <w:color w:val="auto"/>
          <w:sz w:val="32"/>
          <w:szCs w:val="32"/>
          <w:highlight w:val="none"/>
          <w:lang w:val="en-US" w:eastAsia="zh-CN"/>
        </w:rPr>
        <w:t>盘锦兴隆台晨宇石油工程有限公司“9·16”一般爆燃事故</w:t>
      </w:r>
      <w:r>
        <w:rPr>
          <w:rFonts w:hint="eastAsia" w:ascii="仿宋_GB2312" w:hAnsi="仿宋_GB2312" w:eastAsia="仿宋_GB2312" w:cs="仿宋_GB2312"/>
          <w:color w:val="auto"/>
          <w:sz w:val="32"/>
          <w:szCs w:val="32"/>
          <w:highlight w:val="none"/>
        </w:rPr>
        <w:t>是一起</w:t>
      </w:r>
      <w:r>
        <w:rPr>
          <w:rFonts w:hint="eastAsia" w:ascii="仿宋_GB2312" w:hAnsi="仿宋_GB2312" w:eastAsia="仿宋_GB2312" w:cs="仿宋_GB2312"/>
          <w:color w:val="auto"/>
          <w:sz w:val="32"/>
          <w:szCs w:val="32"/>
          <w:highlight w:val="none"/>
          <w:lang w:eastAsia="zh-CN"/>
        </w:rPr>
        <w:t>一般</w:t>
      </w:r>
      <w:r>
        <w:rPr>
          <w:rFonts w:hint="eastAsia" w:ascii="仿宋_GB2312" w:hAnsi="仿宋_GB2312" w:eastAsia="仿宋_GB2312" w:cs="仿宋_GB2312"/>
          <w:color w:val="auto"/>
          <w:sz w:val="32"/>
          <w:szCs w:val="32"/>
          <w:highlight w:val="none"/>
        </w:rPr>
        <w:t>生产安全</w:t>
      </w:r>
      <w:r>
        <w:rPr>
          <w:rFonts w:hint="eastAsia" w:ascii="仿宋_GB2312" w:hAnsi="仿宋_GB2312" w:eastAsia="仿宋_GB2312" w:cs="仿宋_GB2312"/>
          <w:color w:val="auto"/>
          <w:sz w:val="32"/>
          <w:szCs w:val="32"/>
          <w:highlight w:val="none"/>
          <w:lang w:eastAsia="zh-CN"/>
        </w:rPr>
        <w:t>责任</w:t>
      </w:r>
      <w:r>
        <w:rPr>
          <w:rFonts w:hint="eastAsia" w:ascii="仿宋_GB2312" w:hAnsi="仿宋_GB2312" w:eastAsia="仿宋_GB2312" w:cs="仿宋_GB2312"/>
          <w:color w:val="auto"/>
          <w:sz w:val="32"/>
          <w:szCs w:val="32"/>
          <w:highlight w:val="none"/>
        </w:rPr>
        <w:t>事故。</w:t>
      </w:r>
    </w:p>
    <w:p w14:paraId="203B45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color w:val="auto"/>
          <w:sz w:val="32"/>
          <w:szCs w:val="32"/>
          <w:highlight w:val="none"/>
        </w:rPr>
      </w:pPr>
      <w:bookmarkStart w:id="33" w:name="_Toc4871227_WPSOffice_Level1"/>
      <w:bookmarkStart w:id="34" w:name="_Toc2001125648_WPSOffice_Level1"/>
      <w:bookmarkStart w:id="35" w:name="_Toc30669_WPSOffice_Level1"/>
      <w:bookmarkStart w:id="36" w:name="_Toc743529225_WPSOffice_Level1"/>
      <w:bookmarkStart w:id="37" w:name="_Toc1281681839_WPSOffice_Level1"/>
      <w:bookmarkStart w:id="38" w:name="_Toc787320889_WPSOffice_Level1"/>
      <w:r>
        <w:rPr>
          <w:rFonts w:hint="eastAsia" w:ascii="黑体" w:hAnsi="黑体" w:eastAsia="黑体" w:cs="黑体"/>
          <w:b w:val="0"/>
          <w:bCs/>
          <w:color w:val="auto"/>
          <w:sz w:val="32"/>
          <w:szCs w:val="32"/>
          <w:highlight w:val="none"/>
        </w:rPr>
        <w:t>一、基本情况</w:t>
      </w:r>
      <w:bookmarkEnd w:id="33"/>
      <w:bookmarkEnd w:id="34"/>
      <w:bookmarkEnd w:id="35"/>
      <w:bookmarkEnd w:id="36"/>
      <w:bookmarkEnd w:id="37"/>
      <w:bookmarkEnd w:id="38"/>
    </w:p>
    <w:p w14:paraId="3F267D39">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lang w:eastAsia="zh-CN"/>
        </w:rPr>
      </w:pPr>
      <w:bookmarkStart w:id="39" w:name="_Toc213350461_WPSOffice_Level2"/>
      <w:bookmarkStart w:id="40" w:name="_Toc2389_WPSOffice_Level2"/>
      <w:bookmarkStart w:id="41" w:name="_Toc1168537704_WPSOffice_Level2"/>
      <w:bookmarkStart w:id="42" w:name="_Toc1790542049_WPSOffice_Level2"/>
      <w:bookmarkStart w:id="43" w:name="_Toc1822672566_WPSOffice_Level2"/>
      <w:bookmarkStart w:id="44" w:name="_Toc1067347660_WPSOffice_Level2"/>
      <w:r>
        <w:rPr>
          <w:rFonts w:hint="eastAsia" w:ascii="华文楷体" w:hAnsi="华文楷体" w:eastAsia="华文楷体" w:cs="华文楷体"/>
          <w:bCs/>
          <w:color w:val="auto"/>
          <w:sz w:val="32"/>
          <w:szCs w:val="32"/>
          <w:highlight w:val="none"/>
        </w:rPr>
        <w:t>（一）事故发生单位</w:t>
      </w:r>
      <w:bookmarkEnd w:id="39"/>
      <w:bookmarkEnd w:id="40"/>
      <w:bookmarkEnd w:id="41"/>
      <w:bookmarkEnd w:id="42"/>
      <w:r>
        <w:rPr>
          <w:rFonts w:hint="eastAsia" w:ascii="华文楷体" w:hAnsi="华文楷体" w:eastAsia="华文楷体" w:cs="华文楷体"/>
          <w:bCs/>
          <w:color w:val="auto"/>
          <w:sz w:val="32"/>
          <w:szCs w:val="32"/>
          <w:highlight w:val="none"/>
          <w:lang w:eastAsia="zh-CN"/>
        </w:rPr>
        <w:t>及相关单位概括</w:t>
      </w:r>
      <w:bookmarkEnd w:id="43"/>
      <w:bookmarkEnd w:id="44"/>
    </w:p>
    <w:p w14:paraId="27925EC7">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1.辽宁中油晟晖石油技术有限公司（以下简称晟晖公司）</w:t>
      </w:r>
    </w:p>
    <w:p w14:paraId="17ECC13E">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晟晖公司成立于2016年4月5日，类型：有限责任公司（法人独资），注册资本：人民币壹仟壹佰万元整，法定代表人：徐相利，统一社会信用代码：91211100MA0QDQ0A4G，住所：辽宁省盘锦市兴隆台区曙光街，经营范围：许可项目包括矿产资源（非煤矿山）开采、特种设备制造，报废机动车回收，海洋天然气开采，燃气经营，施工专业作业，建设工程施工，道路危险货物运输等，一般项目包括石油天然气技术服务，技术服务、技术开发、技术咨询、技术交流、技术转让、技术推广，专用设备修理，劳务服务（不含劳务派遣）等。2025年9月15日取得《安全生产许可证》（延续），许可范围：井下作业，编号：（辽）SY安许证〔2025〕0003号，有效期2025年9月14日至2028年9月13日。</w:t>
      </w:r>
    </w:p>
    <w:p w14:paraId="1EB47929">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2.盘锦晨宇石油工程有限公司（以下简称晨宇公司）</w:t>
      </w:r>
    </w:p>
    <w:p w14:paraId="7A3686C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晨宇公司成立于2003年8月26日，类型：有限责任公司，注册资本：人民币叁仟万元整，法定代表人：张勤，统一社会信用代码：91211121122573499L，住所：大洼县辽河三角洲高新技术工业园，经营范围：许可项目包括特种设备安装改造维修，输电、供电。受电电力设备安装、维修和试验，建设工程施工，施工专业作业，非煤矿山矿产资源开采，道路货物运输（不含危险货物），道路旅客运输经营。一般项目包括：计算机及办公设备维修；仪器仪表修理；电梯设备维修；通用设备维修；专用设备维修；物业管理；机械设备租赁；租赁服务等。2025年6月3日取得《安全生产许可证》（延续），许可范围：井下作业，编号：（辽）SY安许证字〔2025〕0042，有效期：2025年6月3日至2028年6月2日。</w:t>
      </w:r>
      <w:bookmarkStart w:id="45" w:name="_Toc1167431158_WPSOffice_Level2"/>
      <w:bookmarkStart w:id="46" w:name="_Toc25634_WPSOffice_Level2"/>
      <w:bookmarkStart w:id="47" w:name="_Toc826345355_WPSOffice_Level2"/>
      <w:bookmarkStart w:id="48" w:name="_Toc272725889_WPSOffice_Level2"/>
      <w:bookmarkStart w:id="49" w:name="_Toc1891963020_WPSOffice_Level2"/>
    </w:p>
    <w:p w14:paraId="2BE589DF">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楷体" w:hAnsi="楷体" w:eastAsia="楷体" w:cs="楷体"/>
          <w:bCs/>
          <w:color w:val="auto"/>
          <w:sz w:val="32"/>
          <w:szCs w:val="32"/>
          <w:highlight w:val="none"/>
          <w:lang w:eastAsia="zh-CN"/>
        </w:rPr>
      </w:pPr>
      <w:bookmarkStart w:id="50" w:name="_Toc885068866_WPSOffice_Level2"/>
      <w:r>
        <w:rPr>
          <w:rFonts w:hint="eastAsia" w:ascii="方正仿宋_GB2312" w:hAnsi="方正仿宋_GB2312" w:eastAsia="方正仿宋_GB2312" w:cs="方正仿宋_GB2312"/>
          <w:color w:val="auto"/>
          <w:sz w:val="32"/>
          <w:szCs w:val="32"/>
          <w:highlight w:val="none"/>
          <w:lang w:val="en-US" w:eastAsia="zh-CN"/>
        </w:rPr>
        <w:t>（二）</w:t>
      </w:r>
      <w:r>
        <w:rPr>
          <w:rFonts w:hint="eastAsia" w:ascii="华文楷体" w:hAnsi="华文楷体" w:eastAsia="华文楷体" w:cs="华文楷体"/>
          <w:bCs/>
          <w:color w:val="auto"/>
          <w:sz w:val="32"/>
          <w:szCs w:val="32"/>
          <w:highlight w:val="none"/>
          <w:lang w:eastAsia="zh-CN"/>
        </w:rPr>
        <w:t>合同签订情况</w:t>
      </w:r>
      <w:bookmarkEnd w:id="45"/>
      <w:bookmarkEnd w:id="50"/>
    </w:p>
    <w:p w14:paraId="7A7F9DE5">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8月14日，辽河油田分公司与晟晖公司签订《井下作业工程合同》，项目名称为2025年油水井小修作业-9，项目实施地点为：兴隆台采油厂。工作内容：乙方按照本合同约定和甲方的具体要求完成280口油井、气井、注水井的维护作业、措施作业等修井施工，在其开展的业务范围内完成完井作业、安全与质量控制、技术资料录取等工作事项以及甲方要求的其他事项。双方同时签订《井下作业工程HSE合同》。</w:t>
      </w:r>
    </w:p>
    <w:p w14:paraId="6D2BFC06">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2025年8月1日，晟晖公司与晨宇公司签订《车辆运输服务合同》，运输地点：盘锦市兴隆台-辽河油田各作业现场，运输方式：甲方委托乙方进行货物运输，运输方式为道路运输。双方同时签订《运输HSE合同》。</w:t>
      </w:r>
    </w:p>
    <w:p w14:paraId="3BF7CB7E">
      <w:pPr>
        <w:pStyle w:val="31"/>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lang w:val="en-US" w:eastAsia="zh-CN"/>
        </w:rPr>
      </w:pPr>
      <w:bookmarkStart w:id="51" w:name="_Toc1096464498_WPSOffice_Level2"/>
      <w:r>
        <w:rPr>
          <w:rFonts w:hint="eastAsia" w:ascii="华文楷体" w:hAnsi="华文楷体" w:eastAsia="华文楷体" w:cs="华文楷体"/>
          <w:bCs/>
          <w:color w:val="auto"/>
          <w:sz w:val="32"/>
          <w:szCs w:val="32"/>
          <w:highlight w:val="none"/>
          <w:lang w:val="en-US" w:eastAsia="zh-CN"/>
        </w:rPr>
        <w:t>（三）于9-19井基本情况</w:t>
      </w:r>
      <w:bookmarkEnd w:id="51"/>
    </w:p>
    <w:p w14:paraId="5930400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default" w:ascii="仿宋_GB2312" w:hAnsi="仿宋_GB2312" w:eastAsia="仿宋_GB2312" w:cs="仿宋_GB2312"/>
          <w:color w:val="auto"/>
          <w:sz w:val="32"/>
          <w:szCs w:val="32"/>
          <w:highlight w:val="none"/>
          <w:lang w:val="en-US" w:eastAsia="zh-CN"/>
        </w:rPr>
      </w:pPr>
      <w:bookmarkStart w:id="52" w:name="_Toc1699214511_WPSOffice_Level2"/>
      <w:r>
        <w:rPr>
          <w:rFonts w:hint="eastAsia" w:ascii="仿宋_GB2312" w:hAnsi="仿宋_GB2312" w:eastAsia="仿宋_GB2312" w:cs="仿宋_GB2312"/>
          <w:color w:val="auto"/>
          <w:sz w:val="32"/>
          <w:szCs w:val="32"/>
          <w:highlight w:val="none"/>
          <w:lang w:val="en-US" w:eastAsia="zh-CN"/>
        </w:rPr>
        <w:t>于9-19井完钻井深3015m，2015年1月完钻投产，目前地层压力23.68MPa，日产油3t，日产天然气1300m3，该井洗井施工作业前实施补层合采措施，本次洗井作业是对射孔管柱的污染物进行清洗，修井作业地质设计方案中明确提出高气液比为该井施工作业存在的安全隐患。</w:t>
      </w:r>
      <w:bookmarkEnd w:id="52"/>
      <w:bookmarkStart w:id="53" w:name="_Toc268587141_WPSOffice_Level2"/>
    </w:p>
    <w:p w14:paraId="0B853815">
      <w:pPr>
        <w:pStyle w:val="31"/>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lang w:eastAsia="zh-CN"/>
        </w:rPr>
      </w:pPr>
      <w:bookmarkStart w:id="54" w:name="_Toc277728933_WPSOffice_Level2"/>
      <w:r>
        <w:rPr>
          <w:rFonts w:hint="eastAsia" w:ascii="华文楷体" w:hAnsi="华文楷体" w:eastAsia="华文楷体" w:cs="华文楷体"/>
          <w:bCs/>
          <w:color w:val="auto"/>
          <w:sz w:val="32"/>
          <w:szCs w:val="32"/>
          <w:highlight w:val="none"/>
        </w:rPr>
        <w:t>（</w:t>
      </w:r>
      <w:r>
        <w:rPr>
          <w:rFonts w:hint="eastAsia" w:ascii="华文楷体" w:hAnsi="华文楷体" w:eastAsia="华文楷体" w:cs="华文楷体"/>
          <w:bCs/>
          <w:color w:val="auto"/>
          <w:sz w:val="32"/>
          <w:szCs w:val="32"/>
          <w:highlight w:val="none"/>
          <w:lang w:eastAsia="zh-CN"/>
        </w:rPr>
        <w:t>四</w:t>
      </w:r>
      <w:r>
        <w:rPr>
          <w:rFonts w:hint="eastAsia" w:ascii="华文楷体" w:hAnsi="华文楷体" w:eastAsia="华文楷体" w:cs="华文楷体"/>
          <w:bCs/>
          <w:color w:val="auto"/>
          <w:sz w:val="32"/>
          <w:szCs w:val="32"/>
          <w:highlight w:val="none"/>
        </w:rPr>
        <w:t>）事故</w:t>
      </w:r>
      <w:r>
        <w:rPr>
          <w:rFonts w:hint="eastAsia" w:ascii="华文楷体" w:hAnsi="华文楷体" w:eastAsia="华文楷体" w:cs="华文楷体"/>
          <w:bCs/>
          <w:color w:val="auto"/>
          <w:sz w:val="32"/>
          <w:szCs w:val="32"/>
          <w:highlight w:val="none"/>
          <w:lang w:eastAsia="zh-CN"/>
        </w:rPr>
        <w:t>发生单位安全管理情况</w:t>
      </w:r>
      <w:bookmarkEnd w:id="46"/>
      <w:bookmarkEnd w:id="47"/>
      <w:bookmarkEnd w:id="48"/>
      <w:bookmarkEnd w:id="49"/>
      <w:bookmarkEnd w:id="53"/>
      <w:bookmarkEnd w:id="54"/>
    </w:p>
    <w:p w14:paraId="0A80EFAB">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55" w:name="_Toc31309_WPSOffice_Level2"/>
      <w:bookmarkStart w:id="56" w:name="_Toc863071059_WPSOffice_Level2"/>
      <w:bookmarkStart w:id="57" w:name="_Toc664296789_WPSOffice_Level2"/>
      <w:bookmarkStart w:id="58" w:name="_Toc1237954157_WPSOffice_Level2"/>
      <w:r>
        <w:rPr>
          <w:rFonts w:hint="eastAsia" w:ascii="仿宋_GB2312" w:hAnsi="仿宋_GB2312" w:eastAsia="仿宋_GB2312" w:cs="仿宋_GB2312"/>
          <w:color w:val="auto"/>
          <w:sz w:val="32"/>
          <w:szCs w:val="32"/>
          <w:highlight w:val="none"/>
          <w:lang w:val="en-US" w:eastAsia="zh-CN"/>
        </w:rPr>
        <w:t>1.工艺流程</w:t>
      </w:r>
    </w:p>
    <w:p w14:paraId="0E73FE8C">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本次事故发生时正在进行洗井作业，油井洗井采用正洗方式，工艺流程如下：水罐车洗井液（KC</w:t>
      </w:r>
      <w:r>
        <w:rPr>
          <w:rFonts w:hint="eastAsia" w:ascii="仿宋_GB2312" w:hAnsi="仿宋_GB2312" w:eastAsia="仿宋_GB2312" w:cs="仿宋_GB2312"/>
          <w:color w:val="auto"/>
          <w:sz w:val="32"/>
          <w:szCs w:val="32"/>
          <w:highlight w:val="none"/>
          <w:lang w:val="en-US" w:eastAsia="zh-CN"/>
        </w:rPr>
        <w:t>l</w:t>
      </w:r>
      <w:r>
        <w:rPr>
          <w:rFonts w:hint="eastAsia" w:ascii="仿宋_GB2312" w:hAnsi="仿宋_GB2312" w:eastAsia="仿宋_GB2312" w:cs="仿宋_GB2312"/>
          <w:color w:val="auto"/>
          <w:sz w:val="32"/>
          <w:szCs w:val="32"/>
          <w:highlight w:val="none"/>
          <w:lang w:eastAsia="zh-CN"/>
        </w:rPr>
        <w:t>溶液）→泵车加压→将洗井液从油管注入井筒内→清洗井下工具和油管→污染物从油套环空返出→污染罐。</w:t>
      </w:r>
    </w:p>
    <w:p w14:paraId="7F9E84FA">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2.安全管理情况</w:t>
      </w:r>
    </w:p>
    <w:p w14:paraId="2366CB24">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洗井作业执行辽河油田分公司《小修作业指导书》，根据《措施作业工程设计》《小修作业地质设计》以及《措施作业施工设计》开展作业，事故发生时，由晟晖公司二分公司作业21队与晨宇公司服务车辆司机及泵工配合进行洗井作业，其中晟晖公司作业21队由队长马敬民带队，一班组成员具体分工为：班长刘明、一岗李杨、二岗李孝龙、操作手高玉成</w:t>
      </w:r>
      <w:bookmarkStart w:id="59" w:name="_Toc857220399_WPSOffice_Level2"/>
      <w:r>
        <w:rPr>
          <w:rFonts w:hint="eastAsia" w:ascii="仿宋_GB2312" w:hAnsi="仿宋_GB2312" w:eastAsia="仿宋_GB2312" w:cs="仿宋_GB2312"/>
          <w:color w:val="auto"/>
          <w:sz w:val="32"/>
          <w:szCs w:val="32"/>
          <w:highlight w:val="none"/>
          <w:lang w:val="en-US" w:eastAsia="zh-CN"/>
        </w:rPr>
        <w:t>，晨宇公司服务车辆由一辆污染罐车、一辆泵车以及三辆水罐车组成。中油晟晖作业21队未严格执行《小修作业指导书》及相关设计文件要求，安全管理责任严重缺失，洗井作业前未对车辆安全隐患、车辆之间的安全距离进行检查，洗井作业过程中未进行现场统一指挥，对洗井作业的关键环节缺乏有效监管，安全风险告知流于形式，作业现场安全管理缺失。</w:t>
      </w:r>
    </w:p>
    <w:p w14:paraId="699DB7E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rPr>
      </w:pPr>
      <w:bookmarkStart w:id="60" w:name="_Toc1965420101_WPSOffice_Level2"/>
      <w:r>
        <w:rPr>
          <w:rFonts w:hint="eastAsia" w:ascii="华文楷体" w:hAnsi="华文楷体" w:eastAsia="华文楷体" w:cs="华文楷体"/>
          <w:bCs/>
          <w:color w:val="auto"/>
          <w:sz w:val="32"/>
          <w:szCs w:val="32"/>
          <w:highlight w:val="none"/>
        </w:rPr>
        <w:t>（</w:t>
      </w:r>
      <w:r>
        <w:rPr>
          <w:rFonts w:hint="eastAsia" w:ascii="华文楷体" w:hAnsi="华文楷体" w:eastAsia="华文楷体" w:cs="华文楷体"/>
          <w:bCs/>
          <w:color w:val="auto"/>
          <w:sz w:val="32"/>
          <w:szCs w:val="32"/>
          <w:highlight w:val="none"/>
          <w:lang w:eastAsia="zh-CN"/>
        </w:rPr>
        <w:t>五</w:t>
      </w:r>
      <w:r>
        <w:rPr>
          <w:rFonts w:hint="eastAsia" w:ascii="华文楷体" w:hAnsi="华文楷体" w:eastAsia="华文楷体" w:cs="华文楷体"/>
          <w:bCs/>
          <w:color w:val="auto"/>
          <w:sz w:val="32"/>
          <w:szCs w:val="32"/>
          <w:highlight w:val="none"/>
        </w:rPr>
        <w:t>）事故发生经过</w:t>
      </w:r>
      <w:bookmarkEnd w:id="55"/>
      <w:bookmarkEnd w:id="56"/>
      <w:bookmarkEnd w:id="57"/>
      <w:bookmarkEnd w:id="58"/>
      <w:bookmarkEnd w:id="59"/>
      <w:bookmarkEnd w:id="60"/>
    </w:p>
    <w:p w14:paraId="520275C2">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61" w:name="_Toc24360_WPSOffice_Level2"/>
      <w:bookmarkStart w:id="62" w:name="_Toc269680513_WPSOffice_Level2"/>
      <w:bookmarkStart w:id="63" w:name="_Toc345279534_WPSOffice_Level2"/>
      <w:bookmarkStart w:id="64" w:name="_Toc280138500_WPSOffice_Level2"/>
      <w:bookmarkStart w:id="65" w:name="_Toc1780163496_WPSOffice_Level2"/>
      <w:r>
        <w:rPr>
          <w:rFonts w:hint="eastAsia" w:ascii="仿宋_GB2312" w:hAnsi="仿宋_GB2312" w:eastAsia="仿宋_GB2312" w:cs="仿宋_GB2312"/>
          <w:color w:val="auto"/>
          <w:sz w:val="32"/>
          <w:szCs w:val="32"/>
          <w:highlight w:val="none"/>
          <w:lang w:val="en-US" w:eastAsia="zh-CN"/>
        </w:rPr>
        <w:t>2025年9月16日上午5点10分，晨宇公司的洗井泵车、污染罐车（罐容积15m3）及水罐车进入井场，自行摆放好施工车辆，晟晖公司作业队操作手高玉成、二岗李孝龙连接好洗井管线，晨宇公司污染罐车司机许文河打开污染罐车靠近车头的1个人孔盖，作业队一岗李扬打开套管阀门（套压大约1.4MPa）放压，约2分钟</w:t>
      </w:r>
      <w:bookmarkStart w:id="164" w:name="_GoBack"/>
      <w:bookmarkEnd w:id="164"/>
      <w:r>
        <w:rPr>
          <w:rFonts w:hint="eastAsia" w:ascii="仿宋_GB2312" w:hAnsi="仿宋_GB2312" w:eastAsia="仿宋_GB2312" w:cs="仿宋_GB2312"/>
          <w:color w:val="auto"/>
          <w:sz w:val="32"/>
          <w:szCs w:val="32"/>
          <w:highlight w:val="none"/>
          <w:lang w:val="en-US" w:eastAsia="zh-CN"/>
        </w:rPr>
        <w:t>后压力降为零。作业队队长马敬民用复合式气体检测仪对井口周围进行气体检测，未检测到天然气、硫化氢等气体。</w:t>
      </w:r>
    </w:p>
    <w:p w14:paraId="2905C29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5点15分，李扬打开油管阀门，晨宇公司泵工张书利启泵，开始洗井作业。李扬和许文河登上污染罐车观察洗井出液情况，观察到有液体进罐后下车。</w:t>
      </w:r>
    </w:p>
    <w:p w14:paraId="3A0780AD">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5点40分左右，许文河发现进入污染罐气量较大，</w:t>
      </w:r>
      <w:r>
        <w:rPr>
          <w:rFonts w:hint="eastAsia" w:ascii="仿宋_GB2312" w:hAnsi="仿宋_GB2312" w:eastAsia="仿宋_GB2312" w:cs="仿宋_GB2312"/>
          <w:color w:val="auto"/>
          <w:sz w:val="32"/>
          <w:szCs w:val="32"/>
          <w:highlight w:val="none"/>
          <w:lang w:val="en-US" w:eastAsia="zh-CN"/>
        </w:rPr>
        <w:t>再次登上罐车打开2个人孔盖，</w:t>
      </w:r>
      <w:r>
        <w:rPr>
          <w:rFonts w:hint="eastAsia" w:ascii="仿宋_GB2312" w:hAnsi="仿宋_GB2312" w:eastAsia="仿宋_GB2312" w:cs="仿宋_GB2312"/>
          <w:color w:val="auto"/>
          <w:sz w:val="32"/>
          <w:szCs w:val="32"/>
          <w:highlight w:val="none"/>
          <w:lang w:eastAsia="zh-CN"/>
        </w:rPr>
        <w:t>过了几分钟许文河佩戴的复合式气体检测报警器发出报警声，</w:t>
      </w:r>
      <w:bookmarkStart w:id="66" w:name="OLE_LINK6"/>
      <w:bookmarkStart w:id="67" w:name="OLE_LINK5"/>
      <w:r>
        <w:rPr>
          <w:rFonts w:hint="eastAsia" w:ascii="仿宋_GB2312" w:hAnsi="仿宋_GB2312" w:eastAsia="仿宋_GB2312" w:cs="仿宋_GB2312"/>
          <w:color w:val="auto"/>
          <w:sz w:val="32"/>
          <w:szCs w:val="32"/>
          <w:highlight w:val="none"/>
          <w:lang w:val="en-US" w:eastAsia="zh-CN"/>
        </w:rPr>
        <w:t>许文河立即下车并向泵工张书利反馈气量较多</w:t>
      </w:r>
      <w:r>
        <w:rPr>
          <w:rFonts w:hint="eastAsia" w:ascii="仿宋_GB2312" w:hAnsi="仿宋_GB2312" w:eastAsia="仿宋_GB2312" w:cs="仿宋_GB2312"/>
          <w:color w:val="auto"/>
          <w:sz w:val="32"/>
          <w:szCs w:val="32"/>
          <w:highlight w:val="none"/>
          <w:lang w:eastAsia="zh-CN"/>
        </w:rPr>
        <w:t>，张书利进入泵车驾驶室尝试关闭泵车，未成功（出现飞车现象），</w:t>
      </w:r>
      <w:bookmarkEnd w:id="66"/>
      <w:bookmarkEnd w:id="67"/>
      <w:r>
        <w:rPr>
          <w:rFonts w:hint="eastAsia" w:ascii="仿宋_GB2312" w:hAnsi="仿宋_GB2312" w:eastAsia="仿宋_GB2312" w:cs="仿宋_GB2312"/>
          <w:color w:val="auto"/>
          <w:sz w:val="32"/>
          <w:szCs w:val="32"/>
          <w:highlight w:val="none"/>
          <w:lang w:val="en-US" w:eastAsia="zh-CN"/>
        </w:rPr>
        <w:t>随后下车手持毛巾攀爬至泵车，试图通过封堵发动机进气口憋停设备。</w:t>
      </w:r>
    </w:p>
    <w:p w14:paraId="36F6E7F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5时51分09秒，泵车底前部下方出现火光，随即引发可燃气体爆燃，着火区域迅速蔓延至泵车与污染罐车连片区域。</w:t>
      </w:r>
    </w:p>
    <w:p w14:paraId="372A4377">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5时51分15秒，作业队队长马敬民通知高玉成迅速关闭油套阀门，切断气源。</w:t>
      </w:r>
    </w:p>
    <w:p w14:paraId="44E7D234">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5时5</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分</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5秒，泵车附近明火熄灭。</w:t>
      </w:r>
    </w:p>
    <w:p w14:paraId="5E85288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爆燃造成泵工张书立、水罐车司机刘军身上着火，现场人员立即协助处置，二人身上明火被扑灭。后续现场人员持续用灭火器对污染罐车灭火，至5时55分，污染罐车明火全部扑灭。</w:t>
      </w:r>
    </w:p>
    <w:p w14:paraId="19DE606C">
      <w:pPr>
        <w:pStyle w:val="31"/>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华文楷体" w:hAnsi="华文楷体" w:eastAsia="华文楷体" w:cs="华文楷体"/>
          <w:bCs/>
          <w:color w:val="auto"/>
          <w:sz w:val="32"/>
          <w:szCs w:val="32"/>
          <w:highlight w:val="none"/>
          <w:lang w:val="en-US" w:eastAsia="zh-CN"/>
        </w:rPr>
      </w:pPr>
      <w:bookmarkStart w:id="68" w:name="_Toc1172152645_WPSOffice_Level2"/>
      <w:r>
        <w:rPr>
          <w:rFonts w:hint="eastAsia" w:ascii="华文楷体" w:hAnsi="华文楷体" w:eastAsia="华文楷体" w:cs="华文楷体"/>
          <w:bCs/>
          <w:color w:val="auto"/>
          <w:sz w:val="32"/>
          <w:szCs w:val="32"/>
          <w:highlight w:val="none"/>
          <w:lang w:val="en-US" w:eastAsia="zh-CN"/>
        </w:rPr>
        <w:t>（六）事故现场及勘验情况</w:t>
      </w:r>
      <w:bookmarkEnd w:id="61"/>
      <w:bookmarkEnd w:id="62"/>
      <w:bookmarkEnd w:id="63"/>
      <w:bookmarkEnd w:id="64"/>
      <w:bookmarkEnd w:id="65"/>
      <w:bookmarkEnd w:id="68"/>
    </w:p>
    <w:p w14:paraId="5B8A9D01">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69" w:name="_Toc6196_WPSOffice_Level2"/>
      <w:bookmarkStart w:id="70" w:name="_Toc737399754_WPSOffice_Level2"/>
      <w:bookmarkStart w:id="71" w:name="_Toc2128924194_WPSOffice_Level2"/>
      <w:bookmarkStart w:id="72" w:name="_Toc1476288286_WPSOffice_Level2"/>
      <w:bookmarkStart w:id="73" w:name="_Toc1509853760_WPSOffice_Level2"/>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事故井场周边及井场设备设施情况</w:t>
      </w:r>
    </w:p>
    <w:p w14:paraId="3F074C89">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事故发生在盘锦市盘山县古城子乡李家村于9-19井场，该井场四周均为水田地，西面有一条高压电力架空线路，西南角有一台杆上变压器给油井供电，距南220m为高速铁路。</w:t>
      </w:r>
    </w:p>
    <w:p w14:paraId="1D9A0B4E">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井场内部署油井3口，靠近井场西边安装有天然气分气包、称重式油井计量装置、加热炉等辅助生产设备设施，同时包括晟晖公司作业21队正在进行井下作业的设备设施。</w:t>
      </w:r>
    </w:p>
    <w:p w14:paraId="7A9407CD">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事故现场设备设施布置及勘查情况</w:t>
      </w:r>
    </w:p>
    <w:p w14:paraId="1E147206">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auto"/>
          <w:sz w:val="32"/>
          <w:szCs w:val="32"/>
          <w:highlight w:val="none"/>
          <w:lang w:eastAsia="zh-CN"/>
        </w:rPr>
        <w:t>现场勘查发现，泵车与污染罐车间距大约</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m，与油井间距大约</w:t>
      </w:r>
      <w:r>
        <w:rPr>
          <w:rFonts w:hint="eastAsia" w:ascii="仿宋_GB2312" w:hAnsi="仿宋_GB2312" w:eastAsia="仿宋_GB2312" w:cs="仿宋_GB2312"/>
          <w:color w:val="auto"/>
          <w:sz w:val="32"/>
          <w:szCs w:val="32"/>
          <w:highlight w:val="none"/>
          <w:lang w:val="en-US" w:eastAsia="zh-CN"/>
        </w:rPr>
        <w:t>10m，事故发生后</w:t>
      </w:r>
      <w:r>
        <w:rPr>
          <w:rFonts w:hint="eastAsia" w:ascii="仿宋_GB2312" w:hAnsi="仿宋_GB2312" w:eastAsia="仿宋_GB2312" w:cs="仿宋_GB2312"/>
          <w:color w:val="auto"/>
          <w:sz w:val="32"/>
          <w:szCs w:val="32"/>
          <w:highlight w:val="none"/>
          <w:lang w:eastAsia="zh-CN"/>
        </w:rPr>
        <w:t>泵车、水罐车、污染罐车受到不同程度损坏，其中泵车压力表损坏较严重。泵车为2010年6月投入使用，设备比较老旧，在事故发生前不久刚进行过维修保养。经调查组对泵车检查发现，泵车排气管与消音器连接处密封不严，有明显的倒烟痕迹。（见图</w:t>
      </w:r>
      <w:r>
        <w:rPr>
          <w:rFonts w:hint="eastAsia" w:ascii="仿宋_GB2312" w:hAnsi="仿宋_GB2312" w:eastAsia="仿宋_GB2312" w:cs="仿宋_GB2312"/>
          <w:color w:val="auto"/>
          <w:sz w:val="32"/>
          <w:szCs w:val="32"/>
          <w:highlight w:val="none"/>
          <w:lang w:val="en-US" w:eastAsia="zh-CN"/>
        </w:rPr>
        <w:t>1和图2</w:t>
      </w:r>
      <w:r>
        <w:rPr>
          <w:rFonts w:hint="eastAsia" w:ascii="仿宋_GB2312" w:hAnsi="仿宋_GB2312" w:eastAsia="仿宋_GB2312" w:cs="仿宋_GB2312"/>
          <w:color w:val="auto"/>
          <w:sz w:val="32"/>
          <w:szCs w:val="32"/>
          <w:highlight w:val="none"/>
          <w:lang w:eastAsia="zh-CN"/>
        </w:rPr>
        <w:t>）</w:t>
      </w:r>
    </w:p>
    <w:p w14:paraId="2E49FAF6">
      <w:pPr>
        <w:pStyle w:val="17"/>
        <w:widowControl/>
        <w:spacing w:beforeAutospacing="0" w:afterAutospacing="0"/>
        <w:ind w:firstLine="560" w:firstLineChars="200"/>
        <w:jc w:val="center"/>
        <w:rPr>
          <w:rFonts w:hint="eastAsia" w:ascii="宋体" w:hAnsi="宋体" w:eastAsia="宋体" w:cs="宋体"/>
          <w:color w:val="000000"/>
          <w:sz w:val="28"/>
          <w:szCs w:val="28"/>
          <w:lang w:val="en-US"/>
        </w:rPr>
      </w:pPr>
      <w:r>
        <w:rPr>
          <w:rFonts w:hint="eastAsia" w:ascii="宋体" w:hAnsi="宋体" w:eastAsia="宋体" w:cs="宋体"/>
          <w:color w:val="000000"/>
          <w:sz w:val="28"/>
          <w:szCs w:val="28"/>
        </w:rPr>
        <w:t>图1现场设备平面布置图</w:t>
      </w:r>
      <w:r>
        <w:rPr>
          <w:rFonts w:hint="eastAsia" w:ascii="宋体" w:hAnsi="宋体" w:eastAsia="宋体" w:cs="宋体"/>
          <w:color w:val="000000"/>
          <w:sz w:val="28"/>
          <w:szCs w:val="28"/>
        </w:rPr>
        <w:drawing>
          <wp:anchor distT="0" distB="0" distL="114300" distR="114300" simplePos="0" relativeHeight="251660288" behindDoc="1" locked="0" layoutInCell="1" allowOverlap="1">
            <wp:simplePos x="0" y="0"/>
            <wp:positionH relativeFrom="column">
              <wp:posOffset>3220085</wp:posOffset>
            </wp:positionH>
            <wp:positionV relativeFrom="paragraph">
              <wp:posOffset>69215</wp:posOffset>
            </wp:positionV>
            <wp:extent cx="2301240" cy="2434590"/>
            <wp:effectExtent l="0" t="0" r="3810" b="3810"/>
            <wp:wrapTight wrapText="bothSides">
              <wp:wrapPolygon>
                <wp:start x="21592" y="-2"/>
                <wp:lineTo x="0" y="0"/>
                <wp:lineTo x="0" y="21599"/>
                <wp:lineTo x="21592" y="21601"/>
                <wp:lineTo x="8" y="21601"/>
                <wp:lineTo x="21600" y="21599"/>
                <wp:lineTo x="21600" y="0"/>
                <wp:lineTo x="8" y="-2"/>
                <wp:lineTo x="21592" y="-2"/>
              </wp:wrapPolygon>
            </wp:wrapTight>
            <wp:docPr id="2" name="图片 10" descr="b053a7d5a3493298b5e33ba0c8b9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b053a7d5a3493298b5e33ba0c8b99637"/>
                    <pic:cNvPicPr>
                      <a:picLocks noChangeAspect="1"/>
                    </pic:cNvPicPr>
                  </pic:nvPicPr>
                  <pic:blipFill>
                    <a:blip r:embed="rId7"/>
                    <a:srcRect b="20686"/>
                    <a:stretch>
                      <a:fillRect/>
                    </a:stretch>
                  </pic:blipFill>
                  <pic:spPr>
                    <a:xfrm>
                      <a:off x="0" y="0"/>
                      <a:ext cx="2301240" cy="2434590"/>
                    </a:xfrm>
                    <a:prstGeom prst="rect">
                      <a:avLst/>
                    </a:prstGeom>
                    <a:noFill/>
                    <a:ln>
                      <a:noFill/>
                    </a:ln>
                  </pic:spPr>
                </pic:pic>
              </a:graphicData>
            </a:graphic>
          </wp:anchor>
        </w:drawing>
      </w:r>
      <w:r>
        <w:rPr>
          <w:rFonts w:hint="eastAsia" w:ascii="宋体" w:hAnsi="宋体" w:eastAsia="宋体" w:cs="宋体"/>
          <w:color w:val="000000"/>
          <w:sz w:val="28"/>
          <w:szCs w:val="28"/>
        </w:rPr>
        <w:drawing>
          <wp:anchor distT="0" distB="0" distL="0" distR="0" simplePos="0" relativeHeight="251659264" behindDoc="0" locked="0" layoutInCell="1" allowOverlap="1">
            <wp:simplePos x="0" y="0"/>
            <wp:positionH relativeFrom="column">
              <wp:posOffset>25400</wp:posOffset>
            </wp:positionH>
            <wp:positionV relativeFrom="paragraph">
              <wp:posOffset>88265</wp:posOffset>
            </wp:positionV>
            <wp:extent cx="2996565" cy="2440940"/>
            <wp:effectExtent l="0" t="0" r="13335" b="16510"/>
            <wp:wrapTopAndBottom/>
            <wp:docPr id="1" name="图片 4" descr="C:\Users\Administrator\Documents\xwechat_files\wxid_au1erxajrian22_3df2\temp\RWTemp\2025-11\9cb9c1eefa187fad3d52dffa1446d5a7\3bfdd7dd36ac2586453605f2b7e8f4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Users\Administrator\Documents\xwechat_files\wxid_au1erxajrian22_3df2\temp\RWTemp\2025-11\9cb9c1eefa187fad3d52dffa1446d5a7\3bfdd7dd36ac2586453605f2b7e8f4c5.png"/>
                    <pic:cNvPicPr>
                      <a:picLocks noChangeAspect="1"/>
                    </pic:cNvPicPr>
                  </pic:nvPicPr>
                  <pic:blipFill>
                    <a:blip r:embed="rId8"/>
                    <a:stretch>
                      <a:fillRect/>
                    </a:stretch>
                  </pic:blipFill>
                  <pic:spPr>
                    <a:xfrm>
                      <a:off x="0" y="0"/>
                      <a:ext cx="2996565" cy="2440940"/>
                    </a:xfrm>
                    <a:prstGeom prst="rect">
                      <a:avLst/>
                    </a:prstGeom>
                    <a:noFill/>
                    <a:ln>
                      <a:noFill/>
                    </a:ln>
                  </pic:spPr>
                </pic:pic>
              </a:graphicData>
            </a:graphic>
          </wp:anchor>
        </w:drawing>
      </w: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图</w:t>
      </w: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 xml:space="preserve"> 泵车排气管缺陷图</w:t>
      </w:r>
    </w:p>
    <w:p w14:paraId="5B9FD321">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rPr>
      </w:pPr>
      <w:bookmarkStart w:id="74" w:name="_Toc559475601_WPSOffice_Level2"/>
      <w:r>
        <w:rPr>
          <w:rFonts w:hint="eastAsia" w:ascii="华文楷体" w:hAnsi="华文楷体" w:eastAsia="华文楷体" w:cs="华文楷体"/>
          <w:bCs/>
          <w:color w:val="auto"/>
          <w:sz w:val="32"/>
          <w:szCs w:val="32"/>
          <w:highlight w:val="none"/>
        </w:rPr>
        <w:t>（</w:t>
      </w:r>
      <w:r>
        <w:rPr>
          <w:rFonts w:hint="eastAsia" w:ascii="华文楷体" w:hAnsi="华文楷体" w:eastAsia="华文楷体" w:cs="华文楷体"/>
          <w:bCs/>
          <w:color w:val="auto"/>
          <w:sz w:val="32"/>
          <w:szCs w:val="32"/>
          <w:highlight w:val="none"/>
          <w:lang w:eastAsia="zh-CN"/>
        </w:rPr>
        <w:t>七</w:t>
      </w:r>
      <w:r>
        <w:rPr>
          <w:rFonts w:hint="eastAsia" w:ascii="华文楷体" w:hAnsi="华文楷体" w:eastAsia="华文楷体" w:cs="华文楷体"/>
          <w:bCs/>
          <w:color w:val="auto"/>
          <w:sz w:val="32"/>
          <w:szCs w:val="32"/>
          <w:highlight w:val="none"/>
        </w:rPr>
        <w:t>）人员伤亡和直接经济损失情况</w:t>
      </w:r>
      <w:bookmarkEnd w:id="69"/>
      <w:bookmarkEnd w:id="70"/>
      <w:bookmarkEnd w:id="71"/>
      <w:bookmarkEnd w:id="72"/>
      <w:bookmarkEnd w:id="73"/>
      <w:bookmarkEnd w:id="74"/>
    </w:p>
    <w:p w14:paraId="08A3E596">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事故造成2名人员重伤，人员信息如下：</w:t>
      </w:r>
    </w:p>
    <w:p w14:paraId="19DDCBA4">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张书利，男，</w:t>
      </w:r>
      <w:r>
        <w:rPr>
          <w:rFonts w:hint="eastAsia" w:ascii="仿宋_GB2312" w:hAnsi="仿宋_GB2312" w:eastAsia="仿宋_GB2312" w:cs="仿宋_GB2312"/>
          <w:color w:val="auto"/>
          <w:sz w:val="32"/>
          <w:szCs w:val="32"/>
          <w:highlight w:val="none"/>
          <w:lang w:val="en-US" w:eastAsia="zh-CN"/>
        </w:rPr>
        <w:t>57岁，户籍地址：辽宁省盘山县古城子镇。</w:t>
      </w:r>
    </w:p>
    <w:p w14:paraId="2B7C22FB">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刘军，男，</w:t>
      </w:r>
      <w:r>
        <w:rPr>
          <w:rFonts w:hint="eastAsia" w:ascii="仿宋_GB2312" w:hAnsi="仿宋_GB2312" w:eastAsia="仿宋_GB2312" w:cs="仿宋_GB2312"/>
          <w:color w:val="auto"/>
          <w:sz w:val="32"/>
          <w:szCs w:val="32"/>
          <w:highlight w:val="none"/>
          <w:lang w:val="en-US" w:eastAsia="zh-CN"/>
        </w:rPr>
        <w:t>56岁，户籍地址：辽宁省盘锦市兴隆台区。</w:t>
      </w:r>
    </w:p>
    <w:p w14:paraId="3F63BFDE">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根据《企业职工伤亡事故经济损失统计标准》（GB/T6721-1986）核定，该起事故造成的直接经济损失约200万元。</w:t>
      </w:r>
    </w:p>
    <w:p w14:paraId="25D3CD71">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lang w:eastAsia="zh-CN"/>
        </w:rPr>
      </w:pPr>
      <w:bookmarkStart w:id="75" w:name="_Toc898160377_WPSOffice_Level2"/>
      <w:bookmarkStart w:id="76" w:name="_Toc119261860_WPSOffice_Level2"/>
      <w:bookmarkStart w:id="77" w:name="_Toc23848_WPSOffice_Level2"/>
      <w:bookmarkStart w:id="78" w:name="_Toc1553519729_WPSOffice_Level2"/>
      <w:r>
        <w:rPr>
          <w:rFonts w:hint="eastAsia" w:ascii="华文楷体" w:hAnsi="华文楷体" w:eastAsia="华文楷体" w:cs="华文楷体"/>
          <w:bCs/>
          <w:color w:val="auto"/>
          <w:sz w:val="32"/>
          <w:szCs w:val="32"/>
          <w:highlight w:val="none"/>
        </w:rPr>
        <w:t>（</w:t>
      </w:r>
      <w:r>
        <w:rPr>
          <w:rFonts w:hint="eastAsia" w:ascii="华文楷体" w:hAnsi="华文楷体" w:eastAsia="华文楷体" w:cs="华文楷体"/>
          <w:bCs/>
          <w:color w:val="auto"/>
          <w:sz w:val="32"/>
          <w:szCs w:val="32"/>
          <w:highlight w:val="none"/>
          <w:lang w:eastAsia="zh-CN"/>
        </w:rPr>
        <w:t>八</w:t>
      </w:r>
      <w:r>
        <w:rPr>
          <w:rFonts w:hint="eastAsia" w:ascii="华文楷体" w:hAnsi="华文楷体" w:eastAsia="华文楷体" w:cs="华文楷体"/>
          <w:bCs/>
          <w:color w:val="auto"/>
          <w:sz w:val="32"/>
          <w:szCs w:val="32"/>
          <w:highlight w:val="none"/>
        </w:rPr>
        <w:t>）</w:t>
      </w:r>
      <w:r>
        <w:rPr>
          <w:rFonts w:hint="eastAsia" w:ascii="华文楷体" w:hAnsi="华文楷体" w:eastAsia="华文楷体" w:cs="华文楷体"/>
          <w:bCs/>
          <w:color w:val="auto"/>
          <w:sz w:val="32"/>
          <w:szCs w:val="32"/>
          <w:highlight w:val="none"/>
          <w:lang w:eastAsia="zh-CN"/>
        </w:rPr>
        <w:t>天气情况</w:t>
      </w:r>
      <w:bookmarkEnd w:id="75"/>
      <w:bookmarkEnd w:id="76"/>
    </w:p>
    <w:bookmarkEnd w:id="77"/>
    <w:bookmarkEnd w:id="78"/>
    <w:p w14:paraId="6C25EFB0">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79" w:name="_Toc1237475048_WPSOffice_Level1"/>
      <w:bookmarkStart w:id="80" w:name="_Toc350913650_WPSOffice_Level1"/>
      <w:bookmarkStart w:id="81" w:name="_Toc2352_WPSOffice_Level1"/>
      <w:bookmarkStart w:id="82" w:name="_Toc1026541232_WPSOffice_Level1"/>
      <w:bookmarkStart w:id="83" w:name="_Toc1938214648_WPSOffice_Level1"/>
      <w:r>
        <w:rPr>
          <w:rFonts w:hint="eastAsia" w:ascii="仿宋_GB2312" w:hAnsi="仿宋_GB2312" w:eastAsia="仿宋_GB2312" w:cs="仿宋_GB2312"/>
          <w:color w:val="auto"/>
          <w:sz w:val="32"/>
          <w:szCs w:val="32"/>
          <w:highlight w:val="none"/>
          <w:lang w:eastAsia="zh-CN"/>
        </w:rPr>
        <w:t>根据现场施工监控视频及风向标显示：</w:t>
      </w:r>
      <w:r>
        <w:rPr>
          <w:rFonts w:hint="eastAsia" w:ascii="仿宋_GB2312" w:hAnsi="仿宋_GB2312" w:eastAsia="仿宋_GB2312" w:cs="仿宋_GB2312"/>
          <w:color w:val="auto"/>
          <w:sz w:val="32"/>
          <w:szCs w:val="32"/>
          <w:highlight w:val="none"/>
          <w:lang w:val="en-US" w:eastAsia="zh-CN"/>
        </w:rPr>
        <w:t>2025年9月16日5时，</w:t>
      </w:r>
      <w:r>
        <w:rPr>
          <w:rFonts w:hint="eastAsia" w:ascii="仿宋_GB2312" w:hAnsi="仿宋_GB2312" w:eastAsia="仿宋_GB2312" w:cs="仿宋_GB2312"/>
          <w:color w:val="auto"/>
          <w:sz w:val="32"/>
          <w:szCs w:val="32"/>
          <w:highlight w:val="none"/>
          <w:lang w:eastAsia="zh-CN"/>
        </w:rPr>
        <w:t>事故发生地天气情况为北风（微风）、有雾。</w:t>
      </w:r>
    </w:p>
    <w:p w14:paraId="651351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color w:val="auto"/>
          <w:sz w:val="32"/>
          <w:szCs w:val="32"/>
          <w:highlight w:val="none"/>
        </w:rPr>
      </w:pPr>
      <w:bookmarkStart w:id="84" w:name="_Toc1212878175_WPSOffice_Level1"/>
      <w:r>
        <w:rPr>
          <w:rFonts w:hint="eastAsia" w:ascii="黑体" w:hAnsi="黑体" w:eastAsia="黑体" w:cs="黑体"/>
          <w:b w:val="0"/>
          <w:bCs/>
          <w:color w:val="auto"/>
          <w:sz w:val="32"/>
          <w:szCs w:val="32"/>
          <w:highlight w:val="none"/>
        </w:rPr>
        <w:t>二、事故应急处置及评估情况</w:t>
      </w:r>
      <w:bookmarkEnd w:id="79"/>
      <w:bookmarkEnd w:id="80"/>
      <w:bookmarkEnd w:id="81"/>
      <w:bookmarkEnd w:id="82"/>
      <w:bookmarkEnd w:id="83"/>
      <w:bookmarkEnd w:id="84"/>
    </w:p>
    <w:p w14:paraId="271BFB13">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rPr>
      </w:pPr>
      <w:bookmarkStart w:id="85" w:name="_Toc511153252_WPSOffice_Level2"/>
      <w:bookmarkStart w:id="86" w:name="_Toc1947526983_WPSOffice_Level2"/>
      <w:bookmarkStart w:id="87" w:name="_Toc389860366_WPSOffice_Level2"/>
      <w:bookmarkStart w:id="88" w:name="_Toc29402_WPSOffice_Level2"/>
      <w:bookmarkStart w:id="89" w:name="_Toc1198425877_WPSOffice_Level2"/>
      <w:bookmarkStart w:id="90" w:name="_Toc330233755_WPSOffice_Level2"/>
      <w:r>
        <w:rPr>
          <w:rFonts w:hint="eastAsia" w:ascii="华文楷体" w:hAnsi="华文楷体" w:eastAsia="华文楷体" w:cs="华文楷体"/>
          <w:bCs/>
          <w:color w:val="auto"/>
          <w:sz w:val="32"/>
          <w:szCs w:val="32"/>
          <w:highlight w:val="none"/>
        </w:rPr>
        <w:t>（一）事故信息接报及响应情况</w:t>
      </w:r>
      <w:bookmarkEnd w:id="85"/>
      <w:bookmarkEnd w:id="86"/>
      <w:bookmarkEnd w:id="87"/>
      <w:bookmarkEnd w:id="88"/>
      <w:bookmarkEnd w:id="89"/>
      <w:bookmarkEnd w:id="90"/>
    </w:p>
    <w:p w14:paraId="5DF17B7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default" w:ascii="仿宋_GB2312" w:hAnsi="仿宋_GB2312" w:eastAsia="仿宋_GB2312" w:cs="仿宋_GB2312"/>
          <w:color w:val="auto"/>
          <w:sz w:val="32"/>
          <w:szCs w:val="32"/>
          <w:highlight w:val="none"/>
          <w:lang w:val="en-US" w:eastAsia="zh-CN"/>
        </w:rPr>
      </w:pPr>
      <w:bookmarkStart w:id="91" w:name="_Toc615840611_WPSOffice_Level2"/>
      <w:bookmarkStart w:id="92" w:name="_Toc4424_WPSOffice_Level2"/>
      <w:bookmarkStart w:id="93" w:name="_Toc796662380_WPSOffice_Level2"/>
      <w:bookmarkStart w:id="94" w:name="_Toc1284977493_WPSOffice_Level2"/>
      <w:bookmarkStart w:id="95" w:name="_Toc935154232_WPSOffice_Level2"/>
      <w:r>
        <w:rPr>
          <w:rFonts w:hint="eastAsia" w:ascii="仿宋_GB2312" w:hAnsi="仿宋_GB2312" w:eastAsia="仿宋_GB2312" w:cs="仿宋_GB2312"/>
          <w:color w:val="auto"/>
          <w:sz w:val="32"/>
          <w:szCs w:val="32"/>
          <w:highlight w:val="none"/>
          <w:lang w:val="en-US" w:eastAsia="zh-CN"/>
        </w:rPr>
        <w:t>事故发生后，晟晖公司</w:t>
      </w:r>
      <w:r>
        <w:rPr>
          <w:rFonts w:hint="eastAsia" w:ascii="仿宋_GB2312" w:hAnsi="仿宋_GB2312" w:eastAsia="仿宋_GB2312" w:cs="仿宋_GB2312"/>
          <w:color w:val="auto"/>
          <w:sz w:val="32"/>
          <w:szCs w:val="32"/>
          <w:highlight w:val="none"/>
          <w:lang w:eastAsia="zh-CN"/>
        </w:rPr>
        <w:t>作业队队长马敬民立即向</w:t>
      </w:r>
      <w:r>
        <w:rPr>
          <w:rFonts w:hint="eastAsia" w:ascii="仿宋_GB2312" w:hAnsi="仿宋_GB2312" w:eastAsia="仿宋_GB2312" w:cs="仿宋_GB2312"/>
          <w:color w:val="auto"/>
          <w:sz w:val="32"/>
          <w:szCs w:val="32"/>
          <w:highlight w:val="none"/>
          <w:lang w:val="en-US" w:eastAsia="zh-CN"/>
        </w:rPr>
        <w:t>二分公司</w:t>
      </w:r>
      <w:r>
        <w:rPr>
          <w:rFonts w:hint="eastAsia" w:ascii="仿宋_GB2312" w:hAnsi="仿宋_GB2312" w:eastAsia="仿宋_GB2312" w:cs="仿宋_GB2312"/>
          <w:color w:val="auto"/>
          <w:sz w:val="32"/>
          <w:szCs w:val="32"/>
          <w:highlight w:val="none"/>
          <w:lang w:eastAsia="zh-CN"/>
        </w:rPr>
        <w:t>经理马野汇报了事故情况，马野随即赶到现场进行处置，并将事故情况报告晟晖公司总经理徐相利，徐相利未在规定时限报告事故。</w:t>
      </w:r>
      <w:r>
        <w:rPr>
          <w:rFonts w:hint="eastAsia" w:ascii="仿宋_GB2312" w:hAnsi="仿宋_GB2312" w:eastAsia="仿宋_GB2312" w:cs="仿宋_GB2312"/>
          <w:color w:val="auto"/>
          <w:sz w:val="32"/>
          <w:szCs w:val="32"/>
          <w:highlight w:val="none"/>
          <w:lang w:val="en-US" w:eastAsia="zh-CN"/>
        </w:rPr>
        <w:t>晨宇公司司机张跃振在事故发生后立即向车队队长张浩报告，张浩了解情况后向运输项目部经理李福柱汇报，二人先后赶往现场，李福柱同时向晨宇公司主要负责人张勤汇报，张勤因在外地，了解情况后授权李福柱全权处理该起事故。9月17日，盘锦市应急管理局接到事故报告。</w:t>
      </w:r>
    </w:p>
    <w:p w14:paraId="06A32720">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rPr>
      </w:pPr>
      <w:bookmarkStart w:id="96" w:name="_Toc583008231_WPSOffice_Level2"/>
      <w:r>
        <w:rPr>
          <w:rFonts w:hint="eastAsia" w:ascii="华文楷体" w:hAnsi="华文楷体" w:eastAsia="华文楷体" w:cs="华文楷体"/>
          <w:bCs/>
          <w:color w:val="auto"/>
          <w:sz w:val="32"/>
          <w:szCs w:val="32"/>
          <w:highlight w:val="none"/>
        </w:rPr>
        <w:t>（二）事故现场应急处置情况</w:t>
      </w:r>
      <w:bookmarkEnd w:id="91"/>
      <w:bookmarkEnd w:id="92"/>
      <w:bookmarkEnd w:id="93"/>
      <w:bookmarkEnd w:id="94"/>
      <w:bookmarkEnd w:id="95"/>
      <w:bookmarkEnd w:id="96"/>
    </w:p>
    <w:p w14:paraId="77A59093">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97" w:name="_Toc522953463_WPSOffice_Level2"/>
      <w:bookmarkStart w:id="98" w:name="_Toc422511956_WPSOffice_Level2"/>
      <w:bookmarkStart w:id="99" w:name="_Toc1817125549_WPSOffice_Level2"/>
      <w:bookmarkStart w:id="100" w:name="_Toc909161106_WPSOffice_Level2"/>
      <w:bookmarkStart w:id="101" w:name="_Toc30124_WPSOffice_Level2"/>
      <w:r>
        <w:rPr>
          <w:rFonts w:hint="eastAsia" w:ascii="仿宋_GB2312" w:hAnsi="仿宋_GB2312" w:eastAsia="仿宋_GB2312" w:cs="仿宋_GB2312"/>
          <w:color w:val="auto"/>
          <w:sz w:val="32"/>
          <w:szCs w:val="32"/>
          <w:highlight w:val="none"/>
          <w:lang w:eastAsia="zh-CN"/>
        </w:rPr>
        <w:t>事故发生后，作业队人员立即使用灭火器进行灭火，组织人员对罐体进行降温处理，未造成次生事故发生。</w:t>
      </w:r>
    </w:p>
    <w:p w14:paraId="28105826">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rPr>
      </w:pPr>
      <w:bookmarkStart w:id="102" w:name="_Toc1914509914_WPSOffice_Level2"/>
      <w:r>
        <w:rPr>
          <w:rFonts w:hint="eastAsia" w:ascii="华文楷体" w:hAnsi="华文楷体" w:eastAsia="华文楷体" w:cs="华文楷体"/>
          <w:bCs/>
          <w:color w:val="auto"/>
          <w:sz w:val="32"/>
          <w:szCs w:val="32"/>
          <w:highlight w:val="none"/>
        </w:rPr>
        <w:t>（三）</w:t>
      </w:r>
      <w:r>
        <w:rPr>
          <w:rFonts w:hint="eastAsia" w:ascii="华文楷体" w:hAnsi="华文楷体" w:eastAsia="华文楷体" w:cs="华文楷体"/>
          <w:bCs/>
          <w:color w:val="auto"/>
          <w:sz w:val="32"/>
          <w:szCs w:val="32"/>
          <w:highlight w:val="none"/>
          <w:lang w:eastAsia="zh-CN"/>
        </w:rPr>
        <w:t>医疗救治和</w:t>
      </w:r>
      <w:r>
        <w:rPr>
          <w:rFonts w:hint="eastAsia" w:ascii="华文楷体" w:hAnsi="华文楷体" w:eastAsia="华文楷体" w:cs="华文楷体"/>
          <w:bCs/>
          <w:color w:val="auto"/>
          <w:sz w:val="32"/>
          <w:szCs w:val="32"/>
          <w:highlight w:val="none"/>
        </w:rPr>
        <w:t>善后情况</w:t>
      </w:r>
      <w:bookmarkEnd w:id="97"/>
      <w:bookmarkEnd w:id="98"/>
      <w:bookmarkEnd w:id="99"/>
      <w:bookmarkEnd w:id="100"/>
      <w:bookmarkEnd w:id="101"/>
      <w:bookmarkEnd w:id="102"/>
    </w:p>
    <w:p w14:paraId="58AA8AAA">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仿宋_GB2312" w:eastAsia="仿宋_GB2312" w:cs="仿宋_GB2312"/>
          <w:color w:val="auto"/>
          <w:kern w:val="2"/>
          <w:sz w:val="32"/>
          <w:szCs w:val="32"/>
          <w:highlight w:val="none"/>
          <w:lang w:val="en-US" w:eastAsia="zh-CN" w:bidi="ar-SA"/>
        </w:rPr>
      </w:pPr>
      <w:bookmarkStart w:id="103" w:name="_Toc882731279_WPSOffice_Level2"/>
      <w:bookmarkStart w:id="104" w:name="_Toc201648279_WPSOffice_Level2"/>
      <w:bookmarkStart w:id="105" w:name="_Toc907705443_WPSOffice_Level2"/>
      <w:bookmarkStart w:id="106" w:name="_Toc21417_WPSOffice_Level2"/>
      <w:r>
        <w:rPr>
          <w:rFonts w:hint="eastAsia" w:ascii="仿宋_GB2312" w:hAnsi="仿宋_GB2312" w:eastAsia="仿宋_GB2312" w:cs="仿宋_GB2312"/>
          <w:color w:val="auto"/>
          <w:kern w:val="2"/>
          <w:sz w:val="32"/>
          <w:szCs w:val="32"/>
          <w:highlight w:val="none"/>
          <w:lang w:val="en-US" w:eastAsia="zh-CN" w:bidi="ar-SA"/>
        </w:rPr>
        <w:t>辽河油田宝石花急救站救护车到达现场后，救护人员立即开展医疗救治，伤者先后被送往辽河油田宝石花医院、沈阳消防烧伤医院住院治疗，相关单位垫付了医疗费用。</w:t>
      </w:r>
    </w:p>
    <w:p w14:paraId="6CCD39E1">
      <w:pPr>
        <w:pStyle w:val="31"/>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bCs/>
          <w:color w:val="auto"/>
          <w:sz w:val="32"/>
          <w:szCs w:val="32"/>
          <w:highlight w:val="none"/>
        </w:rPr>
      </w:pPr>
      <w:bookmarkStart w:id="107" w:name="_Toc1162853889_WPSOffice_Level2"/>
      <w:bookmarkStart w:id="108" w:name="_Toc1633902977_WPSOffice_Level2"/>
      <w:r>
        <w:rPr>
          <w:rFonts w:hint="eastAsia" w:ascii="华文楷体" w:hAnsi="华文楷体" w:eastAsia="华文楷体" w:cs="华文楷体"/>
          <w:bCs/>
          <w:color w:val="auto"/>
          <w:sz w:val="32"/>
          <w:szCs w:val="32"/>
          <w:highlight w:val="none"/>
        </w:rPr>
        <w:t>（四）事故应急处置评估</w:t>
      </w:r>
      <w:bookmarkEnd w:id="103"/>
      <w:bookmarkEnd w:id="104"/>
      <w:bookmarkEnd w:id="105"/>
      <w:bookmarkEnd w:id="106"/>
      <w:bookmarkEnd w:id="107"/>
      <w:bookmarkEnd w:id="108"/>
    </w:p>
    <w:p w14:paraId="0698230E">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经评估，事故发生后，相关单位对伤者救援及时，处置过程中未发生次生事故，伤者被送往医院正在接受治疗，晟晖公司主要负责人未在规定时限上报事故，存在迟报情况。</w:t>
      </w:r>
    </w:p>
    <w:p w14:paraId="0B14D0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color w:val="auto"/>
          <w:sz w:val="32"/>
          <w:szCs w:val="32"/>
          <w:highlight w:val="none"/>
        </w:rPr>
      </w:pPr>
      <w:bookmarkStart w:id="109" w:name="_Toc14225249_WPSOffice_Level1"/>
      <w:bookmarkStart w:id="110" w:name="_Toc1575374019_WPSOffice_Level1"/>
      <w:bookmarkStart w:id="111" w:name="_Toc1975462349_WPSOffice_Level1"/>
      <w:bookmarkStart w:id="112" w:name="_Toc117205864_WPSOffice_Level1"/>
      <w:bookmarkStart w:id="113" w:name="_Toc31141_WPSOffice_Level1"/>
      <w:bookmarkStart w:id="114" w:name="_Toc1786694963_WPSOffice_Level1"/>
      <w:r>
        <w:rPr>
          <w:rFonts w:hint="eastAsia" w:ascii="黑体" w:hAnsi="黑体" w:eastAsia="黑体" w:cs="黑体"/>
          <w:b w:val="0"/>
          <w:bCs/>
          <w:color w:val="auto"/>
          <w:sz w:val="32"/>
          <w:szCs w:val="32"/>
          <w:highlight w:val="none"/>
        </w:rPr>
        <w:t>三、事故原因分析</w:t>
      </w:r>
      <w:bookmarkEnd w:id="109"/>
      <w:bookmarkEnd w:id="110"/>
      <w:bookmarkEnd w:id="111"/>
      <w:bookmarkEnd w:id="112"/>
      <w:bookmarkEnd w:id="113"/>
      <w:bookmarkEnd w:id="114"/>
    </w:p>
    <w:p w14:paraId="43899C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华文楷体" w:hAnsi="华文楷体" w:eastAsia="华文楷体" w:cs="华文楷体"/>
          <w:color w:val="auto"/>
          <w:sz w:val="32"/>
          <w:szCs w:val="32"/>
          <w:highlight w:val="none"/>
        </w:rPr>
      </w:pPr>
      <w:bookmarkStart w:id="115" w:name="_Toc25480_WPSOffice_Level2"/>
      <w:bookmarkStart w:id="116" w:name="_Toc294626371_WPSOffice_Level2"/>
      <w:bookmarkStart w:id="117" w:name="_Toc1352725567_WPSOffice_Level2"/>
      <w:bookmarkStart w:id="118" w:name="_Toc101907502_WPSOffice_Level2"/>
      <w:bookmarkStart w:id="119" w:name="_Toc470325499_WPSOffice_Level2"/>
      <w:bookmarkStart w:id="120" w:name="_Toc1307725333_WPSOffice_Level2"/>
      <w:r>
        <w:rPr>
          <w:rFonts w:hint="eastAsia" w:ascii="华文楷体" w:hAnsi="华文楷体" w:eastAsia="华文楷体" w:cs="华文楷体"/>
          <w:color w:val="auto"/>
          <w:sz w:val="32"/>
          <w:szCs w:val="32"/>
          <w:highlight w:val="none"/>
        </w:rPr>
        <w:t>（一）</w:t>
      </w:r>
      <w:r>
        <w:rPr>
          <w:rFonts w:hint="eastAsia" w:ascii="华文楷体" w:hAnsi="华文楷体" w:eastAsia="华文楷体" w:cs="华文楷体"/>
          <w:color w:val="auto"/>
          <w:sz w:val="32"/>
          <w:szCs w:val="32"/>
          <w:highlight w:val="none"/>
          <w:lang w:eastAsia="zh-CN"/>
        </w:rPr>
        <w:t>事故</w:t>
      </w:r>
      <w:r>
        <w:rPr>
          <w:rFonts w:hint="eastAsia" w:ascii="华文楷体" w:hAnsi="华文楷体" w:eastAsia="华文楷体" w:cs="华文楷体"/>
          <w:color w:val="auto"/>
          <w:sz w:val="32"/>
          <w:szCs w:val="32"/>
          <w:highlight w:val="none"/>
        </w:rPr>
        <w:t>直接原因</w:t>
      </w:r>
      <w:bookmarkEnd w:id="115"/>
      <w:bookmarkEnd w:id="116"/>
      <w:bookmarkEnd w:id="117"/>
      <w:bookmarkEnd w:id="118"/>
      <w:bookmarkEnd w:id="119"/>
      <w:bookmarkEnd w:id="120"/>
    </w:p>
    <w:p w14:paraId="446B8E39">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21" w:name="_Toc1070709227_WPSOffice_Level2"/>
      <w:bookmarkStart w:id="122" w:name="_Toc6382_WPSOffice_Level2"/>
      <w:bookmarkStart w:id="123" w:name="_Toc1874974908_WPSOffice_Level2"/>
      <w:bookmarkStart w:id="124" w:name="_Toc1023537602_WPSOffice_Level2"/>
      <w:bookmarkStart w:id="125" w:name="_Toc1340780619_WPSOffice_Level2"/>
      <w:r>
        <w:rPr>
          <w:rFonts w:hint="eastAsia" w:ascii="仿宋_GB2312" w:hAnsi="仿宋_GB2312" w:eastAsia="仿宋_GB2312" w:cs="仿宋_GB2312"/>
          <w:color w:val="auto"/>
          <w:sz w:val="32"/>
          <w:szCs w:val="32"/>
          <w:highlight w:val="none"/>
          <w:lang w:val="en-US" w:eastAsia="zh-CN"/>
        </w:rPr>
        <w:t>事故的直接原因是污染罐内溢出的可燃气体遇泵车排气管连接缺口处窜出的火星发生爆燃。</w:t>
      </w:r>
    </w:p>
    <w:p w14:paraId="295D535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仿宋" w:eastAsia="楷体_GB2312" w:cs="仿宋"/>
          <w:color w:val="auto"/>
          <w:sz w:val="32"/>
          <w:szCs w:val="32"/>
          <w:highlight w:val="none"/>
        </w:rPr>
      </w:pPr>
      <w:bookmarkStart w:id="126" w:name="_Toc1045398216_WPSOffice_Level2"/>
      <w:r>
        <w:rPr>
          <w:rFonts w:hint="eastAsia" w:ascii="方正仿宋_GB2312" w:hAnsi="方正仿宋_GB2312" w:eastAsia="方正仿宋_GB2312" w:cs="方正仿宋_GB2312"/>
          <w:color w:val="000000"/>
          <w:kern w:val="0"/>
          <w:sz w:val="32"/>
          <w:szCs w:val="32"/>
          <w:lang w:val="en-US" w:eastAsia="zh-CN" w:bidi="ar-SA"/>
        </w:rPr>
        <w:t>（二）</w:t>
      </w:r>
      <w:r>
        <w:rPr>
          <w:rFonts w:hint="eastAsia" w:ascii="华文楷体" w:hAnsi="华文楷体" w:eastAsia="华文楷体" w:cs="华文楷体"/>
          <w:color w:val="auto"/>
          <w:sz w:val="32"/>
          <w:szCs w:val="32"/>
          <w:highlight w:val="none"/>
        </w:rPr>
        <w:t>其他可能因素排除</w:t>
      </w:r>
      <w:bookmarkEnd w:id="121"/>
      <w:bookmarkEnd w:id="122"/>
      <w:bookmarkEnd w:id="123"/>
      <w:bookmarkEnd w:id="124"/>
      <w:bookmarkEnd w:id="125"/>
      <w:bookmarkEnd w:id="126"/>
    </w:p>
    <w:p w14:paraId="3848EA90">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通过对相关人员询问、查阅资料、综合分析，排除人为故意破坏、突发灾害因素等影响。</w:t>
      </w:r>
      <w:bookmarkStart w:id="127" w:name="_Toc474335818_WPSOffice_Level2"/>
    </w:p>
    <w:p w14:paraId="1D5532D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 w:hAnsi="楷体" w:eastAsia="楷体" w:cs="楷体"/>
          <w:color w:val="auto"/>
          <w:sz w:val="32"/>
          <w:szCs w:val="32"/>
          <w:highlight w:val="none"/>
        </w:rPr>
      </w:pPr>
      <w:bookmarkStart w:id="128" w:name="_Toc22963_WPSOffice_Level2"/>
      <w:bookmarkStart w:id="129" w:name="_Toc1927728737_WPSOffice_Level2"/>
      <w:bookmarkStart w:id="130" w:name="_Toc1517772360_WPSOffice_Level2"/>
      <w:bookmarkStart w:id="131" w:name="_Toc310228498_WPSOffice_Level2"/>
      <w:bookmarkStart w:id="132" w:name="_Toc1861032244_WPSOffice_Level2"/>
      <w:r>
        <w:rPr>
          <w:rFonts w:hint="eastAsia" w:ascii="华文楷体" w:hAnsi="华文楷体" w:eastAsia="华文楷体" w:cs="华文楷体"/>
          <w:color w:val="auto"/>
          <w:sz w:val="32"/>
          <w:szCs w:val="32"/>
          <w:highlight w:val="none"/>
        </w:rPr>
        <w:t>（</w:t>
      </w:r>
      <w:r>
        <w:rPr>
          <w:rFonts w:hint="eastAsia" w:ascii="华文楷体" w:hAnsi="华文楷体" w:eastAsia="华文楷体" w:cs="华文楷体"/>
          <w:color w:val="auto"/>
          <w:sz w:val="32"/>
          <w:szCs w:val="32"/>
          <w:highlight w:val="none"/>
          <w:lang w:eastAsia="zh-CN"/>
        </w:rPr>
        <w:t>三</w:t>
      </w:r>
      <w:r>
        <w:rPr>
          <w:rFonts w:hint="eastAsia" w:ascii="华文楷体" w:hAnsi="华文楷体" w:eastAsia="华文楷体" w:cs="华文楷体"/>
          <w:color w:val="auto"/>
          <w:sz w:val="32"/>
          <w:szCs w:val="32"/>
          <w:highlight w:val="none"/>
        </w:rPr>
        <w:t>）</w:t>
      </w:r>
      <w:r>
        <w:rPr>
          <w:rFonts w:hint="eastAsia" w:ascii="华文楷体" w:hAnsi="华文楷体" w:eastAsia="华文楷体" w:cs="华文楷体"/>
          <w:color w:val="auto"/>
          <w:sz w:val="32"/>
          <w:szCs w:val="32"/>
          <w:highlight w:val="none"/>
          <w:lang w:eastAsia="zh-CN"/>
        </w:rPr>
        <w:t>事故</w:t>
      </w:r>
      <w:r>
        <w:rPr>
          <w:rFonts w:hint="eastAsia" w:ascii="华文楷体" w:hAnsi="华文楷体" w:eastAsia="华文楷体" w:cs="华文楷体"/>
          <w:color w:val="auto"/>
          <w:sz w:val="32"/>
          <w:szCs w:val="32"/>
          <w:highlight w:val="none"/>
        </w:rPr>
        <w:t>间接原因</w:t>
      </w:r>
      <w:bookmarkEnd w:id="127"/>
      <w:bookmarkEnd w:id="128"/>
      <w:bookmarkEnd w:id="129"/>
      <w:bookmarkEnd w:id="130"/>
      <w:bookmarkEnd w:id="131"/>
      <w:bookmarkEnd w:id="132"/>
    </w:p>
    <w:p w14:paraId="290D82FF">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val="en-US" w:eastAsia="zh-CN"/>
        </w:rPr>
      </w:pPr>
      <w:bookmarkStart w:id="133" w:name="_Toc554474692_WPSOffice_Level1"/>
      <w:bookmarkStart w:id="134" w:name="_Toc1043611804_WPSOffice_Level1"/>
      <w:bookmarkStart w:id="135" w:name="_Toc12546_WPSOffice_Level1"/>
      <w:bookmarkStart w:id="136" w:name="_Toc173003730_WPSOffice_Level1"/>
      <w:bookmarkStart w:id="137" w:name="_Toc467259136_WPSOffice_Level1"/>
      <w:r>
        <w:rPr>
          <w:rFonts w:hint="eastAsia" w:ascii="仿宋_GB2312" w:hAnsi="仿宋_GB2312" w:eastAsia="仿宋_GB2312" w:cs="仿宋_GB2312"/>
          <w:color w:val="auto"/>
          <w:sz w:val="32"/>
          <w:szCs w:val="32"/>
          <w:highlight w:val="none"/>
          <w:lang w:val="en-US" w:eastAsia="zh-CN"/>
        </w:rPr>
        <w:t>1.晟晖公司。未对晨宇公司安全生产工作进行统一协调、管理，洗井作业前隐患排查不到位，未能及时发现并消除泵车排气管密封不严的事故隐患，未对服务车辆摆放进行安全规划，导致服务车辆未停放到安全区域，对作业人员安全风险告知流于形式，作业过程监管缺位，洗井作业过程中无专人指挥，未及时发现并消除洗井作业过程中气体大量溢出的安全隐患，未严格执行《措施作业施工设计》的相关要求。</w:t>
      </w:r>
    </w:p>
    <w:p w14:paraId="20E77A59">
      <w:pPr>
        <w:keepNext w:val="0"/>
        <w:keepLines w:val="0"/>
        <w:pageBreakBefore w:val="0"/>
        <w:kinsoku/>
        <w:wordWrap/>
        <w:overflowPunct/>
        <w:topLinePunct w:val="0"/>
        <w:autoSpaceDE/>
        <w:autoSpaceDN/>
        <w:bidi w:val="0"/>
        <w:adjustRightInd/>
        <w:snapToGrid/>
        <w:spacing w:line="560" w:lineRule="exact"/>
        <w:ind w:right="83"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晨宇公司。未保证服务车辆的安全条件，隐患排查不到位，未能及时发现并消除泵车排气管密封不严的事故隐患，教育培训不到位，未对作业人员开展安全生产教育培训，导致洗井作业过程中返液有气体时未能及时采取有效应急措施。</w:t>
      </w:r>
    </w:p>
    <w:p w14:paraId="576E435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auto"/>
          <w:sz w:val="32"/>
          <w:szCs w:val="32"/>
          <w:highlight w:val="none"/>
        </w:rPr>
      </w:pPr>
      <w:bookmarkStart w:id="138" w:name="_Toc417714782_WPSOffice_Level1"/>
      <w:r>
        <w:rPr>
          <w:rFonts w:hint="eastAsia" w:ascii="黑体" w:hAnsi="黑体" w:eastAsia="黑体" w:cs="黑体"/>
          <w:color w:val="auto"/>
          <w:sz w:val="32"/>
          <w:szCs w:val="32"/>
          <w:highlight w:val="none"/>
        </w:rPr>
        <w:t>四、有关责任单位存在的主要问题</w:t>
      </w:r>
      <w:bookmarkEnd w:id="133"/>
      <w:bookmarkEnd w:id="134"/>
      <w:bookmarkEnd w:id="135"/>
      <w:bookmarkEnd w:id="136"/>
      <w:bookmarkEnd w:id="137"/>
      <w:bookmarkEnd w:id="138"/>
    </w:p>
    <w:p w14:paraId="7F1263AD">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kern w:val="0"/>
          <w:sz w:val="32"/>
          <w:szCs w:val="32"/>
          <w:highlight w:val="none"/>
          <w:lang w:val="en-US" w:eastAsia="zh-CN" w:bidi="ar"/>
        </w:rPr>
      </w:pPr>
      <w:bookmarkStart w:id="139" w:name="_Toc67918436_WPSOffice_Level2"/>
      <w:bookmarkStart w:id="140" w:name="_Toc422021018_WPSOffice_Level2"/>
      <w:bookmarkStart w:id="141" w:name="_Toc1228060580_WPSOffice_Level2"/>
      <w:bookmarkStart w:id="142" w:name="_Toc22063_WPSOffice_Level1"/>
      <w:bookmarkStart w:id="143" w:name="_Toc185982611_WPSOffice_Level1"/>
      <w:bookmarkStart w:id="144" w:name="_Toc432781257_WPSOffice_Level1"/>
      <w:r>
        <w:rPr>
          <w:rFonts w:hint="eastAsia" w:ascii="华文楷体" w:hAnsi="华文楷体" w:eastAsia="华文楷体" w:cs="华文楷体"/>
          <w:color w:val="auto"/>
          <w:kern w:val="0"/>
          <w:sz w:val="32"/>
          <w:szCs w:val="32"/>
          <w:highlight w:val="none"/>
          <w:lang w:val="en-US" w:eastAsia="zh-CN" w:bidi="ar"/>
        </w:rPr>
        <w:t>（一）</w:t>
      </w:r>
      <w:bookmarkEnd w:id="139"/>
      <w:r>
        <w:rPr>
          <w:rFonts w:hint="eastAsia" w:ascii="华文楷体" w:hAnsi="华文楷体" w:eastAsia="华文楷体" w:cs="华文楷体"/>
          <w:color w:val="auto"/>
          <w:sz w:val="32"/>
          <w:szCs w:val="32"/>
          <w:highlight w:val="none"/>
          <w:lang w:val="en-US" w:eastAsia="zh-CN"/>
        </w:rPr>
        <w:t>辽宁中油晟晖石油技术有限公司</w:t>
      </w:r>
      <w:bookmarkEnd w:id="140"/>
    </w:p>
    <w:p w14:paraId="14F561D2">
      <w:pPr>
        <w:pStyle w:val="12"/>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一是</w:t>
      </w:r>
      <w:r>
        <w:rPr>
          <w:rFonts w:hint="eastAsia" w:ascii="仿宋_GB2312" w:hAnsi="仿宋_GB2312" w:eastAsia="仿宋_GB2312" w:cs="仿宋_GB2312"/>
          <w:b w:val="0"/>
          <w:bCs w:val="0"/>
          <w:color w:val="auto"/>
          <w:kern w:val="0"/>
          <w:sz w:val="32"/>
          <w:szCs w:val="32"/>
          <w:highlight w:val="none"/>
          <w:lang w:val="en-US" w:eastAsia="zh-CN" w:bidi="ar"/>
        </w:rPr>
        <w:t>对晨宇公司安全生产工作未进行统一协调、管理</w:t>
      </w:r>
      <w:r>
        <w:rPr>
          <w:rStyle w:val="24"/>
          <w:rFonts w:hint="eastAsia" w:ascii="仿宋_GB2312" w:hAnsi="仿宋_GB2312" w:eastAsia="仿宋_GB2312" w:cs="仿宋_GB2312"/>
          <w:color w:val="auto"/>
          <w:kern w:val="0"/>
          <w:sz w:val="32"/>
          <w:szCs w:val="32"/>
          <w:lang w:val="en-US" w:eastAsia="zh-CN" w:bidi="ar-SA"/>
        </w:rPr>
        <w:t>[</w:t>
      </w:r>
      <w:r>
        <w:rPr>
          <w:rStyle w:val="24"/>
          <w:rFonts w:hint="eastAsia" w:ascii="仿宋_GB2312" w:hAnsi="仿宋_GB2312" w:eastAsia="仿宋_GB2312" w:cs="仿宋_GB2312"/>
          <w:color w:val="auto"/>
          <w:kern w:val="0"/>
          <w:sz w:val="32"/>
          <w:szCs w:val="32"/>
          <w:lang w:val="en-US" w:eastAsia="zh-CN" w:bidi="ar-SA"/>
        </w:rPr>
        <w:footnoteReference w:id="0"/>
      </w:r>
      <w:r>
        <w:rPr>
          <w:rStyle w:val="24"/>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b w:val="0"/>
          <w:bCs w:val="0"/>
          <w:color w:val="auto"/>
          <w:kern w:val="0"/>
          <w:sz w:val="32"/>
          <w:szCs w:val="32"/>
          <w:highlight w:val="none"/>
          <w:u w:val="none"/>
          <w:lang w:val="en-US" w:eastAsia="zh-CN" w:bidi="ar"/>
        </w:rPr>
        <w:t>对晨宇公司参与洗井作业行为未制止或纠正；</w:t>
      </w:r>
      <w:r>
        <w:rPr>
          <w:rFonts w:hint="eastAsia" w:ascii="仿宋_GB2312" w:hAnsi="仿宋_GB2312" w:eastAsia="仿宋_GB2312" w:cs="仿宋_GB2312"/>
          <w:b/>
          <w:bCs/>
          <w:color w:val="auto"/>
          <w:kern w:val="0"/>
          <w:sz w:val="32"/>
          <w:szCs w:val="32"/>
          <w:highlight w:val="none"/>
          <w:lang w:val="en-US" w:eastAsia="zh-CN" w:bidi="ar"/>
        </w:rPr>
        <w:t>二是</w:t>
      </w:r>
      <w:r>
        <w:rPr>
          <w:rFonts w:hint="eastAsia" w:ascii="仿宋_GB2312" w:hAnsi="仿宋_GB2312" w:eastAsia="仿宋_GB2312" w:cs="仿宋_GB2312"/>
          <w:b w:val="0"/>
          <w:bCs w:val="0"/>
          <w:color w:val="auto"/>
          <w:kern w:val="0"/>
          <w:sz w:val="32"/>
          <w:szCs w:val="32"/>
          <w:highlight w:val="none"/>
          <w:lang w:val="en-US" w:eastAsia="zh-CN" w:bidi="ar"/>
        </w:rPr>
        <w:t>洗井作业前隐患排查不到位，未能及时发现并消除泵车</w:t>
      </w:r>
      <w:r>
        <w:rPr>
          <w:rFonts w:hint="eastAsia" w:ascii="仿宋_GB2312" w:hAnsi="仿宋_GB2312" w:eastAsia="仿宋_GB2312" w:cs="仿宋_GB2312"/>
          <w:b w:val="0"/>
          <w:bCs w:val="0"/>
          <w:color w:val="auto"/>
          <w:kern w:val="0"/>
          <w:sz w:val="32"/>
          <w:szCs w:val="32"/>
          <w:lang w:val="en-US" w:eastAsia="zh-CN" w:bidi="ar-SA"/>
        </w:rPr>
        <w:t>排气管连接不密封的事故隐患</w:t>
      </w:r>
      <w:r>
        <w:rPr>
          <w:rStyle w:val="24"/>
          <w:rFonts w:hint="eastAsia" w:ascii="仿宋_GB2312" w:hAnsi="仿宋_GB2312" w:eastAsia="仿宋_GB2312" w:cs="仿宋_GB2312"/>
          <w:b w:val="0"/>
          <w:bCs w:val="0"/>
          <w:color w:val="auto"/>
          <w:kern w:val="0"/>
          <w:sz w:val="32"/>
          <w:szCs w:val="32"/>
          <w:lang w:val="en-US" w:eastAsia="zh-CN" w:bidi="ar-SA"/>
        </w:rPr>
        <w:t>[</w:t>
      </w:r>
      <w:r>
        <w:rPr>
          <w:rStyle w:val="24"/>
          <w:rFonts w:hint="eastAsia" w:ascii="仿宋_GB2312" w:hAnsi="仿宋_GB2312" w:eastAsia="仿宋_GB2312" w:cs="仿宋_GB2312"/>
          <w:b w:val="0"/>
          <w:bCs w:val="0"/>
          <w:color w:val="auto"/>
          <w:kern w:val="0"/>
          <w:sz w:val="32"/>
          <w:szCs w:val="32"/>
          <w:lang w:val="en-US" w:eastAsia="zh-CN" w:bidi="ar-SA"/>
        </w:rPr>
        <w:footnoteReference w:id="1"/>
      </w:r>
      <w:r>
        <w:rPr>
          <w:rStyle w:val="24"/>
          <w:rFonts w:hint="eastAsia" w:ascii="仿宋_GB2312" w:hAnsi="仿宋_GB2312" w:eastAsia="仿宋_GB2312" w:cs="仿宋_GB2312"/>
          <w:b w:val="0"/>
          <w:bCs w:val="0"/>
          <w:color w:val="auto"/>
          <w:kern w:val="0"/>
          <w:sz w:val="32"/>
          <w:szCs w:val="32"/>
          <w:lang w:val="en-US" w:eastAsia="zh-CN" w:bidi="ar-SA"/>
        </w:rPr>
        <w:t>]</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b/>
          <w:bCs/>
          <w:color w:val="auto"/>
          <w:kern w:val="0"/>
          <w:sz w:val="32"/>
          <w:szCs w:val="32"/>
          <w:highlight w:val="none"/>
          <w:lang w:val="en-US" w:eastAsia="zh-CN" w:bidi="ar"/>
        </w:rPr>
        <w:t>三是</w:t>
      </w:r>
      <w:r>
        <w:rPr>
          <w:rFonts w:hint="eastAsia" w:ascii="仿宋_GB2312" w:hAnsi="仿宋_GB2312" w:eastAsia="仿宋_GB2312" w:cs="仿宋_GB2312"/>
          <w:b w:val="0"/>
          <w:bCs w:val="0"/>
          <w:color w:val="auto"/>
          <w:kern w:val="0"/>
          <w:sz w:val="32"/>
          <w:szCs w:val="32"/>
          <w:highlight w:val="none"/>
          <w:lang w:val="en-US" w:eastAsia="zh-CN" w:bidi="ar"/>
        </w:rPr>
        <w:t>安全风险告知流于形式，未对服务车辆的人员开展实质性风险告知，仅要求相关人员在风险告知书上签字</w:t>
      </w:r>
      <w:r>
        <w:rPr>
          <w:rStyle w:val="24"/>
          <w:rFonts w:hint="eastAsia" w:ascii="仿宋_GB2312" w:hAnsi="仿宋_GB2312" w:eastAsia="仿宋_GB2312" w:cs="仿宋_GB2312"/>
          <w:b w:val="0"/>
          <w:bCs w:val="0"/>
          <w:color w:val="auto"/>
          <w:kern w:val="0"/>
          <w:sz w:val="32"/>
          <w:szCs w:val="32"/>
          <w:highlight w:val="none"/>
          <w:lang w:val="en-US" w:eastAsia="zh-CN" w:bidi="ar"/>
        </w:rPr>
        <w:t>[</w:t>
      </w:r>
      <w:r>
        <w:rPr>
          <w:rStyle w:val="24"/>
          <w:rFonts w:hint="eastAsia" w:ascii="仿宋_GB2312" w:hAnsi="仿宋_GB2312" w:eastAsia="仿宋_GB2312" w:cs="仿宋_GB2312"/>
          <w:b w:val="0"/>
          <w:bCs w:val="0"/>
          <w:color w:val="auto"/>
          <w:kern w:val="0"/>
          <w:sz w:val="32"/>
          <w:szCs w:val="32"/>
          <w:highlight w:val="none"/>
          <w:lang w:val="en-US" w:eastAsia="zh-CN" w:bidi="ar"/>
        </w:rPr>
        <w:footnoteReference w:id="2"/>
      </w:r>
      <w:r>
        <w:rPr>
          <w:rStyle w:val="24"/>
          <w:rFonts w:hint="eastAsia" w:ascii="仿宋_GB2312" w:hAnsi="仿宋_GB2312" w:eastAsia="仿宋_GB2312" w:cs="仿宋_GB2312"/>
          <w:b w:val="0"/>
          <w:bCs w:val="0"/>
          <w:color w:val="auto"/>
          <w:kern w:val="0"/>
          <w:sz w:val="32"/>
          <w:szCs w:val="32"/>
          <w:highlight w:val="none"/>
          <w:lang w:val="en-US" w:eastAsia="zh-CN" w:bidi="ar"/>
        </w:rPr>
        <w:t>]</w:t>
      </w:r>
      <w:r>
        <w:rPr>
          <w:rFonts w:hint="eastAsia" w:ascii="仿宋_GB2312" w:hAnsi="仿宋_GB2312" w:eastAsia="仿宋_GB2312" w:cs="仿宋_GB2312"/>
          <w:b w:val="0"/>
          <w:bCs w:val="0"/>
          <w:color w:val="auto"/>
          <w:kern w:val="0"/>
          <w:sz w:val="32"/>
          <w:szCs w:val="32"/>
          <w:highlight w:val="none"/>
          <w:lang w:val="en-US" w:eastAsia="zh-CN" w:bidi="ar"/>
        </w:rPr>
        <w:t>。</w:t>
      </w:r>
      <w:r>
        <w:rPr>
          <w:rFonts w:hint="eastAsia" w:ascii="仿宋_GB2312" w:hAnsi="仿宋_GB2312" w:eastAsia="仿宋_GB2312" w:cs="仿宋_GB2312"/>
          <w:b/>
          <w:bCs/>
          <w:color w:val="auto"/>
          <w:kern w:val="0"/>
          <w:sz w:val="32"/>
          <w:szCs w:val="32"/>
          <w:highlight w:val="none"/>
          <w:lang w:val="en-US" w:eastAsia="zh-CN" w:bidi="ar"/>
        </w:rPr>
        <w:t>四是</w:t>
      </w:r>
      <w:r>
        <w:rPr>
          <w:rFonts w:hint="eastAsia" w:ascii="仿宋_GB2312" w:hAnsi="仿宋_GB2312" w:eastAsia="仿宋_GB2312" w:cs="仿宋_GB2312"/>
          <w:color w:val="auto"/>
          <w:kern w:val="0"/>
          <w:sz w:val="32"/>
          <w:szCs w:val="32"/>
          <w:lang w:val="en-US" w:eastAsia="zh-CN" w:bidi="ar-SA"/>
        </w:rPr>
        <w:t>未对施工现场设备平面布置进行安全规划，未督促晨宇公司将服务车辆停放到安全区域</w:t>
      </w:r>
      <w:r>
        <w:rPr>
          <w:rStyle w:val="24"/>
          <w:rFonts w:hint="eastAsia" w:ascii="仿宋_GB2312" w:hAnsi="仿宋_GB2312" w:eastAsia="仿宋_GB2312" w:cs="仿宋_GB2312"/>
          <w:color w:val="auto"/>
          <w:kern w:val="0"/>
          <w:sz w:val="32"/>
          <w:szCs w:val="32"/>
          <w:lang w:val="en-US" w:eastAsia="zh-CN" w:bidi="ar-SA"/>
        </w:rPr>
        <w:t>[</w:t>
      </w:r>
      <w:r>
        <w:rPr>
          <w:rStyle w:val="24"/>
          <w:rFonts w:hint="eastAsia" w:ascii="仿宋_GB2312" w:hAnsi="仿宋_GB2312" w:eastAsia="仿宋_GB2312" w:cs="仿宋_GB2312"/>
          <w:color w:val="auto"/>
          <w:kern w:val="0"/>
          <w:sz w:val="32"/>
          <w:szCs w:val="32"/>
          <w:lang w:val="en-US" w:eastAsia="zh-CN" w:bidi="ar-SA"/>
        </w:rPr>
        <w:footnoteReference w:id="3"/>
      </w:r>
      <w:r>
        <w:rPr>
          <w:rStyle w:val="24"/>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b/>
          <w:bCs/>
          <w:color w:val="auto"/>
          <w:kern w:val="0"/>
          <w:sz w:val="32"/>
          <w:szCs w:val="32"/>
          <w:highlight w:val="none"/>
          <w:lang w:val="en-US" w:eastAsia="zh-CN" w:bidi="ar"/>
        </w:rPr>
        <w:t>五是</w:t>
      </w:r>
      <w:r>
        <w:rPr>
          <w:rFonts w:hint="eastAsia" w:ascii="仿宋_GB2312" w:hAnsi="仿宋_GB2312" w:eastAsia="仿宋_GB2312" w:cs="仿宋_GB2312"/>
          <w:b w:val="0"/>
          <w:bCs w:val="0"/>
          <w:color w:val="auto"/>
          <w:kern w:val="0"/>
          <w:sz w:val="32"/>
          <w:szCs w:val="32"/>
          <w:highlight w:val="none"/>
          <w:lang w:val="en-US" w:eastAsia="zh-CN" w:bidi="ar"/>
        </w:rPr>
        <w:t>未严格教育和督促从业人员严格执行《措施作业施工设计》的相关要求</w:t>
      </w:r>
      <w:r>
        <w:rPr>
          <w:rStyle w:val="24"/>
          <w:rFonts w:hint="eastAsia" w:ascii="仿宋_GB2312" w:hAnsi="仿宋_GB2312" w:eastAsia="仿宋_GB2312" w:cs="仿宋_GB2312"/>
          <w:b w:val="0"/>
          <w:bCs w:val="0"/>
          <w:color w:val="auto"/>
          <w:kern w:val="0"/>
          <w:sz w:val="32"/>
          <w:szCs w:val="32"/>
          <w:highlight w:val="none"/>
          <w:lang w:val="en-US" w:eastAsia="zh-CN" w:bidi="ar"/>
        </w:rPr>
        <w:t>[</w:t>
      </w:r>
      <w:r>
        <w:rPr>
          <w:rStyle w:val="24"/>
          <w:rFonts w:hint="eastAsia" w:ascii="仿宋_GB2312" w:hAnsi="仿宋_GB2312" w:eastAsia="仿宋_GB2312" w:cs="仿宋_GB2312"/>
          <w:b w:val="0"/>
          <w:bCs w:val="0"/>
          <w:color w:val="auto"/>
          <w:kern w:val="0"/>
          <w:sz w:val="32"/>
          <w:szCs w:val="32"/>
          <w:highlight w:val="none"/>
          <w:lang w:val="en-US" w:eastAsia="zh-CN" w:bidi="ar"/>
        </w:rPr>
        <w:footnoteReference w:id="4"/>
      </w:r>
      <w:r>
        <w:rPr>
          <w:rStyle w:val="24"/>
          <w:rFonts w:hint="eastAsia" w:ascii="仿宋_GB2312" w:hAnsi="仿宋_GB2312" w:eastAsia="仿宋_GB2312" w:cs="仿宋_GB2312"/>
          <w:b w:val="0"/>
          <w:bCs w:val="0"/>
          <w:color w:val="auto"/>
          <w:kern w:val="0"/>
          <w:sz w:val="32"/>
          <w:szCs w:val="32"/>
          <w:highlight w:val="none"/>
          <w:lang w:val="en-US" w:eastAsia="zh-CN" w:bidi="ar"/>
        </w:rPr>
        <w:t>]</w:t>
      </w:r>
      <w:r>
        <w:rPr>
          <w:rFonts w:hint="eastAsia" w:ascii="仿宋_GB2312" w:hAnsi="仿宋_GB2312" w:eastAsia="仿宋_GB2312" w:cs="仿宋_GB2312"/>
          <w:b w:val="0"/>
          <w:bCs w:val="0"/>
          <w:color w:val="auto"/>
          <w:kern w:val="0"/>
          <w:sz w:val="32"/>
          <w:szCs w:val="32"/>
          <w:highlight w:val="none"/>
          <w:lang w:val="en-US" w:eastAsia="zh-CN" w:bidi="ar"/>
        </w:rPr>
        <w:t>，洗井过程中未安排</w:t>
      </w:r>
      <w:r>
        <w:rPr>
          <w:rFonts w:hint="eastAsia" w:ascii="仿宋_GB2312" w:hAnsi="仿宋_GB2312" w:eastAsia="仿宋_GB2312" w:cs="仿宋_GB2312"/>
          <w:color w:val="auto"/>
          <w:kern w:val="0"/>
          <w:sz w:val="32"/>
          <w:szCs w:val="32"/>
          <w:highlight w:val="none"/>
          <w:lang w:val="en-US" w:eastAsia="zh-CN" w:bidi="ar"/>
        </w:rPr>
        <w:t>专人指挥，</w:t>
      </w:r>
      <w:r>
        <w:rPr>
          <w:rFonts w:hint="eastAsia" w:ascii="仿宋_GB2312" w:hAnsi="仿宋_GB2312" w:eastAsia="仿宋_GB2312" w:cs="仿宋_GB2312"/>
          <w:color w:val="auto"/>
          <w:kern w:val="0"/>
          <w:sz w:val="32"/>
          <w:szCs w:val="32"/>
          <w:lang w:val="en-US" w:eastAsia="zh-CN" w:bidi="ar-SA"/>
        </w:rPr>
        <w:t>未及时发现并消除洗井作业过程中气体大量溢出的安全隐患，</w:t>
      </w:r>
      <w:r>
        <w:rPr>
          <w:rFonts w:hint="eastAsia" w:ascii="仿宋_GB2312" w:hAnsi="仿宋_GB2312" w:eastAsia="仿宋_GB2312" w:cs="仿宋_GB2312"/>
          <w:color w:val="auto"/>
          <w:kern w:val="0"/>
          <w:sz w:val="32"/>
          <w:szCs w:val="32"/>
          <w:highlight w:val="none"/>
          <w:lang w:val="en-US" w:eastAsia="zh-CN" w:bidi="ar"/>
        </w:rPr>
        <w:t>现场安全管理缺失。</w:t>
      </w:r>
    </w:p>
    <w:p w14:paraId="24F139C8">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
        </w:rPr>
      </w:pPr>
      <w:bookmarkStart w:id="145" w:name="_Toc1430020682_WPSOffice_Level2"/>
      <w:bookmarkStart w:id="146" w:name="_Toc2070003754_WPSOffice_Level2"/>
      <w:r>
        <w:rPr>
          <w:rFonts w:hint="eastAsia" w:ascii="华文楷体" w:hAnsi="华文楷体" w:eastAsia="华文楷体" w:cs="华文楷体"/>
          <w:color w:val="auto"/>
          <w:kern w:val="0"/>
          <w:sz w:val="32"/>
          <w:szCs w:val="32"/>
          <w:highlight w:val="none"/>
          <w:lang w:val="en-US" w:eastAsia="zh-CN" w:bidi="ar"/>
        </w:rPr>
        <w:t>（二）</w:t>
      </w:r>
      <w:bookmarkEnd w:id="145"/>
      <w:r>
        <w:rPr>
          <w:rFonts w:hint="eastAsia" w:ascii="华文楷体" w:hAnsi="华文楷体" w:eastAsia="华文楷体" w:cs="华文楷体"/>
          <w:color w:val="auto"/>
          <w:sz w:val="32"/>
          <w:szCs w:val="32"/>
          <w:highlight w:val="none"/>
          <w:lang w:val="en-US" w:eastAsia="zh-CN"/>
        </w:rPr>
        <w:t>盘锦晨宇石油工程有限公司</w:t>
      </w:r>
      <w:bookmarkEnd w:id="146"/>
    </w:p>
    <w:bookmarkEnd w:id="141"/>
    <w:p w14:paraId="3FAB40D5">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outlineLvl w:val="0"/>
        <w:rPr>
          <w:rFonts w:hint="eastAsia" w:ascii="仿宋_GB2312" w:hAnsi="仿宋_GB2312" w:eastAsia="仿宋_GB2312" w:cs="仿宋_GB2312"/>
          <w:color w:val="auto"/>
          <w:kern w:val="0"/>
          <w:sz w:val="32"/>
          <w:szCs w:val="32"/>
          <w:highlight w:val="none"/>
          <w:lang w:val="en-US" w:eastAsia="zh-CN" w:bidi="ar"/>
        </w:rPr>
      </w:pPr>
      <w:bookmarkStart w:id="147" w:name="_Toc1223901110_WPSOffice_Level1"/>
      <w:bookmarkStart w:id="148" w:name="_Toc1033858651_WPSOffice_Level1"/>
      <w:r>
        <w:rPr>
          <w:rFonts w:hint="eastAsia" w:ascii="仿宋_GB2312" w:hAnsi="仿宋_GB2312" w:eastAsia="仿宋_GB2312" w:cs="仿宋_GB2312"/>
          <w:b/>
          <w:bCs/>
          <w:color w:val="auto"/>
          <w:kern w:val="0"/>
          <w:sz w:val="32"/>
          <w:szCs w:val="32"/>
          <w:highlight w:val="none"/>
          <w:u w:val="none"/>
          <w:lang w:val="en-US" w:eastAsia="zh-CN" w:bidi="ar"/>
        </w:rPr>
        <w:t>一是</w:t>
      </w:r>
      <w:r>
        <w:rPr>
          <w:rFonts w:hint="eastAsia" w:ascii="仿宋_GB2312" w:hAnsi="仿宋_GB2312" w:eastAsia="仿宋_GB2312" w:cs="仿宋_GB2312"/>
          <w:color w:val="auto"/>
          <w:kern w:val="0"/>
          <w:sz w:val="32"/>
          <w:szCs w:val="32"/>
          <w:highlight w:val="none"/>
          <w:u w:val="none"/>
          <w:lang w:val="en-US" w:eastAsia="zh-CN" w:bidi="ar"/>
        </w:rPr>
        <w:t>签订车辆运输合同参与洗</w:t>
      </w:r>
      <w:r>
        <w:rPr>
          <w:rFonts w:hint="eastAsia" w:ascii="仿宋_GB2312" w:hAnsi="仿宋_GB2312" w:eastAsia="仿宋_GB2312" w:cs="仿宋_GB2312"/>
          <w:b w:val="0"/>
          <w:bCs w:val="0"/>
          <w:color w:val="auto"/>
          <w:kern w:val="0"/>
          <w:sz w:val="32"/>
          <w:szCs w:val="32"/>
          <w:highlight w:val="none"/>
          <w:u w:val="none"/>
          <w:lang w:val="en-US" w:eastAsia="zh-CN" w:bidi="ar"/>
        </w:rPr>
        <w:t>井作业</w:t>
      </w:r>
      <w:r>
        <w:rPr>
          <w:rFonts w:hint="eastAsia" w:ascii="仿宋_GB2312" w:hAnsi="仿宋_GB2312" w:eastAsia="仿宋_GB2312" w:cs="仿宋_GB2312"/>
          <w:b w:val="0"/>
          <w:bCs w:val="0"/>
          <w:color w:val="auto"/>
          <w:kern w:val="0"/>
          <w:sz w:val="32"/>
          <w:szCs w:val="32"/>
          <w:highlight w:val="none"/>
          <w:lang w:val="en-US" w:eastAsia="zh-CN" w:bidi="ar"/>
        </w:rPr>
        <w:t>；</w:t>
      </w:r>
      <w:r>
        <w:rPr>
          <w:rFonts w:hint="eastAsia" w:ascii="仿宋_GB2312" w:hAnsi="仿宋_GB2312" w:eastAsia="仿宋_GB2312" w:cs="仿宋_GB2312"/>
          <w:b/>
          <w:bCs/>
          <w:color w:val="auto"/>
          <w:kern w:val="0"/>
          <w:sz w:val="32"/>
          <w:szCs w:val="32"/>
          <w:highlight w:val="none"/>
          <w:lang w:val="en-US" w:eastAsia="zh-CN" w:bidi="ar"/>
        </w:rPr>
        <w:t>二是</w:t>
      </w:r>
      <w:r>
        <w:rPr>
          <w:rFonts w:hint="eastAsia" w:ascii="仿宋_GB2312" w:hAnsi="仿宋_GB2312" w:eastAsia="仿宋_GB2312" w:cs="仿宋_GB2312"/>
          <w:color w:val="auto"/>
          <w:kern w:val="0"/>
          <w:sz w:val="32"/>
          <w:szCs w:val="32"/>
          <w:highlight w:val="none"/>
          <w:lang w:val="en-US" w:eastAsia="zh-CN" w:bidi="ar"/>
        </w:rPr>
        <w:t>隐患排查不到位，未及时发现并消除泵车</w:t>
      </w:r>
      <w:r>
        <w:rPr>
          <w:rFonts w:hint="eastAsia" w:ascii="仿宋_GB2312" w:hAnsi="仿宋_GB2312" w:eastAsia="仿宋_GB2312" w:cs="仿宋_GB2312"/>
          <w:color w:val="auto"/>
          <w:kern w:val="0"/>
          <w:sz w:val="32"/>
          <w:szCs w:val="32"/>
          <w:lang w:val="en-US" w:eastAsia="zh-CN" w:bidi="ar-SA"/>
        </w:rPr>
        <w:t>排气管连接不密封的事故隐患</w:t>
      </w:r>
      <w:r>
        <w:rPr>
          <w:rStyle w:val="24"/>
          <w:rFonts w:hint="eastAsia" w:ascii="仿宋_GB2312" w:hAnsi="仿宋_GB2312" w:eastAsia="仿宋_GB2312" w:cs="仿宋_GB2312"/>
          <w:color w:val="auto"/>
          <w:kern w:val="0"/>
          <w:sz w:val="32"/>
          <w:szCs w:val="32"/>
          <w:lang w:val="en-US" w:eastAsia="zh-CN" w:bidi="ar-SA"/>
        </w:rPr>
        <w:t>[</w:t>
      </w:r>
      <w:r>
        <w:rPr>
          <w:rStyle w:val="24"/>
          <w:rFonts w:hint="eastAsia" w:ascii="仿宋_GB2312" w:hAnsi="仿宋_GB2312" w:eastAsia="仿宋_GB2312" w:cs="仿宋_GB2312"/>
          <w:color w:val="auto"/>
          <w:kern w:val="0"/>
          <w:sz w:val="32"/>
          <w:szCs w:val="32"/>
          <w:lang w:val="en-US" w:eastAsia="zh-CN" w:bidi="ar-SA"/>
        </w:rPr>
        <w:footnoteReference w:id="5"/>
      </w:r>
      <w:r>
        <w:rPr>
          <w:rStyle w:val="24"/>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b/>
          <w:bCs/>
          <w:color w:val="auto"/>
          <w:kern w:val="0"/>
          <w:sz w:val="32"/>
          <w:szCs w:val="32"/>
          <w:highlight w:val="none"/>
          <w:lang w:val="en-US" w:eastAsia="zh-CN" w:bidi="ar"/>
        </w:rPr>
        <w:t>三是</w:t>
      </w:r>
      <w:r>
        <w:rPr>
          <w:rFonts w:hint="eastAsia" w:ascii="仿宋_GB2312" w:hAnsi="仿宋_GB2312" w:eastAsia="仿宋_GB2312" w:cs="仿宋_GB2312"/>
          <w:color w:val="auto"/>
          <w:kern w:val="0"/>
          <w:sz w:val="32"/>
          <w:szCs w:val="32"/>
          <w:highlight w:val="none"/>
          <w:lang w:val="en-US" w:eastAsia="zh-CN" w:bidi="ar"/>
        </w:rPr>
        <w:t>安全生产教育培训不到位。未对服务车辆人员开展安全生产教育培训，导致作业人员安全意识淡薄、风险辨识能力不足</w:t>
      </w:r>
      <w:r>
        <w:rPr>
          <w:rStyle w:val="24"/>
          <w:rFonts w:hint="eastAsia" w:ascii="仿宋_GB2312" w:hAnsi="仿宋_GB2312" w:eastAsia="仿宋_GB2312" w:cs="仿宋_GB2312"/>
          <w:color w:val="auto"/>
          <w:kern w:val="0"/>
          <w:sz w:val="32"/>
          <w:szCs w:val="32"/>
          <w:highlight w:val="none"/>
          <w:lang w:val="en-US" w:eastAsia="zh-CN" w:bidi="ar"/>
        </w:rPr>
        <w:t>[</w:t>
      </w:r>
      <w:r>
        <w:rPr>
          <w:rStyle w:val="24"/>
          <w:rFonts w:hint="eastAsia" w:ascii="仿宋_GB2312" w:hAnsi="仿宋_GB2312" w:eastAsia="仿宋_GB2312" w:cs="仿宋_GB2312"/>
          <w:color w:val="auto"/>
          <w:kern w:val="0"/>
          <w:sz w:val="32"/>
          <w:szCs w:val="32"/>
          <w:highlight w:val="none"/>
          <w:lang w:val="en-US" w:eastAsia="zh-CN" w:bidi="ar"/>
        </w:rPr>
        <w:footnoteReference w:id="6"/>
      </w:r>
      <w:r>
        <w:rPr>
          <w:rStyle w:val="24"/>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val="en-US" w:eastAsia="zh-CN" w:bidi="ar"/>
        </w:rPr>
        <w:t>，返液有气体时未能及时采取有效应急措施。</w:t>
      </w:r>
    </w:p>
    <w:p w14:paraId="6067AE1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highlight w:val="none"/>
        </w:rPr>
      </w:pPr>
      <w:bookmarkStart w:id="149" w:name="_Toc2036996236_WPSOffice_Level1"/>
      <w:r>
        <w:rPr>
          <w:rFonts w:ascii="黑体" w:hAnsi="黑体" w:eastAsia="黑体" w:cs="方正黑体简体"/>
          <w:color w:val="auto"/>
          <w:kern w:val="0"/>
          <w:sz w:val="32"/>
          <w:szCs w:val="32"/>
          <w:highlight w:val="none"/>
          <w:lang w:bidi="ar"/>
        </w:rPr>
        <w:t>五、对有关责任人员和责任单位的处理建议</w:t>
      </w:r>
      <w:bookmarkEnd w:id="142"/>
      <w:bookmarkEnd w:id="143"/>
      <w:bookmarkEnd w:id="144"/>
      <w:bookmarkEnd w:id="147"/>
      <w:bookmarkEnd w:id="148"/>
      <w:bookmarkEnd w:id="149"/>
    </w:p>
    <w:p w14:paraId="43D8365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color w:val="auto"/>
          <w:kern w:val="0"/>
          <w:sz w:val="32"/>
          <w:szCs w:val="32"/>
          <w:highlight w:val="none"/>
          <w:lang w:val="en-US" w:eastAsia="zh-CN" w:bidi="ar"/>
        </w:rPr>
      </w:pPr>
      <w:bookmarkStart w:id="150" w:name="_Toc623341389_WPSOffice_Level2"/>
      <w:bookmarkStart w:id="151" w:name="_Toc1750990085_WPSOffice_Level2"/>
      <w:bookmarkStart w:id="152" w:name="_Toc932307160_WPSOffice_Level1"/>
      <w:bookmarkStart w:id="153" w:name="_Toc1419056065_WPSOffice_Level1"/>
      <w:bookmarkStart w:id="154" w:name="_Toc4405_WPSOffice_Level1"/>
      <w:bookmarkStart w:id="155" w:name="_Toc782488623_WPSOffice_Level1"/>
      <w:r>
        <w:rPr>
          <w:rFonts w:hint="eastAsia" w:ascii="华文楷体" w:hAnsi="华文楷体" w:eastAsia="华文楷体" w:cs="华文楷体"/>
          <w:color w:val="auto"/>
          <w:kern w:val="0"/>
          <w:sz w:val="32"/>
          <w:szCs w:val="32"/>
          <w:highlight w:val="none"/>
          <w:lang w:val="en-US" w:eastAsia="zh-CN" w:bidi="ar"/>
        </w:rPr>
        <w:t>（一）对事故有关责任人员和责任单位的行政处罚建议</w:t>
      </w:r>
      <w:bookmarkEnd w:id="150"/>
      <w:bookmarkEnd w:id="151"/>
    </w:p>
    <w:p w14:paraId="340C244D">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w:t>
      </w:r>
      <w:r>
        <w:rPr>
          <w:rFonts w:hint="eastAsia" w:ascii="仿宋_GB2312" w:hAnsi="仿宋_GB2312" w:eastAsia="仿宋_GB2312" w:cs="仿宋_GB2312"/>
          <w:color w:val="auto"/>
          <w:sz w:val="32"/>
          <w:szCs w:val="32"/>
          <w:highlight w:val="none"/>
          <w:lang w:val="en-US" w:eastAsia="zh-CN"/>
        </w:rPr>
        <w:t>辽宁中油晟晖石油技术有限公司</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b w:val="0"/>
          <w:bCs w:val="0"/>
          <w:color w:val="auto"/>
          <w:kern w:val="0"/>
          <w:sz w:val="32"/>
          <w:szCs w:val="32"/>
          <w:highlight w:val="none"/>
          <w:lang w:val="en-US" w:eastAsia="zh-CN" w:bidi="ar"/>
        </w:rPr>
        <w:t>对晨宇公司安全生产工作未进行统一协调、管理；洗井作业前隐患排查不到位，未能及时发现并消除</w:t>
      </w:r>
      <w:r>
        <w:rPr>
          <w:rFonts w:hint="eastAsia" w:ascii="仿宋_GB2312" w:hAnsi="仿宋_GB2312" w:eastAsia="仿宋_GB2312" w:cs="仿宋_GB2312"/>
          <w:b w:val="0"/>
          <w:bCs w:val="0"/>
          <w:color w:val="auto"/>
          <w:kern w:val="0"/>
          <w:sz w:val="32"/>
          <w:szCs w:val="32"/>
          <w:lang w:val="en-US" w:eastAsia="zh-CN" w:bidi="ar-SA"/>
        </w:rPr>
        <w:t>事故隐患</w:t>
      </w:r>
      <w:r>
        <w:rPr>
          <w:rFonts w:hint="eastAsia" w:ascii="仿宋_GB2312" w:hAnsi="仿宋_GB2312" w:eastAsia="仿宋_GB2312" w:cs="仿宋_GB2312"/>
          <w:b w:val="0"/>
          <w:bCs w:val="0"/>
          <w:color w:val="auto"/>
          <w:kern w:val="0"/>
          <w:sz w:val="32"/>
          <w:szCs w:val="32"/>
          <w:highlight w:val="none"/>
          <w:lang w:val="en-US" w:eastAsia="zh-CN" w:bidi="ar"/>
        </w:rPr>
        <w:t>；安全风险告知流于形式，未对洗井服务车辆人员开展实质性风险告知；</w:t>
      </w:r>
      <w:r>
        <w:rPr>
          <w:rFonts w:hint="eastAsia" w:ascii="仿宋_GB2312" w:hAnsi="仿宋_GB2312" w:eastAsia="仿宋_GB2312" w:cs="仿宋_GB2312"/>
          <w:b w:val="0"/>
          <w:bCs w:val="0"/>
          <w:color w:val="auto"/>
          <w:kern w:val="0"/>
          <w:sz w:val="32"/>
          <w:szCs w:val="32"/>
          <w:lang w:val="en-US" w:eastAsia="zh-CN" w:bidi="ar-SA"/>
        </w:rPr>
        <w:t>未对施工现场设备平面布置进行安全规划，未督促晨宇公司将服务车辆停放到安全区域</w:t>
      </w:r>
      <w:r>
        <w:rPr>
          <w:rFonts w:hint="eastAsia" w:ascii="仿宋_GB2312" w:hAnsi="仿宋_GB2312" w:eastAsia="仿宋_GB2312" w:cs="仿宋_GB2312"/>
          <w:b w:val="0"/>
          <w:bCs w:val="0"/>
          <w:color w:val="auto"/>
          <w:kern w:val="0"/>
          <w:sz w:val="32"/>
          <w:szCs w:val="32"/>
          <w:highlight w:val="none"/>
          <w:lang w:val="en-US" w:eastAsia="zh-CN" w:bidi="ar"/>
        </w:rPr>
        <w:t>；未严格教育和督促从业人员严格执行《措施作业施工设计》要求开展洗井作业，对事故发生负有责任，依据《中华人民共和国安全生产法》第一百一十四条第一</w:t>
      </w:r>
      <w:r>
        <w:rPr>
          <w:rFonts w:hint="eastAsia" w:ascii="仿宋_GB2312" w:hAnsi="仿宋_GB2312" w:eastAsia="仿宋_GB2312" w:cs="仿宋_GB2312"/>
          <w:color w:val="auto"/>
          <w:kern w:val="0"/>
          <w:sz w:val="32"/>
          <w:szCs w:val="32"/>
          <w:highlight w:val="none"/>
          <w:lang w:val="en-US" w:eastAsia="zh-CN" w:bidi="ar"/>
        </w:rPr>
        <w:t>款第（一）项之规定，建议由市应急管理局对其行政处罚。</w:t>
      </w:r>
      <w:r>
        <w:rPr>
          <w:rFonts w:hint="eastAsia" w:ascii="仿宋_GB2312" w:hAnsi="仿宋_GB2312" w:eastAsia="仿宋_GB2312" w:cs="仿宋_GB2312"/>
          <w:color w:val="auto"/>
          <w:kern w:val="0"/>
          <w:sz w:val="32"/>
          <w:szCs w:val="32"/>
          <w:highlight w:val="none"/>
          <w:u w:val="none"/>
          <w:lang w:val="en-US" w:eastAsia="zh-CN" w:bidi="ar"/>
        </w:rPr>
        <w:t>晟晖公司未按合同约定规范管理车辆服务单位</w:t>
      </w:r>
      <w:r>
        <w:rPr>
          <w:rFonts w:hint="eastAsia" w:ascii="仿宋_GB2312" w:hAnsi="仿宋_GB2312" w:eastAsia="仿宋_GB2312" w:cs="仿宋_GB2312"/>
          <w:color w:val="auto"/>
          <w:kern w:val="0"/>
          <w:sz w:val="32"/>
          <w:szCs w:val="32"/>
          <w:highlight w:val="none"/>
          <w:lang w:val="en-US" w:eastAsia="zh-CN" w:bidi="ar"/>
        </w:rPr>
        <w:t>，建议辽河油田分公司按照企业承包商相关管理规定进行处理。</w:t>
      </w:r>
    </w:p>
    <w:p w14:paraId="091B85A4">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w:t>
      </w:r>
      <w:r>
        <w:rPr>
          <w:rFonts w:hint="eastAsia" w:ascii="仿宋_GB2312" w:hAnsi="仿宋_GB2312" w:eastAsia="仿宋_GB2312" w:cs="仿宋_GB2312"/>
          <w:color w:val="auto"/>
          <w:sz w:val="32"/>
          <w:szCs w:val="32"/>
          <w:highlight w:val="none"/>
          <w:lang w:val="en-US" w:eastAsia="zh-CN"/>
        </w:rPr>
        <w:t>盘锦晨宇石油工程有限公司</w:t>
      </w:r>
      <w:r>
        <w:rPr>
          <w:rFonts w:hint="eastAsia" w:ascii="仿宋_GB2312" w:hAnsi="仿宋_GB2312" w:eastAsia="仿宋_GB2312" w:cs="仿宋_GB2312"/>
          <w:color w:val="auto"/>
          <w:kern w:val="0"/>
          <w:sz w:val="32"/>
          <w:szCs w:val="32"/>
          <w:highlight w:val="none"/>
          <w:lang w:val="en-US" w:eastAsia="zh-CN" w:bidi="ar"/>
        </w:rPr>
        <w:t>。签订车辆运输合同参与洗</w:t>
      </w:r>
      <w:r>
        <w:rPr>
          <w:rFonts w:hint="eastAsia" w:ascii="仿宋_GB2312" w:hAnsi="仿宋_GB2312" w:eastAsia="仿宋_GB2312" w:cs="仿宋_GB2312"/>
          <w:b w:val="0"/>
          <w:bCs w:val="0"/>
          <w:color w:val="auto"/>
          <w:kern w:val="0"/>
          <w:sz w:val="32"/>
          <w:szCs w:val="32"/>
          <w:highlight w:val="none"/>
          <w:lang w:val="en-US" w:eastAsia="zh-CN" w:bidi="ar"/>
        </w:rPr>
        <w:t>井作业，</w:t>
      </w:r>
      <w:r>
        <w:rPr>
          <w:rFonts w:hint="eastAsia" w:ascii="仿宋_GB2312" w:hAnsi="仿宋_GB2312" w:eastAsia="仿宋_GB2312" w:cs="仿宋_GB2312"/>
          <w:color w:val="auto"/>
          <w:kern w:val="0"/>
          <w:sz w:val="32"/>
          <w:szCs w:val="32"/>
          <w:highlight w:val="none"/>
          <w:lang w:val="en-US" w:eastAsia="zh-CN" w:bidi="ar"/>
        </w:rPr>
        <w:t>隐患排查不到位，未及时发现并消除</w:t>
      </w:r>
      <w:r>
        <w:rPr>
          <w:rFonts w:hint="eastAsia" w:ascii="仿宋_GB2312" w:hAnsi="仿宋_GB2312" w:eastAsia="仿宋_GB2312" w:cs="仿宋_GB2312"/>
          <w:color w:val="auto"/>
          <w:kern w:val="0"/>
          <w:sz w:val="32"/>
          <w:szCs w:val="32"/>
          <w:lang w:val="en-US" w:eastAsia="zh-CN" w:bidi="ar-SA"/>
        </w:rPr>
        <w:t>事故隐患，</w:t>
      </w:r>
      <w:r>
        <w:rPr>
          <w:rFonts w:hint="eastAsia" w:ascii="仿宋_GB2312" w:hAnsi="仿宋_GB2312" w:eastAsia="仿宋_GB2312" w:cs="仿宋_GB2312"/>
          <w:color w:val="auto"/>
          <w:kern w:val="0"/>
          <w:sz w:val="32"/>
          <w:szCs w:val="32"/>
          <w:highlight w:val="none"/>
          <w:lang w:val="en-US" w:eastAsia="zh-CN" w:bidi="ar"/>
        </w:rPr>
        <w:t>安全生产教育培训不到位，未对作业人员开展教育培训，对事故发生负有责任，依据《中华人民共和国安全生产法》第一百一十四条第一款第（一）项之规定，建议由市应急管理局对其行政处罚。</w:t>
      </w:r>
    </w:p>
    <w:p w14:paraId="2FD064A2">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3.徐相利，男，辽宁中油晟晖石油技术有限公司法定代表人，未在规定时限报告生产安全事故，存在迟报情况，依据《生产安全事故报告和调查处理条例》第三十五条之规定，建议由市应急局对其行政处罚。</w:t>
      </w:r>
    </w:p>
    <w:p w14:paraId="7959BFC7">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4.盖磊，男，辽宁中油晟晖石油技术有限公司副总经理，分管晟晖公司二分公司，检查二分公司安全生产工作不到位，对分管的二分公司管理不到位，对事故发生负有责任，依据《安全生产法》第九十六条之规定，建议由市应急局对其行政处罚。</w:t>
      </w:r>
    </w:p>
    <w:p w14:paraId="44F809F6">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5.张勤，男，盘锦晨宇石油工程有限公司法定代表人，组织制定并实施本单位安全生产教育不到位，督促、检查本单位的安全生产工作不到位，对事故发生负有责任，依据《安全生产法》第九十五条之规定，建议由市应急局对其行政处罚。</w:t>
      </w:r>
    </w:p>
    <w:p w14:paraId="1704F794">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6.马野，男，辽宁中油晟晖石油技术有限公司二分公司经理，检查二分公司安全生产工作不到位，对洗井作业过程中的安全管理失管，对事故发生负有责任，依据《安全生产法》第九十六条之规定，建议由市应急局对其行政处罚。</w:t>
      </w:r>
    </w:p>
    <w:p w14:paraId="253093E4">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7.李福柱，男，盘锦晨宇石油工程有限公司运输项目部经理，检查本部门安全生产工作不到位，未及时发现并消除车辆管理、</w:t>
      </w:r>
      <w:r>
        <w:rPr>
          <w:rFonts w:hint="eastAsia" w:ascii="仿宋_GB2312" w:hAnsi="仿宋_GB2312" w:eastAsia="仿宋_GB2312" w:cs="仿宋_GB2312"/>
          <w:b w:val="0"/>
          <w:bCs w:val="0"/>
          <w:color w:val="auto"/>
          <w:kern w:val="0"/>
          <w:sz w:val="32"/>
          <w:szCs w:val="32"/>
          <w:highlight w:val="none"/>
          <w:lang w:val="en-US" w:eastAsia="zh-CN" w:bidi="ar"/>
        </w:rPr>
        <w:t>安全生产教育不到位等安全隐患，</w:t>
      </w:r>
      <w:r>
        <w:rPr>
          <w:rFonts w:hint="eastAsia" w:ascii="仿宋_GB2312" w:hAnsi="仿宋_GB2312" w:eastAsia="仿宋_GB2312" w:cs="仿宋_GB2312"/>
          <w:color w:val="auto"/>
          <w:kern w:val="0"/>
          <w:sz w:val="32"/>
          <w:szCs w:val="32"/>
          <w:highlight w:val="none"/>
          <w:lang w:val="en-US" w:eastAsia="zh-CN" w:bidi="ar"/>
        </w:rPr>
        <w:t>对事故发生负有责任，依据《安全生产法》第九十六条之规定，建议由市应急局对其行政处罚。</w:t>
      </w:r>
    </w:p>
    <w:p w14:paraId="606D10F6">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8.马敬民，男，辽宁中油晟晖石油技术有限公司作业21队队长，检查作业队安全生产工作不到位，未严格执行岗位安全管理职责，未按照《措施作业施工设计》组织开展洗井作业，对事故发生负有责任，依据《安全生产法》第九十六条之规定，建议由市应急局对其行政处罚。</w:t>
      </w:r>
    </w:p>
    <w:p w14:paraId="6C8C5813">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
        </w:rPr>
      </w:pPr>
      <w:bookmarkStart w:id="156" w:name="_Toc1983043281_WPSOffice_Level2"/>
      <w:r>
        <w:rPr>
          <w:rFonts w:hint="eastAsia" w:ascii="华文楷体" w:hAnsi="华文楷体" w:eastAsia="华文楷体" w:cs="华文楷体"/>
          <w:color w:val="auto"/>
          <w:kern w:val="0"/>
          <w:sz w:val="32"/>
          <w:szCs w:val="32"/>
          <w:highlight w:val="none"/>
          <w:lang w:val="en-US" w:eastAsia="zh-CN" w:bidi="ar"/>
        </w:rPr>
        <w:t>（二）其他处理建议</w:t>
      </w:r>
      <w:bookmarkEnd w:id="156"/>
    </w:p>
    <w:p w14:paraId="39C09432">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1.张浩，男，盘锦晨宇石油工程有限公司车队队长，未采取措施排查作业服务车辆隐患，建议由盘锦晨宇石油工程有限公司按照公司内部规章制度进行处理。</w:t>
      </w:r>
    </w:p>
    <w:p w14:paraId="5FAA4750">
      <w:pPr>
        <w:pStyle w:val="1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2.刘明，男，辽宁中油晟晖石油技术有限公司作业21队班长，未严格履行作业队岗位安全管理职责，建议由辽宁中油晟晖石油技术有限公司按照公司内部规章制度进行处理。</w:t>
      </w:r>
    </w:p>
    <w:p w14:paraId="458802B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hint="eastAsia" w:ascii="黑体" w:hAnsi="黑体" w:eastAsia="黑体" w:cs="黑体"/>
          <w:color w:val="auto"/>
          <w:sz w:val="32"/>
          <w:szCs w:val="32"/>
          <w:highlight w:val="none"/>
        </w:rPr>
      </w:pPr>
      <w:bookmarkStart w:id="157" w:name="_Toc1829007159_WPSOffice_Level1"/>
      <w:bookmarkStart w:id="158" w:name="_Toc186508013_WPSOffice_Level1"/>
      <w:r>
        <w:rPr>
          <w:rFonts w:hint="eastAsia" w:ascii="黑体" w:hAnsi="黑体" w:eastAsia="黑体" w:cs="黑体"/>
          <w:color w:val="auto"/>
          <w:sz w:val="32"/>
          <w:szCs w:val="32"/>
          <w:highlight w:val="none"/>
        </w:rPr>
        <w:t>六、事故主要教训</w:t>
      </w:r>
      <w:bookmarkEnd w:id="152"/>
      <w:bookmarkEnd w:id="153"/>
      <w:bookmarkEnd w:id="154"/>
      <w:bookmarkEnd w:id="155"/>
      <w:bookmarkEnd w:id="157"/>
      <w:bookmarkEnd w:id="158"/>
    </w:p>
    <w:p w14:paraId="4F8E6970">
      <w:pPr>
        <w:pStyle w:val="1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该起事故暴露出相关企业安全发展理念不牢固、主体责任落实不到位、作业现场管理混乱、作业规程执行流于形式等突出问题。具体表现为相关单位未按合同约定范围开展作业，作业现场未按规定开展全面隐患排查，未及时消除事故隐患，作业期间无人指挥，现场管理缺位，未对作业人员开展针对性安全生产教育培训，导致作业人员安全意识淡薄、操作技能不足，相关企业安全管理人员未有效履行安全管理职责，安全生产责任制流于形式。</w:t>
      </w:r>
    </w:p>
    <w:p w14:paraId="1A17E7B6">
      <w:pPr>
        <w:pStyle w:val="2"/>
        <w:keepNext w:val="0"/>
        <w:keepLines w:val="0"/>
        <w:pageBreakBefore w:val="0"/>
        <w:kinsoku/>
        <w:wordWrap/>
        <w:overflowPunct/>
        <w:topLinePunct w:val="0"/>
        <w:autoSpaceDE/>
        <w:autoSpaceDN/>
        <w:bidi w:val="0"/>
        <w:adjustRightInd/>
        <w:snapToGrid/>
        <w:spacing w:after="0" w:line="530" w:lineRule="exact"/>
        <w:ind w:left="0" w:leftChars="0" w:firstLine="640" w:firstLineChars="200"/>
        <w:jc w:val="both"/>
        <w:textAlignment w:val="auto"/>
        <w:rPr>
          <w:rFonts w:hint="eastAsia"/>
        </w:rPr>
      </w:pPr>
      <w:bookmarkStart w:id="159" w:name="_Toc1882774917_WPSOffice_Level1"/>
      <w:r>
        <w:rPr>
          <w:rFonts w:hint="eastAsia" w:ascii="黑体" w:hAnsi="黑体" w:eastAsia="黑体" w:cs="黑体"/>
          <w:color w:val="auto"/>
          <w:highlight w:val="none"/>
          <w:lang w:val="en-US" w:eastAsia="zh-CN"/>
        </w:rPr>
        <w:t>七、事故整改和防范措施</w:t>
      </w:r>
      <w:bookmarkEnd w:id="159"/>
    </w:p>
    <w:p w14:paraId="3442D6CB">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
        </w:rPr>
      </w:pPr>
      <w:bookmarkStart w:id="160" w:name="_Toc575163251_WPSOffice_Level2"/>
      <w:r>
        <w:rPr>
          <w:rFonts w:hint="eastAsia" w:ascii="华文楷体" w:hAnsi="华文楷体" w:eastAsia="华文楷体" w:cs="华文楷体"/>
          <w:color w:val="auto"/>
          <w:kern w:val="0"/>
          <w:sz w:val="32"/>
          <w:szCs w:val="32"/>
          <w:highlight w:val="none"/>
          <w:lang w:val="en-US" w:eastAsia="zh-CN" w:bidi="ar"/>
        </w:rPr>
        <w:t>（一）压实各方安全责任，规范合同管理</w:t>
      </w:r>
      <w:bookmarkEnd w:id="160"/>
    </w:p>
    <w:p w14:paraId="08C74D73">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辽河油田分公司作为发包单位，要严格审查分包单位资质、作业范围与实际能力匹配度，加强对项目的监督检查，杜绝违规分包、超范围作业等行为。晟晖公司、晨宇公司要严格履行合同约定，严禁超出资质和合同范围开展作业，明确各方职责边界，签订权责清晰的安全协议。</w:t>
      </w:r>
    </w:p>
    <w:p w14:paraId="7A3A223C">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
        </w:rPr>
      </w:pPr>
      <w:bookmarkStart w:id="161" w:name="_Toc1885197502_WPSOffice_Level2"/>
      <w:r>
        <w:rPr>
          <w:rFonts w:hint="eastAsia" w:ascii="华文楷体" w:hAnsi="华文楷体" w:eastAsia="华文楷体" w:cs="华文楷体"/>
          <w:color w:val="auto"/>
          <w:kern w:val="0"/>
          <w:sz w:val="32"/>
          <w:szCs w:val="32"/>
          <w:highlight w:val="none"/>
          <w:lang w:val="en-US" w:eastAsia="zh-CN" w:bidi="ar"/>
        </w:rPr>
        <w:t>（二）强化现场安全管控，筑牢安全防线</w:t>
      </w:r>
      <w:bookmarkEnd w:id="161"/>
    </w:p>
    <w:p w14:paraId="46A22D65">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相关单位要规范作业现场组织管理，严格执行作业前准备程序，开展全面、细致的隐患排查，明确作业指挥人员和监护人员职责，全程监督作业流程，及时发现并制止违规行为，严格开展针对性风险告知和安全技术交底，确保每位作业人员掌握风险点、防控措施和应急处置方法。</w:t>
      </w:r>
    </w:p>
    <w:p w14:paraId="31FA8A4C">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
        </w:rPr>
      </w:pPr>
      <w:bookmarkStart w:id="162" w:name="_Toc1696507553_WPSOffice_Level2"/>
      <w:r>
        <w:rPr>
          <w:rFonts w:hint="eastAsia" w:ascii="华文楷体" w:hAnsi="华文楷体" w:eastAsia="华文楷体" w:cs="华文楷体"/>
          <w:color w:val="auto"/>
          <w:kern w:val="0"/>
          <w:sz w:val="32"/>
          <w:szCs w:val="32"/>
          <w:highlight w:val="none"/>
          <w:lang w:val="en-US" w:eastAsia="zh-CN" w:bidi="ar"/>
        </w:rPr>
        <w:t>（三）加强安全培训教育，提升应急能力</w:t>
      </w:r>
      <w:bookmarkEnd w:id="162"/>
    </w:p>
    <w:p w14:paraId="67F5DB0C">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相关单位要有效开展安全生产教育培训，通过案例教学、实操演练等方式，提升管理人员安全管理能力和作业人员安全操作技能、应急处置能力。进一步完善应急预案体系，定期组织应急演练，优化应急处置流程，提升各单位、各岗位协同应急能力。</w:t>
      </w:r>
    </w:p>
    <w:p w14:paraId="6B2AE96A">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
        </w:rPr>
      </w:pPr>
      <w:bookmarkStart w:id="163" w:name="_Toc298978117_WPSOffice_Level2"/>
      <w:r>
        <w:rPr>
          <w:rFonts w:hint="eastAsia" w:ascii="华文楷体" w:hAnsi="华文楷体" w:eastAsia="华文楷体" w:cs="华文楷体"/>
          <w:color w:val="auto"/>
          <w:kern w:val="0"/>
          <w:sz w:val="32"/>
          <w:szCs w:val="32"/>
          <w:highlight w:val="none"/>
          <w:lang w:val="en-US" w:eastAsia="zh-CN" w:bidi="ar"/>
        </w:rPr>
        <w:t>（四）严格事故报告制度，强化监督问责</w:t>
      </w:r>
      <w:bookmarkEnd w:id="163"/>
    </w:p>
    <w:p w14:paraId="4BC4F088">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相关单位组织学习事故报告相关法律法规，明确事故报告的责任主体、时限要求、报告内容和流程，杜绝迟报、漏报、瞒报行为。企业安全监督部门要强化日常监督检查，加大对作业现场的抽查频次和力度，重点检查安全责任落实、隐患排查整改、作业规范执行等情况，坚决杜绝类似事故再次发生。</w:t>
      </w:r>
    </w:p>
    <w:p w14:paraId="3A728256">
      <w:pPr>
        <w:pStyle w:val="12"/>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p>
    <w:p w14:paraId="52DAE3E7">
      <w:pPr>
        <w:pStyle w:val="12"/>
        <w:keepNext w:val="0"/>
        <w:keepLines w:val="0"/>
        <w:pageBreakBefore w:val="0"/>
        <w:widowControl w:val="0"/>
        <w:kinsoku/>
        <w:wordWrap/>
        <w:overflowPunct/>
        <w:topLinePunct w:val="0"/>
        <w:autoSpaceDE/>
        <w:autoSpaceDN/>
        <w:bidi w:val="0"/>
        <w:adjustRightInd/>
        <w:snapToGrid/>
        <w:spacing w:line="540" w:lineRule="exact"/>
        <w:ind w:firstLine="3520" w:firstLineChars="11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盘锦兴隆台晨宇石油工程有限公司</w:t>
      </w:r>
    </w:p>
    <w:p w14:paraId="1F465EFA">
      <w:pPr>
        <w:pStyle w:val="12"/>
        <w:keepNext w:val="0"/>
        <w:keepLines w:val="0"/>
        <w:pageBreakBefore w:val="0"/>
        <w:widowControl w:val="0"/>
        <w:kinsoku/>
        <w:wordWrap/>
        <w:overflowPunct/>
        <w:topLinePunct w:val="0"/>
        <w:autoSpaceDE/>
        <w:autoSpaceDN/>
        <w:bidi w:val="0"/>
        <w:adjustRightInd/>
        <w:snapToGrid/>
        <w:spacing w:line="540" w:lineRule="exact"/>
        <w:ind w:firstLine="3840" w:firstLineChars="1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“9·16”一般爆燃事故调查组</w:t>
      </w:r>
    </w:p>
    <w:p w14:paraId="1EFA0D30">
      <w:pPr>
        <w:pStyle w:val="12"/>
        <w:keepNext w:val="0"/>
        <w:keepLines w:val="0"/>
        <w:pageBreakBefore w:val="0"/>
        <w:widowControl w:val="0"/>
        <w:kinsoku/>
        <w:wordWrap/>
        <w:overflowPunct/>
        <w:topLinePunct w:val="0"/>
        <w:autoSpaceDE/>
        <w:autoSpaceDN/>
        <w:bidi w:val="0"/>
        <w:adjustRightInd/>
        <w:snapToGrid/>
        <w:spacing w:line="540" w:lineRule="exact"/>
        <w:ind w:firstLine="4800" w:firstLineChars="15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2026年1月9日</w:t>
      </w:r>
    </w:p>
    <w:sectPr>
      <w:footerReference r:id="rId5" w:type="default"/>
      <w:footnotePr>
        <w:numFmt w:val="decimal"/>
      </w:footnotePr>
      <w:pgSz w:w="11906" w:h="16838"/>
      <w:pgMar w:top="2098" w:right="1474" w:bottom="1984" w:left="1587" w:header="851" w:footer="992" w:gutter="0"/>
      <w:pgNumType w:fmt="numberInDash"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方正黑体简体">
    <w:altName w:val="微软雅黑"/>
    <w:panose1 w:val="02000000000000000000"/>
    <w:charset w:val="00"/>
    <w:family w:val="auto"/>
    <w:pitch w:val="default"/>
    <w:sig w:usb0="00000000" w:usb1="00000000" w:usb2="00000012" w:usb3="00000000" w:csb0="00040001" w:csb1="00000000"/>
  </w:font>
  <w:font w:name="KSOF8080F95D">
    <w:panose1 w:val="020B0503020204020204"/>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52FAA">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C08CD">
    <w:pPr>
      <w:pStyle w:val="1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31731">
                          <w:pPr>
                            <w:pStyle w:val="1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TwUxMoBAACcAwAADgAAAGRycy9lMm9Eb2MueG1srVPNjtMwEL4j8Q6W&#10;79Rpk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kTwUxMoBAACcAwAADgAAAAAAAAABACAAAAAeAQAAZHJzL2Uyb0Rv&#10;Yy54bWxQSwUGAAAAAAYABgBZAQAAWgUAAAAA&#10;">
              <v:fill on="f" focussize="0,0"/>
              <v:stroke on="f"/>
              <v:imagedata o:title=""/>
              <o:lock v:ext="edit" aspectratio="f"/>
              <v:textbox inset="0mm,0mm,0mm,0mm" style="mso-fit-shape-to-text:t;">
                <w:txbxContent>
                  <w:p w14:paraId="56131731">
                    <w:pPr>
                      <w:pStyle w:val="1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7519B104">
      <w:pPr>
        <w:pStyle w:val="15"/>
        <w:snapToGrid w:val="0"/>
        <w:rPr>
          <w:rFonts w:hint="eastAsia" w:eastAsia="宋体" w:cs="Times New Roman"/>
          <w:lang w:eastAsia="zh-CN"/>
        </w:rPr>
      </w:pPr>
      <w:r>
        <w:rPr>
          <w:rFonts w:hint="eastAsia" w:eastAsia="宋体" w:cs="Times New Roman"/>
          <w:lang w:eastAsia="zh-CN"/>
        </w:rPr>
        <w:t>[</w:t>
      </w:r>
      <w:r>
        <w:rPr>
          <w:rFonts w:hint="eastAsia" w:eastAsia="宋体" w:cs="Times New Roman"/>
          <w:lang w:eastAsia="zh-CN"/>
        </w:rPr>
        <w:footnoteRef/>
      </w:r>
      <w:r>
        <w:rPr>
          <w:rFonts w:hint="eastAsia" w:eastAsia="宋体" w:cs="Times New Roman"/>
          <w:lang w:eastAsia="zh-CN"/>
        </w:rPr>
        <w:t>]《安全生产法》第四十九条　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
    <w:p w14:paraId="6665FCD6">
      <w:pPr>
        <w:pStyle w:val="15"/>
        <w:snapToGrid w:val="0"/>
        <w:rPr>
          <w:rFonts w:hint="default" w:eastAsia="宋体" w:cs="Times New Roman"/>
        </w:rPr>
      </w:pPr>
      <w:r>
        <w:rPr>
          <w:rFonts w:hint="default" w:eastAsia="宋体" w:cs="Times New Roman"/>
        </w:rPr>
        <w:t>[</w:t>
      </w:r>
      <w:r>
        <w:rPr>
          <w:rFonts w:hint="default" w:eastAsia="宋体" w:cs="Times New Roman"/>
        </w:rPr>
        <w:footnoteRef/>
      </w:r>
      <w:r>
        <w:rPr>
          <w:rFonts w:hint="default" w:eastAsia="宋体" w:cs="Times New Roman"/>
        </w:rPr>
        <w:t>]</w:t>
      </w:r>
      <w:r>
        <w:rPr>
          <w:rFonts w:hint="eastAsia" w:eastAsia="宋体" w:cs="Times New Roman"/>
          <w:lang w:eastAsia="zh-CN"/>
        </w:rPr>
        <w:t>《安全生产法》</w:t>
      </w:r>
      <w:r>
        <w:rPr>
          <w:rFonts w:hint="default" w:eastAsia="宋体" w:cs="Times New Roman"/>
        </w:rPr>
        <w:t>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
    <w:p w14:paraId="7FADE449">
      <w:pPr>
        <w:pStyle w:val="15"/>
        <w:snapToGrid w:val="0"/>
        <w:rPr>
          <w:rFonts w:hint="eastAsia" w:eastAsia="宋体" w:cs="Times New Roman"/>
          <w:lang w:eastAsia="zh-CN"/>
        </w:rPr>
      </w:pPr>
      <w:r>
        <w:rPr>
          <w:rFonts w:hint="default" w:eastAsia="宋体" w:cs="Times New Roman"/>
        </w:rPr>
        <w:t>[</w:t>
      </w:r>
      <w:r>
        <w:rPr>
          <w:rFonts w:hint="default" w:eastAsia="宋体" w:cs="Times New Roman"/>
        </w:rPr>
        <w:footnoteRef/>
      </w:r>
      <w:r>
        <w:rPr>
          <w:rFonts w:hint="default" w:eastAsia="宋体" w:cs="Times New Roman"/>
        </w:rPr>
        <w:t>]</w:t>
      </w:r>
      <w:r>
        <w:rPr>
          <w:rFonts w:hint="eastAsia" w:eastAsia="宋体" w:cs="Times New Roman"/>
          <w:lang w:eastAsia="zh-CN"/>
        </w:rPr>
        <w:t>《安全生产法》</w:t>
      </w:r>
      <w:r>
        <w:rPr>
          <w:rFonts w:hint="eastAsia" w:eastAsia="宋体" w:cs="Times New Roman"/>
          <w:lang w:val="en-US" w:eastAsia="zh-CN"/>
        </w:rPr>
        <w:t>第四十四条　生产经营单位应当教育和督促从业人员严格执行本单位的安全生产规章制度和安全操作规程；并向从业人员如实告知作业场所和工作岗位存在的危险因素、防范措施以及事故应急措施。</w:t>
      </w:r>
    </w:p>
  </w:footnote>
  <w:footnote w:id="3">
    <w:p w14:paraId="3A98272F">
      <w:pPr>
        <w:pStyle w:val="15"/>
        <w:snapToGrid w:val="0"/>
        <w:rPr>
          <w:rFonts w:hint="eastAsia" w:eastAsia="宋体" w:cs="Times New Roman"/>
          <w:lang w:val="en-US" w:eastAsia="zh-CN"/>
        </w:rPr>
      </w:pPr>
      <w:r>
        <w:rPr>
          <w:rFonts w:hint="default" w:eastAsia="宋体" w:cs="Times New Roman"/>
        </w:rPr>
        <w:t>[</w:t>
      </w:r>
      <w:r>
        <w:rPr>
          <w:rFonts w:hint="default" w:eastAsia="宋体" w:cs="Times New Roman"/>
        </w:rPr>
        <w:footnoteRef/>
      </w:r>
      <w:r>
        <w:rPr>
          <w:rFonts w:hint="default" w:eastAsia="宋体" w:cs="Times New Roman"/>
        </w:rPr>
        <w:t>]</w:t>
      </w:r>
      <w:r>
        <w:rPr>
          <w:rFonts w:hint="eastAsia" w:eastAsia="宋体" w:cs="Times New Roman"/>
        </w:rPr>
        <w:t>《石油天然气工程设计防火规范》（</w:t>
      </w:r>
      <w:r>
        <w:rPr>
          <w:rFonts w:hint="eastAsia" w:eastAsia="宋体" w:cs="Times New Roman"/>
          <w:lang w:val="en-US" w:eastAsia="zh-CN"/>
        </w:rPr>
        <w:t>GB50183-2004</w:t>
      </w:r>
      <w:r>
        <w:rPr>
          <w:rFonts w:hint="eastAsia" w:eastAsia="宋体" w:cs="Times New Roman"/>
        </w:rPr>
        <w:t>）第5.2.3条，</w:t>
      </w:r>
      <w:r>
        <w:rPr>
          <w:rFonts w:hint="eastAsia" w:eastAsia="宋体" w:cs="Times New Roman"/>
          <w:lang w:eastAsia="zh-CN"/>
        </w:rPr>
        <w:t>五级石油天然气站场总平面布置防火间距，不应小于表</w:t>
      </w:r>
      <w:r>
        <w:rPr>
          <w:rFonts w:hint="eastAsia" w:eastAsia="宋体" w:cs="Times New Roman"/>
          <w:lang w:val="en-US" w:eastAsia="zh-CN"/>
        </w:rPr>
        <w:t>5.2.3的规定：隔油池、事故</w:t>
      </w:r>
      <w:r>
        <w:rPr>
          <w:rFonts w:hint="eastAsia" w:eastAsia="宋体" w:cs="Times New Roman"/>
          <w:lang w:eastAsia="zh-CN"/>
        </w:rPr>
        <w:t>污油池（罐）、卸油池与辅助生产设施的防火</w:t>
      </w:r>
      <w:r>
        <w:rPr>
          <w:rFonts w:hint="eastAsia" w:eastAsia="宋体" w:cs="Times New Roman"/>
          <w:lang w:val="en-US" w:eastAsia="zh-CN"/>
        </w:rPr>
        <w:t>间距为15m，与油气井的防火间距为20m；辅助生产设施与油气井的防火间距为20m。</w:t>
      </w:r>
    </w:p>
    <w:p w14:paraId="6ACEE1CA">
      <w:pPr>
        <w:pStyle w:val="15"/>
        <w:snapToGrid w:val="0"/>
        <w:rPr>
          <w:rFonts w:hint="default" w:eastAsia="宋体" w:cs="Times New Roman"/>
          <w:lang w:val="en-US" w:eastAsia="zh-CN"/>
        </w:rPr>
      </w:pPr>
      <w:r>
        <w:rPr>
          <w:rFonts w:hint="eastAsia" w:eastAsia="宋体" w:cs="Times New Roman"/>
          <w:lang w:val="en-US" w:eastAsia="zh-CN"/>
        </w:rPr>
        <w:t>《工程技术现场安全检查规范》Q/SY08131.5-2024第5部分：修井作业3.15进入施工现场的车辆应在指定安全区域内有序停放。</w:t>
      </w:r>
    </w:p>
  </w:footnote>
  <w:footnote w:id="4">
    <w:p w14:paraId="359CF3D7">
      <w:pPr>
        <w:pStyle w:val="15"/>
        <w:snapToGrid w:val="0"/>
        <w:rPr>
          <w:rFonts w:hint="default" w:eastAsia="宋体"/>
          <w:lang w:val="en-US" w:eastAsia="zh-CN"/>
        </w:rPr>
      </w:pPr>
      <w:r>
        <w:rPr>
          <w:rFonts w:hint="default" w:eastAsia="宋体" w:cs="Times New Roman"/>
        </w:rPr>
        <w:t>[</w:t>
      </w:r>
      <w:r>
        <w:rPr>
          <w:rFonts w:hint="default" w:eastAsia="宋体" w:cs="Times New Roman"/>
        </w:rPr>
        <w:footnoteRef/>
      </w:r>
      <w:r>
        <w:rPr>
          <w:rFonts w:hint="default" w:eastAsia="宋体" w:cs="Times New Roman"/>
        </w:rPr>
        <w:t>]</w:t>
      </w:r>
      <w:r>
        <w:rPr>
          <w:rFonts w:hint="eastAsia" w:eastAsia="宋体" w:cs="Times New Roman"/>
          <w:lang w:eastAsia="zh-CN"/>
        </w:rPr>
        <w:t>《措施作业施工设计》</w:t>
      </w:r>
      <w:r>
        <w:rPr>
          <w:rFonts w:hint="eastAsia" w:eastAsia="宋体" w:cs="Times New Roman"/>
          <w:lang w:val="en-US" w:eastAsia="zh-CN"/>
        </w:rPr>
        <w:t>2.洗井：技术要求：洗井过程中，要随时观察并记录泵压、排量、出口量及漏失数据，泵压升高，洗井不通时应停泵及时分析原因进行处理，不应强行憋泵。如出口有气体，则要控制放喷，检测气体浓度，采取应急措施。洗井时</w:t>
      </w:r>
      <w:r>
        <w:rPr>
          <w:rFonts w:hint="eastAsia"/>
          <w:lang w:val="en-US" w:eastAsia="zh-CN"/>
        </w:rPr>
        <w:t>，有专人指挥，人员不准跨越、靠近高压管线。</w:t>
      </w:r>
    </w:p>
  </w:footnote>
  <w:footnote w:id="5">
    <w:p w14:paraId="63B15EFF">
      <w:pPr>
        <w:pStyle w:val="15"/>
        <w:snapToGrid w:val="0"/>
      </w:pPr>
      <w:r>
        <w:rPr>
          <w:rFonts w:hint="default" w:eastAsia="宋体" w:cs="Times New Roman"/>
        </w:rPr>
        <w:t>[</w:t>
      </w:r>
      <w:r>
        <w:rPr>
          <w:rFonts w:hint="default" w:eastAsia="宋体" w:cs="Times New Roman"/>
        </w:rPr>
        <w:footnoteRef/>
      </w:r>
      <w:r>
        <w:rPr>
          <w:rFonts w:hint="default" w:eastAsia="宋体" w:cs="Times New Roman"/>
        </w:rPr>
        <w:t>]</w:t>
      </w:r>
      <w:r>
        <w:rPr>
          <w:rFonts w:hint="eastAsia" w:eastAsia="宋体" w:cs="Times New Roman"/>
          <w:lang w:eastAsia="zh-CN"/>
        </w:rPr>
        <w:t>《安全生产法》</w:t>
      </w:r>
      <w:r>
        <w:rPr>
          <w:rFonts w:hint="default"/>
        </w:rPr>
        <w:t>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6">
    <w:p w14:paraId="0FA90818">
      <w:pPr>
        <w:pStyle w:val="15"/>
        <w:keepNext w:val="0"/>
        <w:keepLines/>
        <w:pageBreakBefore w:val="0"/>
        <w:widowControl w:val="0"/>
        <w:kinsoku/>
        <w:wordWrap/>
        <w:overflowPunct/>
        <w:topLinePunct w:val="0"/>
        <w:autoSpaceDE/>
        <w:autoSpaceDN/>
        <w:bidi w:val="0"/>
        <w:adjustRightInd/>
        <w:snapToGrid w:val="0"/>
        <w:textAlignment w:val="auto"/>
        <w:rPr>
          <w:rFonts w:hint="eastAsia"/>
          <w:lang w:eastAsia="zh-CN"/>
        </w:rPr>
      </w:pPr>
      <w:r>
        <w:rPr>
          <w:rFonts w:hint="default" w:eastAsia="宋体" w:cs="Times New Roman"/>
        </w:rPr>
        <w:t>[</w:t>
      </w:r>
      <w:r>
        <w:rPr>
          <w:rFonts w:hint="default" w:eastAsia="宋体" w:cs="Times New Roman"/>
        </w:rPr>
        <w:footnoteRef/>
      </w:r>
      <w:r>
        <w:rPr>
          <w:rFonts w:hint="default" w:eastAsia="宋体" w:cs="Times New Roman"/>
        </w:rPr>
        <w:t>]</w:t>
      </w:r>
      <w:r>
        <w:rPr>
          <w:rFonts w:hint="eastAsia" w:eastAsia="宋体" w:cs="Times New Roman"/>
          <w:lang w:eastAsia="zh-CN"/>
        </w:rPr>
        <w:t>《安</w:t>
      </w:r>
      <w:r>
        <w:rPr>
          <w:rFonts w:hint="eastAsia"/>
          <w:lang w:eastAsia="zh-CN"/>
        </w:rPr>
        <w:t>全生产法》</w:t>
      </w:r>
      <w:r>
        <w:rPr>
          <w:rFonts w:hint="eastAsia"/>
          <w:lang w:val="en-US" w:eastAsia="zh-CN"/>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748C061A">
      <w:pPr>
        <w:pStyle w:val="15"/>
        <w:snapToGrid w:val="0"/>
        <w:rPr>
          <w:rFonts w:hint="eastAsia" w:eastAsia="宋体"/>
          <w:lang w:eastAsia="zh-C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14"/>
    <w:footnote w:id="1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FD7C7FD"/>
    <w:rsid w:val="37ED4D38"/>
    <w:rsid w:val="45295DE0"/>
    <w:rsid w:val="48244C8B"/>
    <w:rsid w:val="4EBACDFB"/>
    <w:rsid w:val="69998BAD"/>
    <w:rsid w:val="6BEB7D34"/>
    <w:rsid w:val="BFDFC682"/>
    <w:rsid w:val="F54F21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6">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7">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tabs>
        <w:tab w:val="left" w:pos="-5"/>
      </w:tabs>
      <w:spacing w:after="120" w:line="276" w:lineRule="auto"/>
      <w:ind w:left="200" w:leftChars="200" w:firstLine="420" w:firstLineChars="200"/>
      <w:jc w:val="left"/>
    </w:pPr>
    <w:rPr>
      <w:sz w:val="32"/>
    </w:rPr>
  </w:style>
  <w:style w:type="paragraph" w:styleId="3">
    <w:name w:val="Body Text Indent"/>
    <w:basedOn w:val="1"/>
    <w:next w:val="4"/>
    <w:qFormat/>
    <w:uiPriority w:val="0"/>
    <w:pPr>
      <w:ind w:firstLine="560" w:firstLineChars="200"/>
    </w:pPr>
    <w:rPr>
      <w:rFonts w:eastAsia="仿宋_GB2312"/>
      <w:sz w:val="28"/>
    </w:rPr>
  </w:style>
  <w:style w:type="paragraph" w:styleId="4">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8">
    <w:name w:val="Normal Indent"/>
    <w:basedOn w:val="1"/>
    <w:semiHidden/>
    <w:qFormat/>
    <w:uiPriority w:val="99"/>
    <w:pPr>
      <w:ind w:firstLine="420" w:firstLineChars="200"/>
    </w:pPr>
    <w:rPr>
      <w:szCs w:val="21"/>
    </w:rPr>
  </w:style>
  <w:style w:type="paragraph" w:styleId="9">
    <w:name w:val="caption"/>
    <w:basedOn w:val="1"/>
    <w:next w:val="1"/>
    <w:qFormat/>
    <w:uiPriority w:val="0"/>
    <w:rPr>
      <w:rFonts w:ascii="Cambria" w:hAnsi="Cambria" w:eastAsia="黑体"/>
      <w:sz w:val="20"/>
    </w:rPr>
  </w:style>
  <w:style w:type="paragraph" w:styleId="10">
    <w:name w:val="annotation text"/>
    <w:basedOn w:val="1"/>
    <w:qFormat/>
    <w:uiPriority w:val="0"/>
    <w:pPr>
      <w:jc w:val="left"/>
    </w:pPr>
  </w:style>
  <w:style w:type="paragraph" w:styleId="11">
    <w:name w:val="Body Text"/>
    <w:basedOn w:val="1"/>
    <w:link w:val="25"/>
    <w:qFormat/>
    <w:uiPriority w:val="0"/>
    <w:pPr>
      <w:widowControl w:val="0"/>
      <w:spacing w:line="580" w:lineRule="exact"/>
      <w:jc w:val="both"/>
    </w:pPr>
    <w:rPr>
      <w:rFonts w:ascii="仿宋_GB2312" w:hAnsi="宋体" w:eastAsia="仿宋_GB2312"/>
      <w:kern w:val="2"/>
      <w:sz w:val="32"/>
      <w:szCs w:val="32"/>
      <w:lang w:val="en-US" w:eastAsia="zh-CN" w:bidi="ar-SA"/>
    </w:rPr>
  </w:style>
  <w:style w:type="paragraph" w:styleId="12">
    <w:name w:val="Plain Text"/>
    <w:basedOn w:val="1"/>
    <w:qFormat/>
    <w:uiPriority w:val="0"/>
    <w:rPr>
      <w:rFonts w:ascii="宋体" w:hAnsi="Courier New"/>
      <w:szCs w:val="21"/>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footnote text"/>
    <w:basedOn w:val="1"/>
    <w:link w:val="26"/>
    <w:qFormat/>
    <w:uiPriority w:val="0"/>
    <w:pPr>
      <w:snapToGrid w:val="0"/>
      <w:jc w:val="left"/>
    </w:pPr>
    <w:rPr>
      <w:sz w:val="18"/>
      <w:szCs w:val="18"/>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9">
    <w:name w:val="Table Grid"/>
    <w:basedOn w:val="18"/>
    <w:qFormat/>
    <w:uiPriority w:val="59"/>
    <w:pPr>
      <w:jc w:val="both"/>
    </w:pPr>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Emphasis"/>
    <w:qFormat/>
    <w:uiPriority w:val="0"/>
  </w:style>
  <w:style w:type="character" w:styleId="23">
    <w:name w:val="HTML Cite"/>
    <w:qFormat/>
    <w:uiPriority w:val="0"/>
  </w:style>
  <w:style w:type="character" w:styleId="24">
    <w:name w:val="footnote reference"/>
    <w:qFormat/>
    <w:uiPriority w:val="0"/>
    <w:rPr>
      <w:vertAlign w:val="superscript"/>
    </w:rPr>
  </w:style>
  <w:style w:type="character" w:customStyle="1" w:styleId="25">
    <w:name w:val="正文文本 Char"/>
    <w:link w:val="11"/>
    <w:uiPriority w:val="0"/>
    <w:rPr>
      <w:rFonts w:ascii="仿宋_GB2312" w:hAnsi="宋体" w:eastAsia="仿宋_GB2312"/>
      <w:kern w:val="2"/>
      <w:sz w:val="32"/>
      <w:szCs w:val="32"/>
    </w:rPr>
  </w:style>
  <w:style w:type="character" w:customStyle="1" w:styleId="26">
    <w:name w:val="脚注文本 Char"/>
    <w:link w:val="15"/>
    <w:qFormat/>
    <w:uiPriority w:val="0"/>
    <w:rPr>
      <w:rFonts w:ascii="Calibri" w:hAnsi="Calibri"/>
      <w:kern w:val="2"/>
      <w:sz w:val="18"/>
      <w:szCs w:val="18"/>
    </w:rPr>
  </w:style>
  <w:style w:type="character" w:customStyle="1" w:styleId="27">
    <w:name w:val="15"/>
    <w:basedOn w:val="20"/>
    <w:qFormat/>
    <w:uiPriority w:val="0"/>
    <w:rPr>
      <w:rFonts w:hint="default" w:ascii="Times New Roman" w:hAnsi="Times New Roman" w:cs="Times New Roman"/>
    </w:rPr>
  </w:style>
  <w:style w:type="character" w:customStyle="1" w:styleId="28">
    <w:name w:val="bsharetext"/>
    <w:uiPriority w:val="0"/>
  </w:style>
  <w:style w:type="character" w:customStyle="1" w:styleId="29">
    <w:name w:val="10"/>
    <w:basedOn w:val="20"/>
    <w:qFormat/>
    <w:uiPriority w:val="0"/>
    <w:rPr>
      <w:rFonts w:hint="default" w:ascii="Times New Roman" w:hAnsi="Times New Roman" w:cs="Times New Roman"/>
    </w:rPr>
  </w:style>
  <w:style w:type="paragraph" w:customStyle="1" w:styleId="30">
    <w:name w:val="WPSOffice手动目录 2"/>
    <w:qFormat/>
    <w:uiPriority w:val="0"/>
    <w:pPr>
      <w:ind w:leftChars="200"/>
    </w:pPr>
    <w:rPr>
      <w:rFonts w:ascii="Times New Roman" w:hAnsi="Times New Roman" w:eastAsia="宋体" w:cs="Times New Roman"/>
      <w:sz w:val="20"/>
      <w:szCs w:val="20"/>
    </w:rPr>
  </w:style>
  <w:style w:type="paragraph" w:styleId="31">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2">
    <w:name w:val="Body Text First Indent 21"/>
    <w:basedOn w:val="33"/>
    <w:unhideWhenUsed/>
    <w:qFormat/>
    <w:uiPriority w:val="99"/>
    <w:pPr>
      <w:ind w:left="0" w:firstLine="420"/>
    </w:pPr>
    <w:rPr>
      <w:rFonts w:eastAsia="Times New Roman"/>
      <w:sz w:val="32"/>
      <w:szCs w:val="32"/>
    </w:rPr>
  </w:style>
  <w:style w:type="paragraph" w:customStyle="1" w:styleId="33">
    <w:name w:val="Body Text Indent1"/>
    <w:basedOn w:val="1"/>
    <w:unhideWhenUsed/>
    <w:qFormat/>
    <w:uiPriority w:val="99"/>
    <w:pPr>
      <w:ind w:left="420" w:leftChars="200"/>
    </w:pPr>
  </w:style>
  <w:style w:type="paragraph" w:customStyle="1" w:styleId="34">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16</Pages>
  <Words>496</Words>
  <Characters>514</Characters>
  <Lines>1</Lines>
  <Paragraphs>1</Paragraphs>
  <TotalTime>14</TotalTime>
  <ScaleCrop>false</ScaleCrop>
  <LinksUpToDate>false</LinksUpToDate>
  <CharactersWithSpaces>545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2023-11-15T21:56:00Z</dcterms:created>
  <dc:creator>ASUS</dc:creator>
  <cp:lastModifiedBy>ギリギリ爱 ギリギリ舞</cp:lastModifiedBy>
  <cp:lastPrinted>2026-01-01T09:55:00Z</cp:lastPrinted>
  <dcterms:modified xsi:type="dcterms:W3CDTF">2026-01-20T06:54:39Z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07C858605BC248CAA93095BF2E9A77AA_13</vt:lpwstr>
  </property>
  <property fmtid="{D5CDD505-2E9C-101B-9397-08002B2CF9AE}" pid="4" name="KSOTemplateDocerSaveRecord">
    <vt:lpwstr>eyJoZGlkIjoiYjhlYTRjOWExMmY3ZTI0Y2UxYmI0YzkyMjZmZTllMzgiLCJ1c2VySWQiOiIyMTgxNjM2MzMifQ==</vt:lpwstr>
  </property>
</Properties>
</file>