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5C67F">
      <w:pPr>
        <w:tabs>
          <w:tab w:val="left" w:pos="5580"/>
        </w:tabs>
        <w:adjustRightInd w:val="0"/>
        <w:snapToGrid w:val="0"/>
        <w:spacing w:line="600" w:lineRule="exact"/>
        <w:jc w:val="center"/>
        <w:rPr>
          <w:rFonts w:ascii="方正小标宋_GBK" w:hAnsi="方正小标宋_GBK" w:eastAsia="方正小标宋_GBK" w:cs="方正小标宋_GBK"/>
          <w:sz w:val="44"/>
          <w:szCs w:val="44"/>
        </w:rPr>
      </w:pPr>
      <w:r>
        <w:rPr>
          <w:rFonts w:hint="eastAsia" w:ascii="方正小标宋简体" w:eastAsia="方正小标宋简体"/>
          <w:sz w:val="44"/>
          <w:szCs w:val="44"/>
        </w:rPr>
        <w:t>盘锦辽滨经开区韩胜武机械租赁服务中心“3·28”一般车辆伤害事故调查报告</w:t>
      </w:r>
    </w:p>
    <w:p w14:paraId="68697C3D">
      <w:pPr>
        <w:spacing w:line="600" w:lineRule="exact"/>
        <w:rPr>
          <w:rFonts w:ascii="仿宋_GB2312" w:hAnsi="仿宋_GB2312" w:eastAsia="仿宋_GB2312" w:cs="仿宋_GB2312"/>
          <w:sz w:val="32"/>
          <w:szCs w:val="32"/>
        </w:rPr>
      </w:pPr>
    </w:p>
    <w:p w14:paraId="2963A6FD">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2026年3月28日13时许，在辽宁省盘锦市辽滨经开区盘锦港，天津市滨海新区塘沽韩胜武机械租赁服务中心组织管线整理施工过程中，挖掘机在推运管道时发生一起车辆伤害事故，造成1人死亡，直接经济损失约139万元。</w:t>
      </w:r>
    </w:p>
    <w:p w14:paraId="73836EF4">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根据《生产安全事故报告和调查处理条例》（国务院令第493号）和《辽宁省安全生产条例》等有关规定，经盘锦市人民政府批准，成立由市应急局、市公安局、市交通局、市总工会等有关部门人员组成的盘锦辽滨经开区长江南京航道工程局“3·28”一般车辆伤害事故调查组（以下简称事故调查组），依法依规全面开展事故调查工作，同时邀请市纪检机关、市检察院派员参加。</w:t>
      </w:r>
    </w:p>
    <w:p w14:paraId="6C0DF2A4">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事故调查组坚持“科学严谨、依法依规、实事求是、注重实效”和“四不放过”的原则，通过现场勘查、调查询问、视频分析、查阅资料、综合分析等方式，查明了事故发生的经过、原因、人员伤亡和直接经济损失等情况，认定了事故性质和责任，并对事故责任单位和人员提出处理建议。同时，针对事故原因及暴露出的突出问题，总结事故教训，提出了事故整改和防范措施建议。</w:t>
      </w:r>
    </w:p>
    <w:p w14:paraId="38717DAE">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经调查组调查核实，施工作业实施主体为韩胜武租赁中心，事故发生在该单位组织的管线整理施工活动中，故将事故名称更改为：盘锦辽滨经开区韩胜武机械租赁服务中心“3·28”一般车辆伤害事故。</w:t>
      </w:r>
    </w:p>
    <w:p w14:paraId="325C5F01">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经调查认定，盘锦辽滨经开区韩胜武机械租赁服务中心“3·28”车辆伤害事故是一起因安全生产主体责任落实不到位、施工现场安全管理缺失引起的一般生产安全责任事故。</w:t>
      </w:r>
    </w:p>
    <w:p w14:paraId="39B1D8DE">
      <w:pPr>
        <w:spacing w:line="600" w:lineRule="exact"/>
        <w:ind w:firstLine="640"/>
        <w:rPr>
          <w:rFonts w:ascii="黑体" w:hAnsi="黑体" w:eastAsia="黑体" w:cs="仿宋_GB2312"/>
          <w:sz w:val="32"/>
          <w:szCs w:val="32"/>
        </w:rPr>
      </w:pPr>
      <w:bookmarkStart w:id="0" w:name="_Toc1410542715_WPSOffice_Level1"/>
      <w:bookmarkStart w:id="1" w:name="_Toc30669_WPSOffice_Level1"/>
      <w:bookmarkStart w:id="2" w:name="_Toc1218430347_WPSOffice_Level1"/>
      <w:bookmarkStart w:id="3" w:name="_Toc743529225_WPSOffice_Level1"/>
      <w:bookmarkStart w:id="4" w:name="_Toc1281681839_WPSOffice_Level1"/>
      <w:bookmarkStart w:id="5" w:name="_Toc4871227_WPSOffice_Level1"/>
      <w:bookmarkStart w:id="6" w:name="_Toc2001125648_WPSOffice_Level1"/>
      <w:r>
        <w:rPr>
          <w:rFonts w:hint="eastAsia" w:ascii="黑体" w:hAnsi="黑体" w:eastAsia="黑体" w:cs="仿宋_GB2312"/>
          <w:sz w:val="32"/>
          <w:szCs w:val="32"/>
        </w:rPr>
        <w:t>一、基本情况</w:t>
      </w:r>
      <w:bookmarkEnd w:id="0"/>
      <w:bookmarkEnd w:id="1"/>
      <w:bookmarkEnd w:id="2"/>
      <w:bookmarkEnd w:id="3"/>
      <w:bookmarkEnd w:id="4"/>
      <w:bookmarkEnd w:id="5"/>
      <w:bookmarkEnd w:id="6"/>
    </w:p>
    <w:p w14:paraId="1D10FCB0">
      <w:pPr>
        <w:spacing w:line="600" w:lineRule="exact"/>
        <w:ind w:firstLine="640"/>
        <w:rPr>
          <w:rFonts w:hint="eastAsia" w:ascii="楷体_GB2312" w:hAnsi="仿宋_GB2312" w:eastAsia="楷体_GB2312" w:cs="仿宋_GB2312"/>
          <w:sz w:val="32"/>
          <w:szCs w:val="32"/>
        </w:rPr>
      </w:pPr>
      <w:bookmarkStart w:id="7" w:name="_Toc1790542049_WPSOffice_Level2"/>
      <w:bookmarkStart w:id="8" w:name="_Toc213350461_WPSOffice_Level2"/>
      <w:bookmarkStart w:id="9" w:name="_Toc2389_WPSOffice_Level2"/>
      <w:bookmarkStart w:id="10" w:name="_Toc1168537704_WPSOffice_Level2"/>
      <w:bookmarkStart w:id="11" w:name="_Toc1981292756_WPSOffice_Level2"/>
      <w:bookmarkStart w:id="12" w:name="_Toc1822672566_WPSOffice_Level2"/>
      <w:bookmarkStart w:id="13" w:name="_Toc1397353345_WPSOffice_Level2"/>
      <w:r>
        <w:rPr>
          <w:rFonts w:hint="eastAsia" w:ascii="楷体_GB2312" w:hAnsi="仿宋_GB2312" w:eastAsia="楷体_GB2312" w:cs="仿宋_GB2312"/>
          <w:sz w:val="32"/>
          <w:szCs w:val="32"/>
        </w:rPr>
        <w:t>（一）事故发生单位</w:t>
      </w:r>
      <w:bookmarkEnd w:id="7"/>
      <w:bookmarkEnd w:id="8"/>
      <w:bookmarkEnd w:id="9"/>
      <w:bookmarkEnd w:id="10"/>
      <w:r>
        <w:rPr>
          <w:rFonts w:hint="eastAsia" w:ascii="楷体_GB2312" w:hAnsi="仿宋_GB2312" w:eastAsia="楷体_GB2312" w:cs="仿宋_GB2312"/>
          <w:sz w:val="32"/>
          <w:szCs w:val="32"/>
        </w:rPr>
        <w:t>及相关单位</w:t>
      </w:r>
      <w:bookmarkEnd w:id="11"/>
      <w:bookmarkEnd w:id="12"/>
      <w:r>
        <w:rPr>
          <w:rFonts w:hint="eastAsia" w:ascii="楷体_GB2312" w:hAnsi="仿宋_GB2312" w:eastAsia="楷体_GB2312" w:cs="仿宋_GB2312"/>
          <w:sz w:val="32"/>
          <w:szCs w:val="32"/>
        </w:rPr>
        <w:t>概况</w:t>
      </w:r>
      <w:bookmarkEnd w:id="13"/>
    </w:p>
    <w:p w14:paraId="075AED6D">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1.管线整理施工单位：天津市滨海新区塘沽韩胜武机械租赁服务中心（以下简称韩胜武机械租赁服务中心）</w:t>
      </w:r>
    </w:p>
    <w:p w14:paraId="1DBD26A6">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韩胜武机械租赁服务中心成立于2013年7月1日，经营者：韩</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，统一社会信用代码：92120116L59786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，类型：个体工商户，经营场所：天津市滨海新区塘沽水景花都12-S23，</w:t>
      </w:r>
      <w:bookmarkStart w:id="14" w:name="_Toc1167431158_WPSOffice_Level2"/>
      <w:bookmarkStart w:id="15" w:name="_Toc762933281_WPSOffice_Level2"/>
      <w:bookmarkStart w:id="16" w:name="_Toc272725889_WPSOffice_Level2"/>
      <w:bookmarkStart w:id="17" w:name="_Toc25634_WPSOffice_Level2"/>
      <w:bookmarkStart w:id="18" w:name="_Toc1891963020_WPSOffice_Level2"/>
      <w:bookmarkStart w:id="19" w:name="_Toc826345355_WPSOffice_Level2"/>
      <w:r>
        <w:rPr>
          <w:rFonts w:hint="eastAsia" w:ascii="仿宋_GB2312" w:hAnsi="仿宋_GB2312" w:eastAsia="仿宋_GB2312" w:cs="仿宋_GB2312"/>
          <w:sz w:val="32"/>
          <w:szCs w:val="32"/>
        </w:rPr>
        <w:t>经营范围包括机械设备租赁、汽车租赁；劳务服务；建筑材料批发兼零售。</w:t>
      </w:r>
    </w:p>
    <w:p w14:paraId="6DC963A7">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2.管线整理发包单位：长江南京航道工程局</w:t>
      </w:r>
    </w:p>
    <w:p w14:paraId="1409E057">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长江南京航道工程局成立于1996年8月15日，注册地位于南京市浦口区临滁路28号，法定代表人为朱</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。统一社会信用代码：91320100249689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注册资本：149000万元，类型：全民所有制。经营范围包括许可项目：建设工程施工；测绘服务；港口经营；建筑劳务分包；建设工程设计；水路普通货物运输。一般项目：工程管理服务；土地整治服务；租赁服务；住房租赁；信息咨询服务等。</w:t>
      </w:r>
    </w:p>
    <w:p w14:paraId="06E8926F">
      <w:pPr>
        <w:spacing w:line="600" w:lineRule="exact"/>
        <w:ind w:firstLine="640"/>
        <w:rPr>
          <w:rFonts w:ascii="楷体_GB2312" w:hAnsi="仿宋_GB2312" w:eastAsia="楷体_GB2312" w:cs="仿宋_GB2312"/>
          <w:sz w:val="32"/>
          <w:szCs w:val="32"/>
        </w:rPr>
      </w:pPr>
      <w:bookmarkStart w:id="20" w:name="_Toc331409551_WPSOffice_Level2"/>
      <w:r>
        <w:rPr>
          <w:rFonts w:hint="eastAsia" w:ascii="楷体_GB2312" w:hAnsi="仿宋_GB2312" w:eastAsia="楷体_GB2312" w:cs="仿宋_GB2312"/>
          <w:sz w:val="32"/>
          <w:szCs w:val="32"/>
        </w:rPr>
        <w:t>（二）合同签订情况</w:t>
      </w:r>
      <w:bookmarkEnd w:id="14"/>
      <w:bookmarkEnd w:id="15"/>
      <w:bookmarkEnd w:id="20"/>
    </w:p>
    <w:p w14:paraId="6BE24FC9">
      <w:pPr>
        <w:spacing w:line="600" w:lineRule="exact"/>
        <w:ind w:firstLine="640"/>
        <w:rPr>
          <w:rFonts w:ascii="仿宋_GB2312" w:hAnsi="仿宋_GB2312" w:eastAsia="仿宋_GB2312" w:cs="仿宋_GB2312"/>
          <w:sz w:val="32"/>
          <w:szCs w:val="32"/>
        </w:rPr>
      </w:pPr>
      <w:bookmarkStart w:id="21" w:name="_Toc268587141_WPSOffice_Level2"/>
      <w:bookmarkStart w:id="22" w:name="_Toc1654527109_WPSOffice_Level2"/>
      <w:r>
        <w:rPr>
          <w:rFonts w:hint="eastAsia" w:ascii="仿宋_GB2312" w:hAnsi="仿宋_GB2312" w:eastAsia="仿宋_GB2312" w:cs="仿宋_GB2312"/>
          <w:sz w:val="32"/>
          <w:szCs w:val="32"/>
        </w:rPr>
        <w:t>2026年2月28日，长江南京航道工程局与韩胜武机械租赁服务中心签订《管线整理服务合同》，项目名称为：盘锦港东大堤管线整理，项目地点：盘锦港东大堤。服务范围及主要内容包括甲方安排的管线作业项目，包括但不限于以下内容：在甲方规定时间内对管线及所有管线配件按单件整理、测厚和分类，并按管线技术标准A、B、C、D类进行有序堆放；对螺栓、橡胶垫片、快速接头和钢丝绳等物资进行保养、分类和分装；按甲方要求做好现场清理；完成甲方指定的其他工作任务。同时双方签订了《安全管理协议书》。</w:t>
      </w:r>
    </w:p>
    <w:p w14:paraId="5F297A31">
      <w:pPr>
        <w:spacing w:line="600" w:lineRule="exact"/>
        <w:ind w:firstLine="640"/>
        <w:rPr>
          <w:rFonts w:hint="eastAsia" w:ascii="楷体_GB2312" w:hAnsi="仿宋_GB2312" w:eastAsia="楷体_GB2312" w:cs="仿宋_GB2312"/>
          <w:sz w:val="32"/>
          <w:szCs w:val="32"/>
        </w:rPr>
      </w:pPr>
      <w:bookmarkStart w:id="23" w:name="_Toc1646451528_WPSOffice_Level2"/>
      <w:r>
        <w:rPr>
          <w:rFonts w:hint="eastAsia" w:ascii="楷体_GB2312" w:hAnsi="仿宋_GB2312" w:eastAsia="楷体_GB2312" w:cs="仿宋_GB2312"/>
          <w:sz w:val="32"/>
          <w:szCs w:val="32"/>
        </w:rPr>
        <w:t>（三）事故发生单位安全管理情况</w:t>
      </w:r>
      <w:bookmarkEnd w:id="16"/>
      <w:bookmarkEnd w:id="17"/>
      <w:bookmarkEnd w:id="18"/>
      <w:bookmarkEnd w:id="19"/>
      <w:bookmarkEnd w:id="21"/>
      <w:bookmarkEnd w:id="22"/>
      <w:bookmarkEnd w:id="23"/>
    </w:p>
    <w:p w14:paraId="4F66D85C">
      <w:pPr>
        <w:spacing w:line="600" w:lineRule="exact"/>
        <w:ind w:firstLine="640"/>
        <w:rPr>
          <w:rFonts w:ascii="楷体_GB2312" w:hAnsi="仿宋_GB2312" w:eastAsia="楷体_GB2312" w:cs="仿宋_GB2312"/>
          <w:sz w:val="32"/>
          <w:szCs w:val="32"/>
        </w:rPr>
      </w:pPr>
      <w:r>
        <w:rPr>
          <w:rFonts w:hint="eastAsia" w:ascii="仿宋_GB2312" w:hAnsi="仿宋_GB2312" w:eastAsia="仿宋_GB2312" w:cs="仿宋_GB2312"/>
          <w:sz w:val="32"/>
          <w:szCs w:val="32"/>
        </w:rPr>
        <w:t>1.管线整理作业流程</w:t>
      </w:r>
    </w:p>
    <w:p w14:paraId="5B1EC73E">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（1）管线拖带上岸→RFID信息巡检→拆除管线法兰螺栓→腾出拆除点作业空间→再将另一管线拖带上岸，流水作业。</w:t>
      </w:r>
    </w:p>
    <w:p w14:paraId="40A6AD43">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（2）对待整理管线进行测厚及状态鉴定→RFID信息录入→油漆标注→使用夹管车运离拆除点→分区集中堆垛，流水作业。</w:t>
      </w:r>
    </w:p>
    <w:p w14:paraId="1D98854E">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2.安全管理情况</w:t>
      </w:r>
    </w:p>
    <w:p w14:paraId="4D34FCEF">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长江南京航道工程局建立了安全生产责任制、安全教育培训制度等安全生产规章制度，制定了《管线作业指导书》及管线作业“五十条”规定，2026年2月28日，长江南京航道工程局与韩胜武机械租赁服务中心签订《管线整理服务合同》，并委派</w:t>
      </w: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作为施工现场负责人负责对乙方的安全工作进行监督、指导和检查。2026年3月5日，长江南京航道工程局对</w:t>
      </w: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及两名管线员进行了安全技术交底，告知了管线整理作业的安全风险点、安全操作规程、安全注意事项等，并签订了《安全技术交底通知单》，同时签订了《管线作业人员岗位安全风险告知书》，明确告知其岗位主要安全风险、易导致的事故伤害及安全防范措施。施工作业前，</w:t>
      </w: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对韩胜武机械租赁服务中心作业队全体作业人员进行了教育培训和安全技术交底，明确了作业流程、安全操作规程、安全风险及应急处置措施，并签订了培训交底记录和风险告知记录。长江南京航道工程局与韩胜武机械租赁服务中心签订了《安全管理协议书》，明确了安全管理要求。</w:t>
      </w:r>
    </w:p>
    <w:p w14:paraId="092075F3">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韩胜武机械租赁服务中心制定了《东大堤管线整理作业方案》《挖掘机安全操作规程》，韩</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作为该单位主要负责人及现场安全管理人员，负责施工现场安全管理。开工前，韩</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对作业人员开展安全技术交底、安全教育培训组织考核并发放劳动防护用品，施工现场设置了安全警示锥桶。韩胜武机械租赁服务中心安全生产主体责任落实不到位，主要表现为《管线作业人员岗位安全风险告知书》明确了管线作业时人员站位风险，防范措施要求落实专人监管，但事故发生时韩</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未在岗履职，未落实专人现场监管要求，现场安全管理缺失，未能及时发现和制止人员进入机械作业区域的安全隐患，从业人员安全教育培训不到位，未结合管线作业风险进行针对性培训，作业人员风险辨识能力不足。</w:t>
      </w:r>
    </w:p>
    <w:p w14:paraId="00C91869">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3.持证情况</w:t>
      </w:r>
    </w:p>
    <w:p w14:paraId="39171A6B">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杨X</w:t>
      </w:r>
      <w:r>
        <w:rPr>
          <w:rFonts w:hint="eastAsia" w:ascii="仿宋_GB2312" w:hAnsi="仿宋_GB2312" w:eastAsia="仿宋_GB2312" w:cs="仿宋_GB2312"/>
          <w:sz w:val="32"/>
          <w:szCs w:val="32"/>
        </w:rPr>
        <w:t>，持有挖掘机操作证，作业项目：挖掘机操作，发证日期：2026年2月21日。</w:t>
      </w:r>
    </w:p>
    <w:p w14:paraId="05CACC4B">
      <w:pPr>
        <w:spacing w:line="600" w:lineRule="exact"/>
        <w:ind w:firstLine="640"/>
        <w:rPr>
          <w:rFonts w:ascii="楷体_GB2312" w:hAnsi="仿宋_GB2312" w:eastAsia="楷体_GB2312" w:cs="仿宋_GB2312"/>
          <w:sz w:val="32"/>
          <w:szCs w:val="32"/>
        </w:rPr>
      </w:pPr>
      <w:bookmarkStart w:id="24" w:name="_Toc857220399_WPSOffice_Level2"/>
      <w:bookmarkStart w:id="25" w:name="_Toc664296789_WPSOffice_Level2"/>
      <w:bookmarkStart w:id="26" w:name="_Toc1237954157_WPSOffice_Level2"/>
      <w:bookmarkStart w:id="27" w:name="_Toc1880177543_WPSOffice_Level2"/>
      <w:bookmarkStart w:id="28" w:name="_Toc1594361081_WPSOffice_Level2"/>
      <w:bookmarkStart w:id="29" w:name="_Toc863071059_WPSOffice_Level2"/>
      <w:bookmarkStart w:id="30" w:name="_Toc31309_WPSOffice_Level2"/>
      <w:r>
        <w:rPr>
          <w:rFonts w:hint="eastAsia" w:ascii="楷体_GB2312" w:hAnsi="仿宋_GB2312" w:eastAsia="楷体_GB2312" w:cs="仿宋_GB2312"/>
          <w:sz w:val="32"/>
          <w:szCs w:val="32"/>
        </w:rPr>
        <w:t>（四）事故发生经过</w:t>
      </w:r>
      <w:bookmarkEnd w:id="24"/>
      <w:bookmarkEnd w:id="25"/>
      <w:bookmarkEnd w:id="26"/>
      <w:bookmarkEnd w:id="27"/>
      <w:bookmarkEnd w:id="28"/>
      <w:bookmarkEnd w:id="29"/>
      <w:bookmarkEnd w:id="30"/>
    </w:p>
    <w:p w14:paraId="76380253">
      <w:pPr>
        <w:spacing w:line="600" w:lineRule="exact"/>
        <w:ind w:firstLine="640"/>
        <w:rPr>
          <w:rFonts w:ascii="仿宋_GB2312" w:hAnsi="仿宋_GB2312" w:eastAsia="仿宋_GB2312" w:cs="仿宋_GB2312"/>
          <w:sz w:val="32"/>
          <w:szCs w:val="32"/>
        </w:rPr>
      </w:pPr>
      <w:bookmarkStart w:id="31" w:name="_Toc24360_WPSOffice_Level2"/>
      <w:bookmarkStart w:id="32" w:name="_Toc269680513_WPSOffice_Level2"/>
      <w:bookmarkStart w:id="33" w:name="_Toc1200742764_WPSOffice_Level2"/>
      <w:bookmarkStart w:id="34" w:name="_Toc345279534_WPSOffice_Level2"/>
      <w:bookmarkStart w:id="35" w:name="_Toc1780163496_WPSOffice_Level2"/>
      <w:bookmarkStart w:id="36" w:name="_Toc280138500_WPSOffice_Level2"/>
      <w:r>
        <w:rPr>
          <w:rFonts w:hint="eastAsia" w:ascii="仿宋_GB2312" w:hAnsi="仿宋_GB2312" w:eastAsia="仿宋_GB2312" w:cs="仿宋_GB2312"/>
          <w:sz w:val="32"/>
          <w:szCs w:val="32"/>
        </w:rPr>
        <w:t>2026年3月28日，韩胜武机械租赁服务中心作业队开展管线整理施工作业，</w:t>
      </w:r>
      <w:r>
        <w:rPr>
          <w:rFonts w:hint="eastAsia" w:ascii="仿宋_GB2312" w:hAnsi="仿宋_GB2312" w:eastAsia="仿宋_GB2312" w:cs="仿宋_GB2312"/>
          <w:sz w:val="32"/>
          <w:szCs w:val="32"/>
          <w:lang w:eastAsia="zh-CN"/>
        </w:rPr>
        <w:t>杨X</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刘XX</w:t>
      </w:r>
      <w:r>
        <w:rPr>
          <w:rFonts w:hint="eastAsia" w:ascii="仿宋_GB2312" w:hAnsi="仿宋_GB2312" w:eastAsia="仿宋_GB2312" w:cs="仿宋_GB2312"/>
          <w:sz w:val="32"/>
          <w:szCs w:val="32"/>
        </w:rPr>
        <w:t>分别操作两台挖掘机，先将管线拖拽至地面作业区域，再由辅助作业人员按流程拆除管线法兰螺栓，螺栓拆卸完成后，司机操作挖掘机将已拆完的管线依次向前推移，腾出场地用于后续管线拖运和整理作业空间。</w:t>
      </w:r>
    </w:p>
    <w:p w14:paraId="5AB6C9A9">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13时01分57秒，作业人员完成了拖拽上岸的三根管线螺栓拆卸工作；（三根管线序号见图一）</w:t>
      </w:r>
    </w:p>
    <w:p w14:paraId="4B5570D9">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13时02分至13时02分13秒，</w:t>
      </w:r>
      <w:r>
        <w:rPr>
          <w:rFonts w:hint="eastAsia" w:ascii="仿宋_GB2312" w:hAnsi="仿宋_GB2312" w:eastAsia="仿宋_GB2312" w:cs="仿宋_GB2312"/>
          <w:sz w:val="32"/>
          <w:szCs w:val="32"/>
          <w:lang w:eastAsia="zh-CN"/>
        </w:rPr>
        <w:t>杨X</w:t>
      </w:r>
      <w:r>
        <w:rPr>
          <w:rFonts w:hint="eastAsia" w:ascii="仿宋_GB2312" w:hAnsi="仿宋_GB2312" w:eastAsia="仿宋_GB2312" w:cs="仿宋_GB2312"/>
          <w:sz w:val="32"/>
          <w:szCs w:val="32"/>
        </w:rPr>
        <w:t>驾驶挖掘机行驶至三根管线后方，在此期间，施工现场负责人</w:t>
      </w: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从3号管线右侧步行至1号管线右侧，全程背对挖掘机；</w:t>
      </w:r>
    </w:p>
    <w:p w14:paraId="44CFA52F">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13时02分14秒至13时02分18秒，</w:t>
      </w:r>
      <w:r>
        <w:rPr>
          <w:rFonts w:hint="eastAsia" w:ascii="仿宋_GB2312" w:hAnsi="仿宋_GB2312" w:eastAsia="仿宋_GB2312" w:cs="仿宋_GB2312"/>
          <w:sz w:val="32"/>
          <w:szCs w:val="32"/>
          <w:lang w:eastAsia="zh-CN"/>
        </w:rPr>
        <w:t>杨X</w:t>
      </w:r>
      <w:r>
        <w:rPr>
          <w:rFonts w:hint="eastAsia" w:ascii="仿宋_GB2312" w:hAnsi="仿宋_GB2312" w:eastAsia="仿宋_GB2312" w:cs="仿宋_GB2312"/>
          <w:sz w:val="32"/>
          <w:szCs w:val="32"/>
        </w:rPr>
        <w:t>操作挖掘机将车头由南向东调转使挖掘机铲斗正对管线，</w:t>
      </w:r>
      <w:r>
        <w:rPr>
          <w:rFonts w:hint="eastAsia" w:ascii="仿宋_GB2312" w:hAnsi="仿宋_GB2312" w:eastAsia="仿宋_GB2312" w:cs="仿宋_GB2312"/>
          <w:sz w:val="32"/>
          <w:szCs w:val="32"/>
          <w:lang w:eastAsia="zh-CN"/>
        </w:rPr>
        <w:t>杨X</w:t>
      </w:r>
      <w:r>
        <w:rPr>
          <w:rFonts w:hint="eastAsia" w:ascii="仿宋_GB2312" w:hAnsi="仿宋_GB2312" w:eastAsia="仿宋_GB2312" w:cs="仿宋_GB2312"/>
          <w:sz w:val="32"/>
          <w:szCs w:val="32"/>
        </w:rPr>
        <w:t>在调转过程中鸣笛示意，先后观察了挖掘机驾驶室右侧和左侧情况；</w:t>
      </w:r>
    </w:p>
    <w:p w14:paraId="4C3336D3">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13时02分19秒，</w:t>
      </w:r>
      <w:r>
        <w:rPr>
          <w:rFonts w:hint="eastAsia" w:ascii="仿宋_GB2312" w:hAnsi="仿宋_GB2312" w:eastAsia="仿宋_GB2312" w:cs="仿宋_GB2312"/>
          <w:sz w:val="32"/>
          <w:szCs w:val="32"/>
          <w:lang w:eastAsia="zh-CN"/>
        </w:rPr>
        <w:t>杨X</w:t>
      </w:r>
      <w:r>
        <w:rPr>
          <w:rFonts w:hint="eastAsia" w:ascii="仿宋_GB2312" w:hAnsi="仿宋_GB2312" w:eastAsia="仿宋_GB2312" w:cs="仿宋_GB2312"/>
          <w:sz w:val="32"/>
          <w:szCs w:val="32"/>
        </w:rPr>
        <w:t>操控铲斗向前推送1号管线（橡胶管），管线从</w:t>
      </w: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身旁经过，</w:t>
      </w: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背对挖掘机未避让；</w:t>
      </w:r>
    </w:p>
    <w:p w14:paraId="58B1F01C">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13时02分31秒，</w:t>
      </w:r>
      <w:r>
        <w:rPr>
          <w:rFonts w:hint="eastAsia" w:ascii="仿宋_GB2312" w:hAnsi="仿宋_GB2312" w:eastAsia="仿宋_GB2312" w:cs="仿宋_GB2312"/>
          <w:sz w:val="32"/>
          <w:szCs w:val="32"/>
          <w:lang w:eastAsia="zh-CN"/>
        </w:rPr>
        <w:t>杨X</w:t>
      </w:r>
      <w:r>
        <w:rPr>
          <w:rFonts w:hint="eastAsia" w:ascii="仿宋_GB2312" w:hAnsi="仿宋_GB2312" w:eastAsia="仿宋_GB2312" w:cs="仿宋_GB2312"/>
          <w:sz w:val="32"/>
          <w:szCs w:val="32"/>
        </w:rPr>
        <w:t>推送2号管线（钢管），管线右端与</w:t>
      </w: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身体发生碰撞，将其撞倒并碾压；</w:t>
      </w:r>
    </w:p>
    <w:p w14:paraId="35E15EB9">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13时02分43秒，</w:t>
      </w:r>
      <w:r>
        <w:rPr>
          <w:rFonts w:hint="eastAsia" w:ascii="仿宋_GB2312" w:hAnsi="仿宋_GB2312" w:eastAsia="仿宋_GB2312" w:cs="仿宋_GB2312"/>
          <w:sz w:val="32"/>
          <w:szCs w:val="32"/>
          <w:lang w:eastAsia="zh-CN"/>
        </w:rPr>
        <w:t>杨X</w:t>
      </w:r>
      <w:r>
        <w:rPr>
          <w:rFonts w:hint="eastAsia" w:ascii="仿宋_GB2312" w:hAnsi="仿宋_GB2312" w:eastAsia="仿宋_GB2312" w:cs="仿宋_GB2312"/>
          <w:sz w:val="32"/>
          <w:szCs w:val="32"/>
        </w:rPr>
        <w:t>继续操作挖掘机推送3号管线（钢管），推送完3号管线后，现场作业人员</w:t>
      </w:r>
      <w:r>
        <w:rPr>
          <w:rFonts w:hint="eastAsia" w:ascii="仿宋_GB2312" w:hAnsi="仿宋_GB2312" w:eastAsia="仿宋_GB2312" w:cs="仿宋_GB2312"/>
          <w:sz w:val="32"/>
          <w:szCs w:val="32"/>
          <w:lang w:eastAsia="zh-CN"/>
        </w:rPr>
        <w:t>孟XX</w:t>
      </w:r>
      <w:r>
        <w:rPr>
          <w:rFonts w:hint="eastAsia" w:ascii="仿宋_GB2312" w:hAnsi="仿宋_GB2312" w:eastAsia="仿宋_GB2312" w:cs="仿宋_GB2312"/>
          <w:sz w:val="32"/>
          <w:szCs w:val="32"/>
        </w:rPr>
        <w:t>发现情况并呼喊，周边人员立即停止工作上前查看，发现</w:t>
      </w: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趴在地上，</w:t>
      </w:r>
      <w:r>
        <w:rPr>
          <w:rFonts w:hint="eastAsia" w:ascii="仿宋_GB2312" w:hAnsi="仿宋_GB2312" w:eastAsia="仿宋_GB2312" w:cs="仿宋_GB2312"/>
          <w:sz w:val="32"/>
          <w:szCs w:val="32"/>
          <w:lang w:eastAsia="zh-CN"/>
        </w:rPr>
        <w:t>刘XX</w:t>
      </w:r>
      <w:r>
        <w:rPr>
          <w:rFonts w:hint="eastAsia" w:ascii="仿宋_GB2312" w:hAnsi="仿宋_GB2312" w:eastAsia="仿宋_GB2312" w:cs="仿宋_GB2312"/>
          <w:sz w:val="32"/>
          <w:szCs w:val="32"/>
        </w:rPr>
        <w:t>随即拨打120急救电话。盘锦市人民医院救护车抵达事故现场，医护人员立即对</w:t>
      </w: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进行现场抢救，经检查确认，</w:t>
      </w: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已当场死亡。</w:t>
      </w:r>
    </w:p>
    <w:p w14:paraId="74D04E79">
      <w:pPr>
        <w:spacing w:line="600" w:lineRule="exact"/>
        <w:ind w:firstLine="640"/>
        <w:rPr>
          <w:rFonts w:ascii="仿宋_GB2312" w:hAnsi="仿宋_GB2312" w:eastAsia="仿宋_GB2312" w:cs="仿宋_GB2312"/>
          <w:sz w:val="32"/>
          <w:szCs w:val="32"/>
        </w:rPr>
      </w:pPr>
      <w:bookmarkStart w:id="37" w:name="_Toc2061597680_WPSOffice_Level2"/>
      <w:r>
        <w:rPr>
          <w:rFonts w:hint="eastAsia" w:ascii="楷体_GB2312" w:hAnsi="仿宋_GB2312" w:eastAsia="楷体_GB2312" w:cs="仿宋_GB2312"/>
          <w:sz w:val="32"/>
          <w:szCs w:val="32"/>
        </w:rPr>
        <w:t>（五）事故现场及勘验情况</w:t>
      </w:r>
      <w:bookmarkEnd w:id="31"/>
      <w:bookmarkEnd w:id="32"/>
      <w:bookmarkEnd w:id="33"/>
      <w:bookmarkEnd w:id="34"/>
      <w:bookmarkEnd w:id="35"/>
      <w:bookmarkEnd w:id="36"/>
      <w:bookmarkEnd w:id="37"/>
    </w:p>
    <w:p w14:paraId="09F8F9BF">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现场位于盘锦市辽滨开发区盘锦港东大堤管线整理施工工地，该工地北侧为盘锦港港区，西侧为昆仑路南段，南侧为渤海海域，东侧为空地及金帛湾。中心现场位于该施工工地海边施工区域，该区域为海岸线北侧土路便道上，现场南北方向并排放置三根管道，东侧一根为橡胶管、西侧两根为钢管,三根管道西侧有两台挖掘机，中间的管道比西侧的管道向南侧海域突出3米，在中间管道南侧突出的部分与西侧管道南端之间的地面上发现一具男性尸体，头北脚南俯卧位趴在地面上，头戴红色安全帽,左脚鞋脱落,头部见钝性损伤。</w:t>
      </w:r>
    </w:p>
    <w:p w14:paraId="5809C99E">
      <w:pPr>
        <w:pStyle w:val="14"/>
        <w:ind w:left="0" w:leftChars="0" w:firstLine="0" w:firstLineChars="0"/>
        <w:jc w:val="center"/>
        <w:rPr>
          <w:rFonts w:hAnsi="宋体"/>
          <w:spacing w:val="-12"/>
          <w:szCs w:val="32"/>
        </w:rPr>
      </w:pPr>
      <w:r>
        <w:rPr>
          <w:rFonts w:hint="eastAsia" w:hAnsi="宋体"/>
          <w:spacing w:val="-12"/>
          <w:szCs w:val="32"/>
        </w:rPr>
        <w:drawing>
          <wp:inline distT="0" distB="0" distL="114300" distR="114300">
            <wp:extent cx="4055745" cy="2540635"/>
            <wp:effectExtent l="0" t="0" r="1905" b="12065"/>
            <wp:docPr id="5" name="图片 1" descr="C:/Users/Administrator/Desktop/微信图片_20260724152828_2_434.jpg微信图片_20260724152828_2_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C:/Users/Administrator/Desktop/微信图片_20260724152828_2_434.jpg微信图片_20260724152828_2_434"/>
                    <pic:cNvPicPr>
                      <a:picLocks noChangeAspect="1"/>
                    </pic:cNvPicPr>
                  </pic:nvPicPr>
                  <pic:blipFill>
                    <a:blip r:embed="rId6"/>
                    <a:srcRect t="10850" b="10850"/>
                    <a:stretch>
                      <a:fillRect/>
                    </a:stretch>
                  </pic:blipFill>
                  <pic:spPr>
                    <a:xfrm>
                      <a:off x="0" y="0"/>
                      <a:ext cx="4055745" cy="2540635"/>
                    </a:xfrm>
                    <a:prstGeom prst="rect">
                      <a:avLst/>
                    </a:prstGeom>
                    <a:noFill/>
                    <a:ln>
                      <a:noFill/>
                    </a:ln>
                  </pic:spPr>
                </pic:pic>
              </a:graphicData>
            </a:graphic>
          </wp:inline>
        </w:drawing>
      </w:r>
    </w:p>
    <w:p w14:paraId="08A0E7F9">
      <w:pPr>
        <w:pStyle w:val="7"/>
        <w:jc w:val="center"/>
        <w:rPr>
          <w:rFonts w:hAnsi="宋体"/>
          <w:spacing w:val="-12"/>
          <w:sz w:val="28"/>
          <w:szCs w:val="28"/>
        </w:rPr>
      </w:pPr>
      <w:r>
        <w:rPr>
          <w:rFonts w:hint="eastAsia" w:hAnsi="宋体"/>
          <w:spacing w:val="-12"/>
          <w:sz w:val="28"/>
          <w:szCs w:val="28"/>
        </w:rPr>
        <w:t>图一 现场平面图</w:t>
      </w:r>
    </w:p>
    <w:p w14:paraId="34516984">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事故现场三根管线：1号管线为橡胶管，管径900mm，长度11800mm，重量8T，2号和3号管线为钢管，管径900mm，长度11800mm，重量5.61T。</w:t>
      </w:r>
    </w:p>
    <w:p w14:paraId="24AE771E">
      <w:pPr>
        <w:spacing w:line="600" w:lineRule="exact"/>
        <w:ind w:firstLine="640"/>
        <w:rPr>
          <w:rFonts w:ascii="楷体_GB2312" w:hAnsi="仿宋_GB2312" w:eastAsia="楷体_GB2312" w:cs="仿宋_GB2312"/>
          <w:sz w:val="32"/>
          <w:szCs w:val="32"/>
        </w:rPr>
      </w:pPr>
      <w:bookmarkStart w:id="38" w:name="_Toc1476288286_WPSOffice_Level2"/>
      <w:bookmarkStart w:id="39" w:name="_Toc456094893_WPSOffice_Level2"/>
      <w:bookmarkStart w:id="40" w:name="_Toc737399754_WPSOffice_Level2"/>
      <w:bookmarkStart w:id="41" w:name="_Toc2128924194_WPSOffice_Level2"/>
      <w:bookmarkStart w:id="42" w:name="_Toc1912173030_WPSOffice_Level2"/>
      <w:bookmarkStart w:id="43" w:name="_Toc1509853760_WPSOffice_Level2"/>
      <w:bookmarkStart w:id="44" w:name="_Toc6196_WPSOffice_Level2"/>
      <w:r>
        <w:rPr>
          <w:rFonts w:hint="eastAsia" w:ascii="楷体_GB2312" w:hAnsi="仿宋_GB2312" w:eastAsia="楷体_GB2312" w:cs="仿宋_GB2312"/>
          <w:sz w:val="32"/>
          <w:szCs w:val="32"/>
        </w:rPr>
        <w:t>（六）人员伤亡和直接经济损失情况</w:t>
      </w:r>
      <w:bookmarkEnd w:id="38"/>
      <w:bookmarkEnd w:id="39"/>
      <w:bookmarkEnd w:id="40"/>
      <w:bookmarkEnd w:id="41"/>
      <w:bookmarkEnd w:id="42"/>
      <w:bookmarkEnd w:id="43"/>
      <w:bookmarkEnd w:id="44"/>
    </w:p>
    <w:p w14:paraId="66FAC12E">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事故造成1人死亡：</w:t>
      </w:r>
    </w:p>
    <w:p w14:paraId="19E6A27D">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，男，1976年4月出生，户籍地址：南京市化学工业园区健民路。</w:t>
      </w:r>
    </w:p>
    <w:p w14:paraId="5D25608C">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根据《企业职工伤亡事故经济损失统计标准》（GB/T6721-1986）核定，该起事故造成的直接经济损失约139万元。</w:t>
      </w:r>
    </w:p>
    <w:p w14:paraId="52491640">
      <w:pPr>
        <w:spacing w:line="600" w:lineRule="exact"/>
        <w:ind w:firstLine="640"/>
        <w:rPr>
          <w:rFonts w:ascii="黑体" w:hAnsi="黑体" w:eastAsia="黑体" w:cs="仿宋_GB2312"/>
          <w:sz w:val="32"/>
          <w:szCs w:val="32"/>
        </w:rPr>
      </w:pPr>
      <w:bookmarkStart w:id="45" w:name="_Toc1938214648_WPSOffice_Level1"/>
      <w:bookmarkStart w:id="46" w:name="_Toc350913650_WPSOffice_Level1"/>
      <w:bookmarkStart w:id="47" w:name="_Toc125915182_WPSOffice_Level1"/>
      <w:bookmarkStart w:id="48" w:name="_Toc1237475048_WPSOffice_Level1"/>
      <w:bookmarkStart w:id="49" w:name="_Toc1322898189_WPSOffice_Level1"/>
      <w:bookmarkStart w:id="50" w:name="_Toc1026541232_WPSOffice_Level1"/>
      <w:bookmarkStart w:id="51" w:name="_Toc2352_WPSOffice_Level1"/>
      <w:r>
        <w:rPr>
          <w:rFonts w:hint="eastAsia" w:ascii="黑体" w:hAnsi="黑体" w:eastAsia="黑体" w:cs="仿宋_GB2312"/>
          <w:sz w:val="32"/>
          <w:szCs w:val="32"/>
        </w:rPr>
        <w:t>二、事故应急处置及评估情况</w:t>
      </w:r>
      <w:bookmarkEnd w:id="45"/>
      <w:bookmarkEnd w:id="46"/>
      <w:bookmarkEnd w:id="47"/>
      <w:bookmarkEnd w:id="48"/>
      <w:bookmarkEnd w:id="49"/>
      <w:bookmarkEnd w:id="50"/>
      <w:bookmarkEnd w:id="51"/>
    </w:p>
    <w:p w14:paraId="66D9E889">
      <w:pPr>
        <w:spacing w:line="600" w:lineRule="exact"/>
        <w:ind w:firstLine="640"/>
        <w:rPr>
          <w:rFonts w:ascii="楷体_GB2312" w:hAnsi="仿宋_GB2312" w:eastAsia="楷体_GB2312" w:cs="仿宋_GB2312"/>
          <w:sz w:val="32"/>
          <w:szCs w:val="32"/>
        </w:rPr>
      </w:pPr>
      <w:bookmarkStart w:id="52" w:name="_Toc29402_WPSOffice_Level2"/>
      <w:bookmarkStart w:id="53" w:name="_Toc1198425877_WPSOffice_Level2"/>
      <w:bookmarkStart w:id="54" w:name="_Toc389860366_WPSOffice_Level2"/>
      <w:bookmarkStart w:id="55" w:name="_Toc301850746_WPSOffice_Level2"/>
      <w:bookmarkStart w:id="56" w:name="_Toc511153252_WPSOffice_Level2"/>
      <w:bookmarkStart w:id="57" w:name="_Toc1947526983_WPSOffice_Level2"/>
      <w:bookmarkStart w:id="58" w:name="_Toc347813886_WPSOffice_Level2"/>
      <w:r>
        <w:rPr>
          <w:rFonts w:hint="eastAsia" w:ascii="楷体_GB2312" w:hAnsi="仿宋_GB2312" w:eastAsia="楷体_GB2312" w:cs="仿宋_GB2312"/>
          <w:sz w:val="32"/>
          <w:szCs w:val="32"/>
        </w:rPr>
        <w:t>（一）</w:t>
      </w:r>
      <w:bookmarkEnd w:id="52"/>
      <w:bookmarkEnd w:id="53"/>
      <w:bookmarkEnd w:id="54"/>
      <w:bookmarkEnd w:id="55"/>
      <w:bookmarkEnd w:id="56"/>
      <w:bookmarkEnd w:id="57"/>
      <w:r>
        <w:rPr>
          <w:rFonts w:hint="eastAsia" w:ascii="楷体_GB2312" w:hAnsi="仿宋_GB2312" w:eastAsia="楷体_GB2312" w:cs="仿宋_GB2312"/>
          <w:sz w:val="32"/>
          <w:szCs w:val="32"/>
        </w:rPr>
        <w:t>事故信息接报、应急处置及善后处理情况</w:t>
      </w:r>
      <w:bookmarkEnd w:id="58"/>
    </w:p>
    <w:p w14:paraId="2790D3D6">
      <w:pPr>
        <w:spacing w:line="600" w:lineRule="exact"/>
        <w:ind w:firstLine="640"/>
        <w:rPr>
          <w:rFonts w:ascii="仿宋_GB2312" w:hAnsi="仿宋_GB2312" w:eastAsia="仿宋_GB2312" w:cs="仿宋_GB2312"/>
          <w:sz w:val="32"/>
          <w:szCs w:val="32"/>
        </w:rPr>
      </w:pPr>
      <w:bookmarkStart w:id="59" w:name="_Toc1284977493_WPSOffice_Level2"/>
      <w:bookmarkStart w:id="60" w:name="_Toc796662380_WPSOffice_Level2"/>
      <w:bookmarkStart w:id="61" w:name="_Toc4424_WPSOffice_Level2"/>
      <w:bookmarkStart w:id="62" w:name="_Toc935154232_WPSOffice_Level2"/>
      <w:bookmarkStart w:id="63" w:name="_Toc615840611_WPSOffice_Level2"/>
      <w:r>
        <w:rPr>
          <w:rFonts w:hint="eastAsia" w:ascii="仿宋_GB2312" w:hAnsi="仿宋_GB2312" w:eastAsia="仿宋_GB2312" w:cs="仿宋_GB2312"/>
          <w:sz w:val="32"/>
          <w:szCs w:val="32"/>
        </w:rPr>
        <w:t>事故发生后，</w:t>
      </w:r>
      <w:bookmarkStart w:id="64" w:name="_Toc1825048921_WPSOffice_Level2"/>
      <w:r>
        <w:rPr>
          <w:rFonts w:hint="eastAsia" w:ascii="仿宋_GB2312" w:hAnsi="仿宋_GB2312" w:eastAsia="仿宋_GB2312" w:cs="仿宋_GB2312"/>
          <w:sz w:val="32"/>
          <w:szCs w:val="32"/>
        </w:rPr>
        <w:t>施工现场挖掘机司机</w:t>
      </w:r>
      <w:r>
        <w:rPr>
          <w:rFonts w:hint="eastAsia" w:ascii="仿宋_GB2312" w:hAnsi="仿宋_GB2312" w:eastAsia="仿宋_GB2312" w:cs="仿宋_GB2312"/>
          <w:sz w:val="32"/>
          <w:szCs w:val="32"/>
          <w:lang w:eastAsia="zh-CN"/>
        </w:rPr>
        <w:t>刘XX</w:t>
      </w:r>
      <w:r>
        <w:rPr>
          <w:rFonts w:hint="eastAsia" w:ascii="仿宋_GB2312" w:hAnsi="仿宋_GB2312" w:eastAsia="仿宋_GB2312" w:cs="仿宋_GB2312"/>
          <w:sz w:val="32"/>
          <w:szCs w:val="32"/>
        </w:rPr>
        <w:t>第一时间拨打120急救电话，120转警至市公安局港航分局金帛湾派出所，金帛湾派出所民警立即出警，并将情况通报相关单位，辽滨经开区应急管理部、市交通运输局、市应急局先后接到报告并立即赶赴现场进行处置,加强现场秩序维护</w:t>
      </w:r>
      <w:bookmarkEnd w:id="59"/>
      <w:bookmarkEnd w:id="60"/>
      <w:bookmarkEnd w:id="61"/>
      <w:bookmarkEnd w:id="62"/>
      <w:bookmarkEnd w:id="63"/>
      <w:bookmarkEnd w:id="64"/>
      <w:r>
        <w:rPr>
          <w:rFonts w:hint="eastAsia" w:ascii="仿宋_GB2312" w:hAnsi="仿宋_GB2312" w:eastAsia="仿宋_GB2312" w:cs="仿宋_GB2312"/>
          <w:sz w:val="32"/>
          <w:szCs w:val="32"/>
        </w:rPr>
        <w:t>，盘锦市人民医院医护人员到达现场后立即展开医疗救治，</w:t>
      </w: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经抢救无效死亡，相关单位已与遇难者家属达成赔偿协议，善后工作已处理完毕。</w:t>
      </w:r>
    </w:p>
    <w:p w14:paraId="4348FE14">
      <w:pPr>
        <w:spacing w:line="600" w:lineRule="exact"/>
        <w:ind w:firstLine="640"/>
        <w:rPr>
          <w:rFonts w:ascii="楷体_GB2312" w:hAnsi="仿宋_GB2312" w:eastAsia="楷体_GB2312" w:cs="仿宋_GB2312"/>
          <w:sz w:val="32"/>
          <w:szCs w:val="32"/>
        </w:rPr>
      </w:pPr>
      <w:bookmarkStart w:id="65" w:name="_Toc201648279_WPSOffice_Level2"/>
      <w:bookmarkStart w:id="66" w:name="_Toc979959310_WPSOffice_Level2"/>
      <w:bookmarkStart w:id="67" w:name="_Toc627634577_WPSOffice_Level2"/>
      <w:bookmarkStart w:id="68" w:name="_Toc1633902977_WPSOffice_Level2"/>
      <w:bookmarkStart w:id="69" w:name="_Toc907705443_WPSOffice_Level2"/>
      <w:bookmarkStart w:id="70" w:name="_Toc21417_WPSOffice_Level2"/>
      <w:bookmarkStart w:id="71" w:name="_Toc882731279_WPSOffice_Level2"/>
      <w:r>
        <w:rPr>
          <w:rFonts w:hint="eastAsia" w:ascii="楷体_GB2312" w:hAnsi="仿宋_GB2312" w:eastAsia="楷体_GB2312" w:cs="仿宋_GB2312"/>
          <w:sz w:val="32"/>
          <w:szCs w:val="32"/>
        </w:rPr>
        <w:t>（二）事故应急处置评估</w:t>
      </w:r>
      <w:bookmarkEnd w:id="65"/>
      <w:bookmarkEnd w:id="66"/>
      <w:bookmarkEnd w:id="67"/>
      <w:bookmarkEnd w:id="68"/>
      <w:bookmarkEnd w:id="69"/>
      <w:bookmarkEnd w:id="70"/>
      <w:bookmarkEnd w:id="71"/>
    </w:p>
    <w:p w14:paraId="4158D6EC">
      <w:pPr>
        <w:spacing w:line="600" w:lineRule="exact"/>
        <w:ind w:firstLine="640"/>
        <w:rPr>
          <w:rFonts w:ascii="仿宋_GB2312" w:hAnsi="仿宋_GB2312" w:eastAsia="仿宋_GB2312" w:cs="仿宋_GB2312"/>
          <w:sz w:val="32"/>
          <w:szCs w:val="32"/>
        </w:rPr>
      </w:pPr>
      <w:bookmarkStart w:id="72" w:name="_Toc14225249_WPSOffice_Level1"/>
      <w:bookmarkStart w:id="73" w:name="_Toc117205864_WPSOffice_Level1"/>
      <w:bookmarkStart w:id="74" w:name="_Toc1975462349_WPSOffice_Level1"/>
      <w:bookmarkStart w:id="75" w:name="_Toc31141_WPSOffice_Level1"/>
      <w:bookmarkStart w:id="76" w:name="_Toc58097451_WPSOffice_Level1"/>
      <w:bookmarkStart w:id="77" w:name="_Toc1786694963_WPSOffice_Level1"/>
      <w:r>
        <w:rPr>
          <w:rFonts w:hint="eastAsia" w:ascii="仿宋_GB2312" w:hAnsi="仿宋_GB2312" w:eastAsia="仿宋_GB2312" w:cs="仿宋_GB2312"/>
          <w:sz w:val="32"/>
          <w:szCs w:val="32"/>
        </w:rPr>
        <w:t>经评估，事故发生后，公安、应急、医疗、交通等相关部门接到警情后快速反应，各部门密切配合、协调联动，现场救援处置措施得当、分工明确，无负面舆情，应急处置评估为良好。</w:t>
      </w:r>
    </w:p>
    <w:p w14:paraId="62B4BB8F">
      <w:pPr>
        <w:spacing w:line="600" w:lineRule="exact"/>
        <w:ind w:firstLine="640"/>
        <w:rPr>
          <w:rFonts w:ascii="黑体" w:hAnsi="黑体" w:eastAsia="黑体" w:cs="仿宋_GB2312"/>
          <w:sz w:val="32"/>
          <w:szCs w:val="32"/>
        </w:rPr>
      </w:pPr>
      <w:bookmarkStart w:id="78" w:name="_Toc87398138_WPSOffice_Level1"/>
      <w:r>
        <w:rPr>
          <w:rFonts w:hint="eastAsia" w:ascii="黑体" w:hAnsi="黑体" w:eastAsia="黑体" w:cs="仿宋_GB2312"/>
          <w:sz w:val="32"/>
          <w:szCs w:val="32"/>
        </w:rPr>
        <w:t>三、事故原因分析</w:t>
      </w:r>
      <w:bookmarkEnd w:id="72"/>
      <w:bookmarkEnd w:id="73"/>
      <w:bookmarkEnd w:id="74"/>
      <w:bookmarkEnd w:id="75"/>
      <w:bookmarkEnd w:id="76"/>
      <w:bookmarkEnd w:id="77"/>
      <w:bookmarkEnd w:id="78"/>
    </w:p>
    <w:p w14:paraId="6ED76705">
      <w:pPr>
        <w:spacing w:line="600" w:lineRule="exact"/>
        <w:ind w:firstLine="640"/>
        <w:rPr>
          <w:rFonts w:ascii="楷体_GB2312" w:hAnsi="仿宋_GB2312" w:eastAsia="楷体_GB2312" w:cs="仿宋_GB2312"/>
          <w:sz w:val="32"/>
          <w:szCs w:val="32"/>
        </w:rPr>
      </w:pPr>
      <w:bookmarkStart w:id="79" w:name="_Toc1352725567_WPSOffice_Level2"/>
      <w:bookmarkStart w:id="80" w:name="_Toc1307725333_WPSOffice_Level2"/>
      <w:bookmarkStart w:id="81" w:name="_Toc25480_WPSOffice_Level2"/>
      <w:bookmarkStart w:id="82" w:name="_Toc294626371_WPSOffice_Level2"/>
      <w:bookmarkStart w:id="83" w:name="_Toc470325499_WPSOffice_Level2"/>
      <w:bookmarkStart w:id="84" w:name="_Toc1407679306_WPSOffice_Level2"/>
      <w:bookmarkStart w:id="85" w:name="_Toc1203545410_WPSOffice_Level2"/>
      <w:r>
        <w:rPr>
          <w:rFonts w:hint="eastAsia" w:ascii="楷体_GB2312" w:hAnsi="仿宋_GB2312" w:eastAsia="楷体_GB2312" w:cs="仿宋_GB2312"/>
          <w:sz w:val="32"/>
          <w:szCs w:val="32"/>
        </w:rPr>
        <w:t>（一）事故直接原因</w:t>
      </w:r>
      <w:bookmarkEnd w:id="79"/>
      <w:bookmarkEnd w:id="80"/>
      <w:bookmarkEnd w:id="81"/>
      <w:bookmarkEnd w:id="82"/>
      <w:bookmarkEnd w:id="83"/>
      <w:bookmarkEnd w:id="84"/>
      <w:bookmarkEnd w:id="85"/>
    </w:p>
    <w:p w14:paraId="0EDF3E27">
      <w:pPr>
        <w:spacing w:line="600" w:lineRule="exact"/>
        <w:ind w:firstLine="640"/>
        <w:rPr>
          <w:rFonts w:ascii="仿宋_GB2312" w:hAnsi="仿宋_GB2312" w:eastAsia="仿宋_GB2312" w:cs="仿宋_GB2312"/>
          <w:sz w:val="32"/>
          <w:szCs w:val="32"/>
        </w:rPr>
      </w:pPr>
      <w:bookmarkStart w:id="86" w:name="_Toc1023537602_WPSOffice_Level2"/>
      <w:bookmarkStart w:id="87" w:name="_Toc512414927_WPSOffice_Level2"/>
      <w:bookmarkStart w:id="88" w:name="_Toc1340780619_WPSOffice_Level2"/>
      <w:bookmarkStart w:id="89" w:name="_Toc1070709227_WPSOffice_Level2"/>
      <w:bookmarkStart w:id="90" w:name="_Toc6382_WPSOffice_Level2"/>
      <w:bookmarkStart w:id="91" w:name="_Toc1874974908_WPSOffice_Level2"/>
      <w:r>
        <w:rPr>
          <w:rFonts w:hint="eastAsia" w:ascii="仿宋_GB2312" w:hAnsi="仿宋_GB2312" w:eastAsia="仿宋_GB2312" w:cs="仿宋_GB2312"/>
          <w:sz w:val="32"/>
          <w:szCs w:val="32"/>
        </w:rPr>
        <w:t>事故的直接原因是</w:t>
      </w: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安全意识淡薄，在管线整理作业时背对挖掘机滞留于挖掘机作业区，未主动避让到安全区域；</w:t>
      </w:r>
      <w:r>
        <w:rPr>
          <w:rFonts w:hint="eastAsia" w:ascii="仿宋_GB2312" w:hAnsi="仿宋_GB2312" w:eastAsia="仿宋_GB2312" w:cs="仿宋_GB2312"/>
          <w:sz w:val="32"/>
          <w:szCs w:val="32"/>
          <w:lang w:eastAsia="zh-CN"/>
        </w:rPr>
        <w:t>杨X</w:t>
      </w:r>
      <w:r>
        <w:rPr>
          <w:rFonts w:hint="eastAsia" w:ascii="仿宋_GB2312" w:hAnsi="仿宋_GB2312" w:eastAsia="仿宋_GB2312" w:cs="仿宋_GB2312"/>
          <w:sz w:val="32"/>
          <w:szCs w:val="32"/>
        </w:rPr>
        <w:t>在操作挖掘机作业前观察不细致，未能及时发现滞留于作业区域的</w:t>
      </w: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w:t>
      </w:r>
    </w:p>
    <w:p w14:paraId="66E7FED8">
      <w:pPr>
        <w:spacing w:line="600" w:lineRule="exact"/>
        <w:ind w:firstLine="640"/>
        <w:rPr>
          <w:rFonts w:ascii="楷体_GB2312" w:hAnsi="仿宋_GB2312" w:eastAsia="楷体_GB2312" w:cs="仿宋_GB2312"/>
          <w:sz w:val="32"/>
          <w:szCs w:val="32"/>
        </w:rPr>
      </w:pPr>
      <w:bookmarkStart w:id="92" w:name="_Toc777896679_WPSOffice_Level2"/>
      <w:r>
        <w:rPr>
          <w:rFonts w:hint="eastAsia" w:ascii="楷体_GB2312" w:hAnsi="仿宋_GB2312" w:eastAsia="楷体_GB2312" w:cs="仿宋_GB2312"/>
          <w:sz w:val="32"/>
          <w:szCs w:val="32"/>
        </w:rPr>
        <w:t>（二）其他可能因素排除</w:t>
      </w:r>
      <w:bookmarkEnd w:id="86"/>
      <w:bookmarkEnd w:id="87"/>
      <w:bookmarkEnd w:id="88"/>
      <w:bookmarkEnd w:id="89"/>
      <w:bookmarkEnd w:id="90"/>
      <w:bookmarkEnd w:id="91"/>
      <w:bookmarkEnd w:id="92"/>
    </w:p>
    <w:p w14:paraId="2E21FEB4">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通过对相关人员询问、查阅资料、综合分析，排除人为故意破坏、突发灾害因素等影响。</w:t>
      </w:r>
      <w:bookmarkStart w:id="93" w:name="_Toc474335818_WPSOffice_Level2"/>
    </w:p>
    <w:p w14:paraId="6CDCC423">
      <w:pPr>
        <w:spacing w:line="600" w:lineRule="exact"/>
        <w:ind w:firstLine="640"/>
        <w:rPr>
          <w:rFonts w:ascii="楷体_GB2312" w:hAnsi="仿宋_GB2312" w:eastAsia="楷体_GB2312" w:cs="仿宋_GB2312"/>
          <w:sz w:val="32"/>
          <w:szCs w:val="32"/>
        </w:rPr>
      </w:pPr>
      <w:bookmarkStart w:id="94" w:name="_Toc1861032244_WPSOffice_Level2"/>
      <w:bookmarkStart w:id="95" w:name="_Toc1927728737_WPSOffice_Level2"/>
      <w:bookmarkStart w:id="96" w:name="_Toc22963_WPSOffice_Level2"/>
      <w:bookmarkStart w:id="97" w:name="_Toc489781024_WPSOffice_Level2"/>
      <w:bookmarkStart w:id="98" w:name="_Toc1874567806_WPSOffice_Level2"/>
      <w:bookmarkStart w:id="99" w:name="_Toc1517772360_WPSOffice_Level2"/>
      <w:r>
        <w:rPr>
          <w:rFonts w:hint="eastAsia" w:ascii="楷体_GB2312" w:hAnsi="仿宋_GB2312" w:eastAsia="楷体_GB2312" w:cs="仿宋_GB2312"/>
          <w:sz w:val="32"/>
          <w:szCs w:val="32"/>
        </w:rPr>
        <w:t>（三）事故间接原因</w:t>
      </w:r>
      <w:bookmarkEnd w:id="93"/>
      <w:bookmarkEnd w:id="94"/>
      <w:bookmarkEnd w:id="95"/>
      <w:bookmarkEnd w:id="96"/>
      <w:bookmarkEnd w:id="97"/>
      <w:bookmarkEnd w:id="98"/>
      <w:bookmarkEnd w:id="99"/>
    </w:p>
    <w:p w14:paraId="09924BA5">
      <w:pPr>
        <w:spacing w:line="600" w:lineRule="exact"/>
        <w:ind w:firstLine="640"/>
        <w:rPr>
          <w:rFonts w:ascii="仿宋_GB2312" w:hAnsi="仿宋_GB2312" w:eastAsia="仿宋_GB2312" w:cs="仿宋_GB2312"/>
          <w:sz w:val="32"/>
          <w:szCs w:val="32"/>
        </w:rPr>
      </w:pPr>
      <w:bookmarkStart w:id="100" w:name="_Toc1043611804_WPSOffice_Level1"/>
      <w:bookmarkStart w:id="101" w:name="_Toc173003730_WPSOffice_Level1"/>
      <w:bookmarkStart w:id="102" w:name="_Toc467259136_WPSOffice_Level1"/>
      <w:bookmarkStart w:id="103" w:name="_Toc12546_WPSOffice_Level1"/>
      <w:bookmarkStart w:id="104" w:name="_Toc1784233021_WPSOffice_Level1"/>
      <w:bookmarkStart w:id="105" w:name="_Toc554474692_WPSOffice_Level1"/>
      <w:r>
        <w:rPr>
          <w:rFonts w:hint="eastAsia" w:ascii="仿宋_GB2312" w:hAnsi="仿宋_GB2312" w:eastAsia="仿宋_GB2312" w:cs="仿宋_GB2312"/>
          <w:sz w:val="32"/>
          <w:szCs w:val="32"/>
        </w:rPr>
        <w:t>韩胜武机械租赁服务中心安全生产主体责任落实不到位，现场安全管理缺失，未按照风险告知要求落实管线作业专人监管，致使未及时发现和制止作业时人员进入机械作业区域的安全隐患，同时，安全生产培训教育不到位，未能有效提升作业人员现场风险管控能力。</w:t>
      </w:r>
    </w:p>
    <w:p w14:paraId="7BF948FB">
      <w:pPr>
        <w:spacing w:line="600" w:lineRule="exact"/>
        <w:ind w:firstLine="640"/>
        <w:rPr>
          <w:rFonts w:ascii="黑体" w:hAnsi="黑体" w:eastAsia="黑体" w:cs="仿宋_GB2312"/>
          <w:sz w:val="32"/>
          <w:szCs w:val="32"/>
        </w:rPr>
      </w:pPr>
      <w:bookmarkStart w:id="106" w:name="_Toc168253095_WPSOffice_Level1"/>
      <w:r>
        <w:rPr>
          <w:rFonts w:hint="eastAsia" w:ascii="黑体" w:hAnsi="黑体" w:eastAsia="黑体" w:cs="仿宋_GB2312"/>
          <w:sz w:val="32"/>
          <w:szCs w:val="32"/>
        </w:rPr>
        <w:t>四、有关责任单位存在的主要问题</w:t>
      </w:r>
      <w:bookmarkEnd w:id="100"/>
      <w:bookmarkEnd w:id="101"/>
      <w:bookmarkEnd w:id="102"/>
      <w:bookmarkEnd w:id="103"/>
      <w:bookmarkEnd w:id="104"/>
      <w:bookmarkEnd w:id="105"/>
      <w:bookmarkEnd w:id="106"/>
    </w:p>
    <w:p w14:paraId="28370780">
      <w:pPr>
        <w:spacing w:line="600" w:lineRule="exact"/>
        <w:ind w:firstLine="640"/>
        <w:rPr>
          <w:rFonts w:ascii="仿宋_GB2312" w:hAnsi="仿宋_GB2312" w:eastAsia="仿宋_GB2312" w:cs="仿宋_GB2312"/>
          <w:sz w:val="32"/>
          <w:szCs w:val="32"/>
        </w:rPr>
      </w:pPr>
      <w:bookmarkStart w:id="107" w:name="_Toc432781257_WPSOffice_Level1"/>
      <w:bookmarkStart w:id="108" w:name="_Toc185982611_WPSOffice_Level1"/>
      <w:bookmarkStart w:id="109" w:name="_Toc22063_WPSOffice_Level1"/>
      <w:bookmarkStart w:id="110" w:name="_Toc1033858651_WPSOffice_Level1"/>
      <w:bookmarkStart w:id="111" w:name="_Toc177135318_WPSOffice_Level1"/>
      <w:bookmarkStart w:id="112" w:name="_Toc1223901110_WPSOffice_Level1"/>
      <w:r>
        <w:rPr>
          <w:rFonts w:hint="eastAsia" w:ascii="仿宋_GB2312" w:hAnsi="仿宋_GB2312" w:eastAsia="仿宋_GB2312" w:cs="仿宋_GB2312"/>
          <w:sz w:val="32"/>
          <w:szCs w:val="32"/>
        </w:rPr>
        <w:t>韩胜武机械租赁服务中心作为本次管线整理作业的施工单位，韩</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作为本单位负责人和现场安全管理人员，事故发生时未在现场履职，未落实风险告知明确的管线作业专人监管要求，施工现场安全管理缺失，未及时发现并制止人员滞留机械作业区域的安全隐患，安全生产培训教育不到位，未结合人机交叉作业、机械作业风险开展培训，导致作业人员现场风险管控能力不足。</w:t>
      </w:r>
    </w:p>
    <w:p w14:paraId="184E631D">
      <w:pPr>
        <w:spacing w:line="600" w:lineRule="exact"/>
        <w:ind w:firstLine="640"/>
        <w:rPr>
          <w:rFonts w:ascii="黑体" w:hAnsi="黑体" w:eastAsia="黑体" w:cs="仿宋_GB2312"/>
          <w:sz w:val="32"/>
          <w:szCs w:val="32"/>
        </w:rPr>
      </w:pPr>
      <w:bookmarkStart w:id="113" w:name="_Toc21484005_WPSOffice_Level1"/>
      <w:r>
        <w:rPr>
          <w:rFonts w:hint="eastAsia" w:ascii="黑体" w:hAnsi="黑体" w:eastAsia="黑体" w:cs="仿宋_GB2312"/>
          <w:sz w:val="32"/>
          <w:szCs w:val="32"/>
        </w:rPr>
        <w:t>五</w:t>
      </w:r>
      <w:r>
        <w:rPr>
          <w:rFonts w:ascii="黑体" w:hAnsi="黑体" w:eastAsia="黑体" w:cs="仿宋_GB2312"/>
          <w:sz w:val="32"/>
          <w:szCs w:val="32"/>
        </w:rPr>
        <w:t>、对</w:t>
      </w:r>
      <w:r>
        <w:rPr>
          <w:rFonts w:hint="eastAsia" w:ascii="黑体" w:hAnsi="黑体" w:eastAsia="黑体" w:cs="仿宋_GB2312"/>
          <w:sz w:val="32"/>
          <w:szCs w:val="32"/>
        </w:rPr>
        <w:t>有关</w:t>
      </w:r>
      <w:r>
        <w:rPr>
          <w:rFonts w:ascii="黑体" w:hAnsi="黑体" w:eastAsia="黑体" w:cs="仿宋_GB2312"/>
          <w:sz w:val="32"/>
          <w:szCs w:val="32"/>
        </w:rPr>
        <w:t>责任人员和责任单位的处理建议</w:t>
      </w:r>
      <w:bookmarkEnd w:id="107"/>
      <w:bookmarkEnd w:id="108"/>
      <w:bookmarkEnd w:id="109"/>
      <w:bookmarkEnd w:id="110"/>
      <w:bookmarkEnd w:id="111"/>
      <w:bookmarkEnd w:id="112"/>
      <w:bookmarkEnd w:id="113"/>
    </w:p>
    <w:p w14:paraId="05616C1D">
      <w:pPr>
        <w:spacing w:line="600" w:lineRule="exact"/>
        <w:ind w:firstLine="640"/>
        <w:rPr>
          <w:rFonts w:ascii="仿宋_GB2312" w:hAnsi="仿宋_GB2312" w:eastAsia="仿宋_GB2312" w:cs="仿宋_GB2312"/>
          <w:sz w:val="32"/>
          <w:szCs w:val="32"/>
        </w:rPr>
      </w:pPr>
      <w:bookmarkStart w:id="114" w:name="_Toc15759_WPSOffice_Level2"/>
      <w:bookmarkStart w:id="115" w:name="_Toc2076740568_WPSOffice_Level2"/>
      <w:bookmarkStart w:id="116" w:name="_Toc312187430_WPSOffice_Level2"/>
      <w:bookmarkStart w:id="117" w:name="_Toc1701451326_WPSOffice_Level2"/>
      <w:bookmarkStart w:id="118" w:name="_Toc534327290_WPSOffice_Level2"/>
      <w:bookmarkStart w:id="119" w:name="_Toc579049968_WPSOffice_Level2"/>
      <w:bookmarkStart w:id="120" w:name="_Toc782488623_WPSOffice_Level1"/>
      <w:bookmarkStart w:id="121" w:name="_Toc1419056065_WPSOffice_Level1"/>
      <w:bookmarkStart w:id="122" w:name="_Toc932307160_WPSOffice_Level1"/>
      <w:bookmarkStart w:id="123" w:name="_Toc4405_WPSOffice_Level1"/>
      <w:r>
        <w:rPr>
          <w:rFonts w:hint="eastAsia" w:ascii="楷体_GB2312" w:hAnsi="仿宋_GB2312" w:eastAsia="楷体_GB2312" w:cs="仿宋_GB2312"/>
          <w:sz w:val="32"/>
          <w:szCs w:val="32"/>
        </w:rPr>
        <w:t>（一）</w:t>
      </w:r>
      <w:bookmarkEnd w:id="114"/>
      <w:bookmarkEnd w:id="115"/>
      <w:bookmarkEnd w:id="116"/>
      <w:bookmarkEnd w:id="117"/>
      <w:r>
        <w:rPr>
          <w:rFonts w:hint="eastAsia" w:ascii="楷体_GB2312" w:hAnsi="仿宋_GB2312" w:eastAsia="楷体_GB2312" w:cs="仿宋_GB2312"/>
          <w:sz w:val="32"/>
          <w:szCs w:val="32"/>
        </w:rPr>
        <w:t>因在事故中死亡免予或不予追究责任人员</w:t>
      </w:r>
      <w:bookmarkEnd w:id="118"/>
      <w:bookmarkEnd w:id="119"/>
    </w:p>
    <w:p w14:paraId="1AC0DB54">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董XX</w:t>
      </w:r>
      <w:r>
        <w:rPr>
          <w:rFonts w:hint="eastAsia" w:ascii="仿宋_GB2312" w:hAnsi="仿宋_GB2312" w:eastAsia="仿宋_GB2312" w:cs="仿宋_GB2312"/>
          <w:sz w:val="32"/>
          <w:szCs w:val="32"/>
        </w:rPr>
        <w:t>，男，长江南京航道工程局管线整理发包方现场负责人，安全意识淡薄，在管线整理作业时背对挖掘机滞留于挖掘机作业区，未主动避让到安全区域，鉴于在事故中死亡，免于责任追究。</w:t>
      </w:r>
    </w:p>
    <w:p w14:paraId="6C113DE7">
      <w:pPr>
        <w:spacing w:line="600" w:lineRule="exact"/>
        <w:ind w:firstLine="640"/>
        <w:rPr>
          <w:rFonts w:ascii="楷体_GB2312" w:hAnsi="仿宋_GB2312" w:eastAsia="楷体_GB2312" w:cs="仿宋_GB2312"/>
          <w:sz w:val="32"/>
          <w:szCs w:val="32"/>
        </w:rPr>
      </w:pPr>
      <w:bookmarkStart w:id="124" w:name="_Toc103393073_WPSOffice_Level2"/>
      <w:r>
        <w:rPr>
          <w:rFonts w:hint="eastAsia" w:ascii="楷体_GB2312" w:hAnsi="仿宋_GB2312" w:eastAsia="楷体_GB2312" w:cs="仿宋_GB2312"/>
          <w:sz w:val="32"/>
          <w:szCs w:val="32"/>
        </w:rPr>
        <w:t>（二）对事故有关责任人员和责任单位的行政处罚建议</w:t>
      </w:r>
      <w:bookmarkEnd w:id="124"/>
    </w:p>
    <w:p w14:paraId="28A95514">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天津市滨海新区塘沽韩胜武机械租赁服务中心。安全生产主体责任落实不到位，对从业人员安全生产培训教育不到位，现场安全管理缺失，管线作业未进行专人监管，未及时排查消除事故隐患，导致发生生产安全事故，韩胜武机械租赁服务中心作为个体工商户和韩</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应当视为同一主体，韩</w:t>
      </w:r>
      <w:r>
        <w:rPr>
          <w:rFonts w:hint="eastAsia" w:ascii="仿宋_GB2312" w:hAnsi="仿宋_GB2312" w:eastAsia="仿宋_GB2312" w:cs="仿宋_GB2312"/>
          <w:sz w:val="32"/>
          <w:szCs w:val="32"/>
          <w:lang w:val="en-US" w:eastAsia="zh-CN"/>
        </w:rPr>
        <w:t>XX</w:t>
      </w:r>
      <w:r>
        <w:rPr>
          <w:rFonts w:hint="eastAsia" w:ascii="仿宋_GB2312" w:hAnsi="仿宋_GB2312" w:eastAsia="仿宋_GB2312" w:cs="仿宋_GB2312"/>
          <w:sz w:val="32"/>
          <w:szCs w:val="32"/>
        </w:rPr>
        <w:t>作为经营者，违反《中华人民共和国安全生产法》第二十一条第三项、第五项之规定，建议由市应急局依据《中华人民共和国安全生产法》第九十五条第一项的规定给予行政处罚。</w:t>
      </w:r>
    </w:p>
    <w:p w14:paraId="5617B2F3">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杨X</w:t>
      </w:r>
      <w:r>
        <w:rPr>
          <w:rFonts w:hint="eastAsia" w:ascii="仿宋_GB2312" w:hAnsi="仿宋_GB2312" w:eastAsia="仿宋_GB2312" w:cs="仿宋_GB2312"/>
          <w:sz w:val="32"/>
          <w:szCs w:val="32"/>
        </w:rPr>
        <w:t>，男，韩胜武机械租赁服务中心挖掘机司机，操作挖掘机作业时观察不细致，未能全面确认挖掘机作业面情况，建议由市应急局依据《安全生产违法行为行政处罚办法》第七十三条第一项的规定给予行政处罚。</w:t>
      </w:r>
    </w:p>
    <w:p w14:paraId="6B6C5616">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ascii="黑体" w:hAnsi="黑体" w:eastAsia="黑体" w:cs="仿宋_GB2312"/>
          <w:sz w:val="32"/>
          <w:szCs w:val="32"/>
        </w:rPr>
      </w:pPr>
      <w:bookmarkStart w:id="125" w:name="_Toc1829007159_WPSOffice_Level1"/>
      <w:bookmarkStart w:id="126" w:name="_Toc1779459339_WPSOffice_Level1"/>
      <w:bookmarkStart w:id="127" w:name="_Toc581881726_WPSOffice_Level1"/>
      <w:r>
        <w:rPr>
          <w:rFonts w:hint="eastAsia" w:ascii="黑体" w:hAnsi="黑体" w:eastAsia="黑体" w:cs="仿宋_GB2312"/>
          <w:sz w:val="32"/>
          <w:szCs w:val="32"/>
        </w:rPr>
        <w:t>六、事故主要教训</w:t>
      </w:r>
      <w:bookmarkEnd w:id="120"/>
      <w:bookmarkEnd w:id="121"/>
      <w:bookmarkEnd w:id="122"/>
      <w:bookmarkEnd w:id="123"/>
      <w:bookmarkEnd w:id="125"/>
      <w:bookmarkEnd w:id="126"/>
      <w:bookmarkEnd w:id="127"/>
    </w:p>
    <w:p w14:paraId="150D02C3">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ascii="仿宋_GB2312" w:hAnsi="仿宋_GB2312" w:eastAsia="仿宋_GB2312" w:cs="仿宋_GB2312"/>
          <w:sz w:val="32"/>
          <w:szCs w:val="32"/>
        </w:rPr>
      </w:pPr>
      <w:bookmarkStart w:id="128" w:name="_Toc1627978077_WPSOffice_Level1"/>
      <w:r>
        <w:rPr>
          <w:rFonts w:hint="eastAsia" w:ascii="仿宋_GB2312" w:hAnsi="仿宋_GB2312" w:eastAsia="仿宋_GB2312" w:cs="仿宋_GB2312"/>
          <w:sz w:val="32"/>
          <w:szCs w:val="32"/>
        </w:rPr>
        <w:t>本次事故的发生，是施工单位安全生产主体责任落实不到位，经营者未履行安全生产法定职责，现场安全管理处于失管失控，未有效落实安全管理、安全培训等措施，导致从业人员安全意识淡薄、风险管控能力不足，同时，施工现场负责人未履行现场监督职责，自身安全防范意识缺失，最终导致事故发生。该起事故教训深刻，充分暴露了相关单位安全生产意识薄弱、现场安全管理管控不到位等突出问题，也警示各类生产经营单位，必须严格落实安全生产主体责任，强化现场安全管理，加强从业人员安全教育培训，规范作业行为，落实作业现场安全防护措施，才能有效防范生产安全事故发生。</w:t>
      </w:r>
    </w:p>
    <w:p w14:paraId="7FEFA128">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ascii="仿宋_GB2312" w:hAnsi="仿宋_GB2312" w:eastAsia="仿宋_GB2312" w:cs="仿宋_GB2312"/>
          <w:sz w:val="32"/>
          <w:szCs w:val="32"/>
        </w:rPr>
      </w:pPr>
      <w:bookmarkStart w:id="129" w:name="_Toc1786981676_WPSOffice_Level1"/>
      <w:r>
        <w:rPr>
          <w:rFonts w:hint="eastAsia" w:ascii="黑体" w:hAnsi="黑体" w:eastAsia="黑体" w:cs="仿宋_GB2312"/>
          <w:sz w:val="32"/>
          <w:szCs w:val="32"/>
        </w:rPr>
        <w:t>七、事故整改和防范措施</w:t>
      </w:r>
      <w:bookmarkEnd w:id="128"/>
      <w:bookmarkEnd w:id="129"/>
    </w:p>
    <w:p w14:paraId="417EFB18">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楷体_GB2312" w:hAnsi="仿宋_GB2312" w:eastAsia="楷体_GB2312" w:cs="仿宋_GB2312"/>
          <w:sz w:val="32"/>
          <w:szCs w:val="32"/>
        </w:rPr>
      </w:pPr>
      <w:bookmarkStart w:id="130" w:name="_Toc864375514_WPSOffice_Level2"/>
      <w:r>
        <w:rPr>
          <w:rFonts w:hint="eastAsia" w:ascii="楷体_GB2312" w:hAnsi="仿宋_GB2312" w:eastAsia="楷体_GB2312" w:cs="仿宋_GB2312"/>
          <w:sz w:val="32"/>
          <w:szCs w:val="32"/>
        </w:rPr>
        <w:t>（一）强化主体责任落实，筑牢安全管理根基</w:t>
      </w:r>
      <w:bookmarkEnd w:id="130"/>
    </w:p>
    <w:p w14:paraId="55CE5E05">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相关单位要深刻吸取本次事故教训，全面落实安全生产主体责任，建立健全安全生产责任制和现场安全管理制度，明确各岗位安全职责，全面开展安全隐患排查整治，重点整改机械作业现场管理缺失、危险区域未隔离、安全培训交底不到位等突出问题，完善作业安全管控流程，杜绝人机交叉作业、违规进入危险区域等行为，确保作业现场安全可控。</w:t>
      </w:r>
    </w:p>
    <w:p w14:paraId="1F9E8AB0">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ascii="楷体_GB2312" w:hAnsi="仿宋_GB2312" w:eastAsia="楷体_GB2312" w:cs="仿宋_GB2312"/>
          <w:sz w:val="32"/>
          <w:szCs w:val="32"/>
        </w:rPr>
      </w:pPr>
      <w:bookmarkStart w:id="131" w:name="_Toc1393043209_WPSOffice_Level2"/>
      <w:r>
        <w:rPr>
          <w:rFonts w:hint="eastAsia" w:ascii="楷体_GB2312" w:hAnsi="仿宋_GB2312" w:eastAsia="楷体_GB2312" w:cs="仿宋_GB2312"/>
          <w:sz w:val="32"/>
          <w:szCs w:val="32"/>
        </w:rPr>
        <w:t>（二）加大教育培训力度，提升从业人员素养</w:t>
      </w:r>
      <w:bookmarkEnd w:id="131"/>
    </w:p>
    <w:p w14:paraId="7DC35894">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相关单位要严格按照法律法规相关要求，组织从业人员开展针对性的安全教育培训和安全技术交底，重点加强机械作业等重点作业岗位人员的安全操作技能和风险辨识能力培训，明确作业危险点、安全注意事项和应急处置方法，确保从业人员熟练掌握安全操作规程，增强安全防范意识，杜绝盲目作业、违规操作。同时，建立培训档案，定期开展培训和考核，确保培训取得实效。</w:t>
      </w:r>
    </w:p>
    <w:p w14:paraId="68477F3A">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ascii="楷体_GB2312" w:hAnsi="仿宋_GB2312" w:eastAsia="楷体_GB2312" w:cs="仿宋_GB2312"/>
          <w:sz w:val="32"/>
          <w:szCs w:val="32"/>
        </w:rPr>
      </w:pPr>
      <w:bookmarkStart w:id="132" w:name="_Toc1701496557_WPSOffice_Level2"/>
      <w:r>
        <w:rPr>
          <w:rFonts w:hint="eastAsia" w:ascii="楷体_GB2312" w:hAnsi="仿宋_GB2312" w:eastAsia="楷体_GB2312" w:cs="仿宋_GB2312"/>
          <w:sz w:val="32"/>
          <w:szCs w:val="32"/>
        </w:rPr>
        <w:t>（三）严格现场安全管控，防范同类事故发生</w:t>
      </w:r>
      <w:bookmarkEnd w:id="132"/>
    </w:p>
    <w:p w14:paraId="51235A15">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相关单位要严格落实现场安全管理措施，配备安全管理人员对作业现场进行管控，在重点作业区域划定警戒范围，设置明显的安全警示标志和隔离防护设施，严禁无关人员进入作业区域，合理安排作业工序，避免人机交叉作业，降低事故风险，防范同类事故再次发生。</w:t>
      </w:r>
    </w:p>
    <w:p w14:paraId="0855353B">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ascii="仿宋_GB2312" w:hAnsi="仿宋_GB2312" w:eastAsia="仿宋_GB2312" w:cs="仿宋_GB2312"/>
          <w:sz w:val="32"/>
          <w:szCs w:val="32"/>
        </w:rPr>
      </w:pPr>
    </w:p>
    <w:p w14:paraId="72DB4299">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盘锦辽滨经开区长江南京航道工程局“3·28”</w:t>
      </w:r>
    </w:p>
    <w:p w14:paraId="38CDD718">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一般车辆伤害事故调查组</w:t>
      </w:r>
    </w:p>
    <w:p w14:paraId="2C83D883">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ascii="仿宋_GB2312" w:eastAsia="仿宋_GB2312"/>
          <w:sz w:val="32"/>
          <w:szCs w:val="32"/>
        </w:rPr>
      </w:pPr>
      <w:r>
        <w:rPr>
          <w:rFonts w:hint="eastAsia" w:ascii="仿宋_GB2312" w:hAnsi="仿宋_GB2312" w:eastAsia="仿宋_GB2312" w:cs="仿宋_GB2312"/>
          <w:sz w:val="32"/>
          <w:szCs w:val="32"/>
        </w:rPr>
        <w:t xml:space="preserve">                    2026年7月23日</w:t>
      </w:r>
      <w:bookmarkStart w:id="133" w:name="_GoBack"/>
      <w:bookmarkEnd w:id="133"/>
    </w:p>
    <w:sectPr>
      <w:footerReference r:id="rId3" w:type="default"/>
      <w:footerReference r:id="rId4" w:type="even"/>
      <w:footnotePr>
        <w:pos w:val="beneathText"/>
        <w:numFmt w:val="decimalEnclosedCircleChinese"/>
        <w:numRestart w:val="eachPage"/>
      </w:footnotePr>
      <w:type w:val="continuous"/>
      <w:pgSz w:w="11906" w:h="16838"/>
      <w:pgMar w:top="2098" w:right="1474" w:bottom="1985" w:left="1588" w:header="851" w:footer="124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等线">
    <w:altName w:val="华文仿宋"/>
    <w:panose1 w:val="00000000000000000000"/>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粗黑宋简体">
    <w:altName w:val="方正书宋_GBK"/>
    <w:panose1 w:val="02000000000000000000"/>
    <w:charset w:val="86"/>
    <w:family w:val="auto"/>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eastAsiaTheme="minorEastAsia"/>
        <w:sz w:val="28"/>
        <w:szCs w:val="28"/>
      </w:rPr>
      <w:id w:val="799280267"/>
      <w:docPartObj>
        <w:docPartGallery w:val="autotext"/>
      </w:docPartObj>
    </w:sdtPr>
    <w:sdtEndPr>
      <w:rPr>
        <w:rFonts w:asciiTheme="minorEastAsia" w:hAnsiTheme="minorEastAsia" w:eastAsiaTheme="minorEastAsia"/>
        <w:sz w:val="28"/>
        <w:szCs w:val="28"/>
      </w:rPr>
    </w:sdtEndPr>
    <w:sdtContent>
      <w:p w14:paraId="1759F4C3">
        <w:pPr>
          <w:pStyle w:val="10"/>
          <w:ind w:left="360" w:right="280"/>
          <w:jc w:val="right"/>
          <w:rPr>
            <w:rFonts w:asciiTheme="minorEastAsia" w:hAnsiTheme="minorEastAsia" w:eastAsiaTheme="minorEastAsia"/>
            <w:sz w:val="28"/>
            <w:szCs w:val="28"/>
          </w:rPr>
        </w:pPr>
        <w:r>
          <w:rPr>
            <w:rFonts w:hint="eastAsia" w:asciiTheme="minorEastAsia" w:hAnsiTheme="minorEastAsia" w:eastAsiaTheme="minorEastAsia"/>
            <w:sz w:val="28"/>
            <w:szCs w:val="28"/>
          </w:rPr>
          <w:t>-</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11</w:t>
        </w:r>
        <w:r>
          <w:rPr>
            <w:rFonts w:ascii="宋体" w:hAnsi="宋体"/>
            <w:sz w:val="28"/>
            <w:szCs w:val="28"/>
          </w:rPr>
          <w:fldChar w:fldCharType="end"/>
        </w:r>
        <w:r>
          <w:rPr>
            <w:rFonts w:hint="eastAsia" w:ascii="宋体" w:hAnsi="宋体"/>
            <w:sz w:val="28"/>
            <w:szCs w:val="28"/>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14539">
    <w:pPr>
      <w:pStyle w:val="10"/>
      <w:rPr>
        <w:rFonts w:ascii="宋体" w:hAnsi="宋体"/>
        <w:sz w:val="28"/>
        <w:szCs w:val="28"/>
      </w:rPr>
    </w:pPr>
    <w:r>
      <w:rPr>
        <w:rFonts w:hint="eastAsia" w:ascii="宋体" w:hAnsi="宋体"/>
        <w:sz w:val="28"/>
        <w:szCs w:val="28"/>
      </w:rPr>
      <w:t>-</w:t>
    </w:r>
    <w:sdt>
      <w:sdtPr>
        <w:rPr>
          <w:rFonts w:ascii="宋体" w:hAnsi="宋体"/>
          <w:sz w:val="28"/>
          <w:szCs w:val="28"/>
        </w:rPr>
        <w:id w:val="-1"/>
        <w:docPartObj>
          <w:docPartGallery w:val="autotext"/>
        </w:docPartObj>
      </w:sdtPr>
      <w:sdtEndPr>
        <w:rPr>
          <w:rFonts w:ascii="宋体" w:hAnsi="宋体"/>
          <w:sz w:val="28"/>
          <w:szCs w:val="28"/>
        </w:rPr>
      </w:sdtEndPr>
      <w:sdtContent>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hint="eastAsia" w:ascii="宋体" w:hAnsi="宋体"/>
            <w:sz w:val="28"/>
            <w:szCs w:val="28"/>
          </w:rPr>
          <w:t>-</w:t>
        </w: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footnotePr>
    <w:pos w:val="beneathText"/>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92.168.150.181:80/seeyon/officeservlet"/>
  </w:docVars>
  <w:rsids>
    <w:rsidRoot w:val="00411549"/>
    <w:rsid w:val="00000151"/>
    <w:rsid w:val="00001702"/>
    <w:rsid w:val="00004ECE"/>
    <w:rsid w:val="000103AC"/>
    <w:rsid w:val="000176E4"/>
    <w:rsid w:val="00023C13"/>
    <w:rsid w:val="000275D2"/>
    <w:rsid w:val="0003050F"/>
    <w:rsid w:val="0003099F"/>
    <w:rsid w:val="00030E5C"/>
    <w:rsid w:val="00031441"/>
    <w:rsid w:val="000409FC"/>
    <w:rsid w:val="0006154C"/>
    <w:rsid w:val="00063F77"/>
    <w:rsid w:val="000654BF"/>
    <w:rsid w:val="00066340"/>
    <w:rsid w:val="00075602"/>
    <w:rsid w:val="00076BEB"/>
    <w:rsid w:val="00076C59"/>
    <w:rsid w:val="00087CEA"/>
    <w:rsid w:val="00087D8C"/>
    <w:rsid w:val="000916DE"/>
    <w:rsid w:val="000A0873"/>
    <w:rsid w:val="000B49A6"/>
    <w:rsid w:val="000B7332"/>
    <w:rsid w:val="000B7A00"/>
    <w:rsid w:val="000B7FC6"/>
    <w:rsid w:val="000C05AC"/>
    <w:rsid w:val="000C4190"/>
    <w:rsid w:val="000C4628"/>
    <w:rsid w:val="000C65DA"/>
    <w:rsid w:val="000C6C4B"/>
    <w:rsid w:val="000D0E8A"/>
    <w:rsid w:val="000D21B0"/>
    <w:rsid w:val="000D2CED"/>
    <w:rsid w:val="000D6691"/>
    <w:rsid w:val="000E2B81"/>
    <w:rsid w:val="000F33DB"/>
    <w:rsid w:val="000F34AE"/>
    <w:rsid w:val="000F7E30"/>
    <w:rsid w:val="0010191D"/>
    <w:rsid w:val="00102D7C"/>
    <w:rsid w:val="00103E82"/>
    <w:rsid w:val="001079CB"/>
    <w:rsid w:val="00107A93"/>
    <w:rsid w:val="00110D4B"/>
    <w:rsid w:val="00113AED"/>
    <w:rsid w:val="001160E2"/>
    <w:rsid w:val="0011648B"/>
    <w:rsid w:val="00117268"/>
    <w:rsid w:val="00125D87"/>
    <w:rsid w:val="001323AC"/>
    <w:rsid w:val="00132981"/>
    <w:rsid w:val="0013521B"/>
    <w:rsid w:val="00141AED"/>
    <w:rsid w:val="0014278E"/>
    <w:rsid w:val="00146CB4"/>
    <w:rsid w:val="001519B4"/>
    <w:rsid w:val="00152364"/>
    <w:rsid w:val="00165825"/>
    <w:rsid w:val="00165994"/>
    <w:rsid w:val="00171328"/>
    <w:rsid w:val="001742B2"/>
    <w:rsid w:val="0017672D"/>
    <w:rsid w:val="00176C34"/>
    <w:rsid w:val="00176EEA"/>
    <w:rsid w:val="0018520C"/>
    <w:rsid w:val="001853F0"/>
    <w:rsid w:val="0018619E"/>
    <w:rsid w:val="00190252"/>
    <w:rsid w:val="001911F8"/>
    <w:rsid w:val="001A0577"/>
    <w:rsid w:val="001A4DAF"/>
    <w:rsid w:val="001A57F7"/>
    <w:rsid w:val="001A6408"/>
    <w:rsid w:val="001A7FFD"/>
    <w:rsid w:val="001B454F"/>
    <w:rsid w:val="001B5553"/>
    <w:rsid w:val="001B7412"/>
    <w:rsid w:val="001B75B0"/>
    <w:rsid w:val="001C20C2"/>
    <w:rsid w:val="001C3260"/>
    <w:rsid w:val="001C5F85"/>
    <w:rsid w:val="001D3B36"/>
    <w:rsid w:val="001E3C85"/>
    <w:rsid w:val="001E6626"/>
    <w:rsid w:val="001F03D1"/>
    <w:rsid w:val="001F6538"/>
    <w:rsid w:val="001F7610"/>
    <w:rsid w:val="0021279F"/>
    <w:rsid w:val="002127A0"/>
    <w:rsid w:val="00217BEB"/>
    <w:rsid w:val="00222918"/>
    <w:rsid w:val="00223C86"/>
    <w:rsid w:val="00227A55"/>
    <w:rsid w:val="00232719"/>
    <w:rsid w:val="00232B26"/>
    <w:rsid w:val="00237E59"/>
    <w:rsid w:val="002410F3"/>
    <w:rsid w:val="0024117B"/>
    <w:rsid w:val="00241550"/>
    <w:rsid w:val="00244824"/>
    <w:rsid w:val="002479E9"/>
    <w:rsid w:val="00253EC8"/>
    <w:rsid w:val="00260FE4"/>
    <w:rsid w:val="00261ED9"/>
    <w:rsid w:val="002635F8"/>
    <w:rsid w:val="0026731C"/>
    <w:rsid w:val="0027053D"/>
    <w:rsid w:val="00273B17"/>
    <w:rsid w:val="00276123"/>
    <w:rsid w:val="00282D72"/>
    <w:rsid w:val="002A459B"/>
    <w:rsid w:val="002B1E8A"/>
    <w:rsid w:val="002B36AD"/>
    <w:rsid w:val="002B5F1A"/>
    <w:rsid w:val="002B6C3F"/>
    <w:rsid w:val="002C371E"/>
    <w:rsid w:val="002C3FE2"/>
    <w:rsid w:val="002D58BA"/>
    <w:rsid w:val="002E4F01"/>
    <w:rsid w:val="002F2FFA"/>
    <w:rsid w:val="00304721"/>
    <w:rsid w:val="00307059"/>
    <w:rsid w:val="003125BF"/>
    <w:rsid w:val="00325A2C"/>
    <w:rsid w:val="00330C3E"/>
    <w:rsid w:val="003337F4"/>
    <w:rsid w:val="00333BA1"/>
    <w:rsid w:val="00334239"/>
    <w:rsid w:val="00336390"/>
    <w:rsid w:val="003568B5"/>
    <w:rsid w:val="003623F2"/>
    <w:rsid w:val="00372388"/>
    <w:rsid w:val="003765D1"/>
    <w:rsid w:val="003803CF"/>
    <w:rsid w:val="003811E9"/>
    <w:rsid w:val="00390385"/>
    <w:rsid w:val="003A0B89"/>
    <w:rsid w:val="003A2EF4"/>
    <w:rsid w:val="003B25B1"/>
    <w:rsid w:val="003B4663"/>
    <w:rsid w:val="003B6E9B"/>
    <w:rsid w:val="003C009B"/>
    <w:rsid w:val="003C6A1D"/>
    <w:rsid w:val="003D0C69"/>
    <w:rsid w:val="003D1EEB"/>
    <w:rsid w:val="003D7E19"/>
    <w:rsid w:val="003E08A2"/>
    <w:rsid w:val="003E1A8D"/>
    <w:rsid w:val="003E1EC3"/>
    <w:rsid w:val="003E5269"/>
    <w:rsid w:val="003E558F"/>
    <w:rsid w:val="003E5C6C"/>
    <w:rsid w:val="003F10BB"/>
    <w:rsid w:val="003F1E42"/>
    <w:rsid w:val="003F4678"/>
    <w:rsid w:val="003F721A"/>
    <w:rsid w:val="00405C39"/>
    <w:rsid w:val="00411549"/>
    <w:rsid w:val="00411AE7"/>
    <w:rsid w:val="004232D4"/>
    <w:rsid w:val="004341E2"/>
    <w:rsid w:val="004564DA"/>
    <w:rsid w:val="00465583"/>
    <w:rsid w:val="0047214C"/>
    <w:rsid w:val="004726F2"/>
    <w:rsid w:val="0047435E"/>
    <w:rsid w:val="00475A44"/>
    <w:rsid w:val="004853AA"/>
    <w:rsid w:val="004A035C"/>
    <w:rsid w:val="004A0D2E"/>
    <w:rsid w:val="004A2798"/>
    <w:rsid w:val="004B1536"/>
    <w:rsid w:val="004B1CF0"/>
    <w:rsid w:val="004B408D"/>
    <w:rsid w:val="004C0CEB"/>
    <w:rsid w:val="004C2250"/>
    <w:rsid w:val="004C7F3A"/>
    <w:rsid w:val="004D15AA"/>
    <w:rsid w:val="004D24B5"/>
    <w:rsid w:val="004D3B29"/>
    <w:rsid w:val="004D4E4D"/>
    <w:rsid w:val="004D5F5F"/>
    <w:rsid w:val="004E43BA"/>
    <w:rsid w:val="004E6AEF"/>
    <w:rsid w:val="004F4095"/>
    <w:rsid w:val="004F69C2"/>
    <w:rsid w:val="0050084E"/>
    <w:rsid w:val="00505C2E"/>
    <w:rsid w:val="00511901"/>
    <w:rsid w:val="005138F2"/>
    <w:rsid w:val="0052518E"/>
    <w:rsid w:val="005260A4"/>
    <w:rsid w:val="00531896"/>
    <w:rsid w:val="00532D66"/>
    <w:rsid w:val="0053535D"/>
    <w:rsid w:val="00540C12"/>
    <w:rsid w:val="00552199"/>
    <w:rsid w:val="00553732"/>
    <w:rsid w:val="00553EA8"/>
    <w:rsid w:val="00557DDA"/>
    <w:rsid w:val="005605D3"/>
    <w:rsid w:val="00560FA5"/>
    <w:rsid w:val="005617FF"/>
    <w:rsid w:val="00562217"/>
    <w:rsid w:val="00570089"/>
    <w:rsid w:val="00576CED"/>
    <w:rsid w:val="00583C4B"/>
    <w:rsid w:val="00591E07"/>
    <w:rsid w:val="005930CA"/>
    <w:rsid w:val="00594692"/>
    <w:rsid w:val="005972A3"/>
    <w:rsid w:val="005A025D"/>
    <w:rsid w:val="005A44F8"/>
    <w:rsid w:val="005A626D"/>
    <w:rsid w:val="005B0416"/>
    <w:rsid w:val="005B4302"/>
    <w:rsid w:val="005C17EB"/>
    <w:rsid w:val="005C33DA"/>
    <w:rsid w:val="005D3784"/>
    <w:rsid w:val="005D691D"/>
    <w:rsid w:val="005E094B"/>
    <w:rsid w:val="005E313B"/>
    <w:rsid w:val="005E4873"/>
    <w:rsid w:val="005E688A"/>
    <w:rsid w:val="005E734A"/>
    <w:rsid w:val="005F0AF6"/>
    <w:rsid w:val="005F2623"/>
    <w:rsid w:val="005F41DB"/>
    <w:rsid w:val="005F5388"/>
    <w:rsid w:val="005F725C"/>
    <w:rsid w:val="00607A09"/>
    <w:rsid w:val="00610ACB"/>
    <w:rsid w:val="00611140"/>
    <w:rsid w:val="00611578"/>
    <w:rsid w:val="00611C72"/>
    <w:rsid w:val="00612C0D"/>
    <w:rsid w:val="00613D24"/>
    <w:rsid w:val="006146FC"/>
    <w:rsid w:val="006267F2"/>
    <w:rsid w:val="00627647"/>
    <w:rsid w:val="00633506"/>
    <w:rsid w:val="00636A2B"/>
    <w:rsid w:val="00636B2B"/>
    <w:rsid w:val="006427B6"/>
    <w:rsid w:val="006555BD"/>
    <w:rsid w:val="006716AE"/>
    <w:rsid w:val="00676378"/>
    <w:rsid w:val="00676A9C"/>
    <w:rsid w:val="00677F59"/>
    <w:rsid w:val="00682AAA"/>
    <w:rsid w:val="00683EC0"/>
    <w:rsid w:val="00687EB1"/>
    <w:rsid w:val="006901EC"/>
    <w:rsid w:val="006961AD"/>
    <w:rsid w:val="006962EE"/>
    <w:rsid w:val="006978E0"/>
    <w:rsid w:val="006A1F78"/>
    <w:rsid w:val="006A3834"/>
    <w:rsid w:val="006A56CB"/>
    <w:rsid w:val="006C0CEF"/>
    <w:rsid w:val="006C6B6A"/>
    <w:rsid w:val="006C776F"/>
    <w:rsid w:val="00703347"/>
    <w:rsid w:val="00704590"/>
    <w:rsid w:val="00707D66"/>
    <w:rsid w:val="007148CF"/>
    <w:rsid w:val="007153DD"/>
    <w:rsid w:val="007155BF"/>
    <w:rsid w:val="00715F34"/>
    <w:rsid w:val="00721A16"/>
    <w:rsid w:val="007227C6"/>
    <w:rsid w:val="00725658"/>
    <w:rsid w:val="007361D6"/>
    <w:rsid w:val="00742EF3"/>
    <w:rsid w:val="00744752"/>
    <w:rsid w:val="007531D0"/>
    <w:rsid w:val="007609B5"/>
    <w:rsid w:val="00761FF9"/>
    <w:rsid w:val="00762011"/>
    <w:rsid w:val="00763DF4"/>
    <w:rsid w:val="007643F6"/>
    <w:rsid w:val="00774105"/>
    <w:rsid w:val="00774C4D"/>
    <w:rsid w:val="00776988"/>
    <w:rsid w:val="007965A8"/>
    <w:rsid w:val="00797324"/>
    <w:rsid w:val="007A39CD"/>
    <w:rsid w:val="007A4676"/>
    <w:rsid w:val="007A6B54"/>
    <w:rsid w:val="007B4542"/>
    <w:rsid w:val="007B48DB"/>
    <w:rsid w:val="007C3C7A"/>
    <w:rsid w:val="007C7906"/>
    <w:rsid w:val="007D0A7D"/>
    <w:rsid w:val="007E02F6"/>
    <w:rsid w:val="007E4BD0"/>
    <w:rsid w:val="007E7286"/>
    <w:rsid w:val="007E7DB8"/>
    <w:rsid w:val="008015C5"/>
    <w:rsid w:val="0080294E"/>
    <w:rsid w:val="00812760"/>
    <w:rsid w:val="00816187"/>
    <w:rsid w:val="00821223"/>
    <w:rsid w:val="00822FD2"/>
    <w:rsid w:val="0083090A"/>
    <w:rsid w:val="00831086"/>
    <w:rsid w:val="00831223"/>
    <w:rsid w:val="0083167A"/>
    <w:rsid w:val="00833324"/>
    <w:rsid w:val="00834943"/>
    <w:rsid w:val="008364A8"/>
    <w:rsid w:val="00837A0C"/>
    <w:rsid w:val="0084107A"/>
    <w:rsid w:val="00850F4A"/>
    <w:rsid w:val="008572A1"/>
    <w:rsid w:val="0086162B"/>
    <w:rsid w:val="008627F6"/>
    <w:rsid w:val="00862FA7"/>
    <w:rsid w:val="00863ECD"/>
    <w:rsid w:val="00865D46"/>
    <w:rsid w:val="008742DA"/>
    <w:rsid w:val="0087598F"/>
    <w:rsid w:val="008761CC"/>
    <w:rsid w:val="008849C4"/>
    <w:rsid w:val="00885735"/>
    <w:rsid w:val="008863FF"/>
    <w:rsid w:val="008908A7"/>
    <w:rsid w:val="008937B4"/>
    <w:rsid w:val="008B1434"/>
    <w:rsid w:val="008B6855"/>
    <w:rsid w:val="008C6943"/>
    <w:rsid w:val="008D2B85"/>
    <w:rsid w:val="008D5EF6"/>
    <w:rsid w:val="008E42C8"/>
    <w:rsid w:val="008F1054"/>
    <w:rsid w:val="008F6AE1"/>
    <w:rsid w:val="008F7B35"/>
    <w:rsid w:val="00904B59"/>
    <w:rsid w:val="00905109"/>
    <w:rsid w:val="0090652E"/>
    <w:rsid w:val="00906CCA"/>
    <w:rsid w:val="00910373"/>
    <w:rsid w:val="009217DC"/>
    <w:rsid w:val="009221D2"/>
    <w:rsid w:val="009221D5"/>
    <w:rsid w:val="00922CD4"/>
    <w:rsid w:val="00931B49"/>
    <w:rsid w:val="00934357"/>
    <w:rsid w:val="00937BD8"/>
    <w:rsid w:val="00937EF1"/>
    <w:rsid w:val="00946E52"/>
    <w:rsid w:val="00953703"/>
    <w:rsid w:val="00953B54"/>
    <w:rsid w:val="009566E3"/>
    <w:rsid w:val="009573EF"/>
    <w:rsid w:val="00957497"/>
    <w:rsid w:val="009707A3"/>
    <w:rsid w:val="00971B0A"/>
    <w:rsid w:val="00982460"/>
    <w:rsid w:val="0098291D"/>
    <w:rsid w:val="00983B08"/>
    <w:rsid w:val="0099598A"/>
    <w:rsid w:val="00995B72"/>
    <w:rsid w:val="0099747E"/>
    <w:rsid w:val="009A48BD"/>
    <w:rsid w:val="009A4E2F"/>
    <w:rsid w:val="009C7B2C"/>
    <w:rsid w:val="009D011B"/>
    <w:rsid w:val="009D0B73"/>
    <w:rsid w:val="009D1DC6"/>
    <w:rsid w:val="009D2B04"/>
    <w:rsid w:val="009D3170"/>
    <w:rsid w:val="009D659F"/>
    <w:rsid w:val="009E6024"/>
    <w:rsid w:val="009F251D"/>
    <w:rsid w:val="009F3938"/>
    <w:rsid w:val="009F3F21"/>
    <w:rsid w:val="009F4D64"/>
    <w:rsid w:val="009F708E"/>
    <w:rsid w:val="009F7443"/>
    <w:rsid w:val="00A1449C"/>
    <w:rsid w:val="00A15DC1"/>
    <w:rsid w:val="00A16F03"/>
    <w:rsid w:val="00A221E9"/>
    <w:rsid w:val="00A306CF"/>
    <w:rsid w:val="00A36A33"/>
    <w:rsid w:val="00A40A49"/>
    <w:rsid w:val="00A566C0"/>
    <w:rsid w:val="00A571CB"/>
    <w:rsid w:val="00A62D32"/>
    <w:rsid w:val="00A64C92"/>
    <w:rsid w:val="00A753C9"/>
    <w:rsid w:val="00A847B9"/>
    <w:rsid w:val="00A87EBE"/>
    <w:rsid w:val="00A93552"/>
    <w:rsid w:val="00AA57A4"/>
    <w:rsid w:val="00AA58DC"/>
    <w:rsid w:val="00AA5FDB"/>
    <w:rsid w:val="00AB23B7"/>
    <w:rsid w:val="00AB2FFA"/>
    <w:rsid w:val="00AB6FDF"/>
    <w:rsid w:val="00AC2086"/>
    <w:rsid w:val="00AC30ED"/>
    <w:rsid w:val="00AC3930"/>
    <w:rsid w:val="00AC46CF"/>
    <w:rsid w:val="00AD248A"/>
    <w:rsid w:val="00AD621B"/>
    <w:rsid w:val="00AE0F87"/>
    <w:rsid w:val="00AE41E5"/>
    <w:rsid w:val="00AF47A9"/>
    <w:rsid w:val="00AF6BA9"/>
    <w:rsid w:val="00B06DDD"/>
    <w:rsid w:val="00B15B4F"/>
    <w:rsid w:val="00B21EAF"/>
    <w:rsid w:val="00B24E3E"/>
    <w:rsid w:val="00B27BCA"/>
    <w:rsid w:val="00B327C6"/>
    <w:rsid w:val="00B37E1D"/>
    <w:rsid w:val="00B40ED3"/>
    <w:rsid w:val="00B46D5A"/>
    <w:rsid w:val="00B4766D"/>
    <w:rsid w:val="00B50106"/>
    <w:rsid w:val="00B50E68"/>
    <w:rsid w:val="00B53643"/>
    <w:rsid w:val="00B622D9"/>
    <w:rsid w:val="00B63D68"/>
    <w:rsid w:val="00B6706D"/>
    <w:rsid w:val="00B675A5"/>
    <w:rsid w:val="00B716E9"/>
    <w:rsid w:val="00B77434"/>
    <w:rsid w:val="00B776BC"/>
    <w:rsid w:val="00B778FA"/>
    <w:rsid w:val="00B84D7E"/>
    <w:rsid w:val="00B84FDF"/>
    <w:rsid w:val="00B93782"/>
    <w:rsid w:val="00B94E06"/>
    <w:rsid w:val="00B952E8"/>
    <w:rsid w:val="00B9705D"/>
    <w:rsid w:val="00BA4E6A"/>
    <w:rsid w:val="00BA56FB"/>
    <w:rsid w:val="00BB7A5D"/>
    <w:rsid w:val="00BB7C53"/>
    <w:rsid w:val="00BC25F4"/>
    <w:rsid w:val="00BC446D"/>
    <w:rsid w:val="00BC6AE8"/>
    <w:rsid w:val="00BE5B60"/>
    <w:rsid w:val="00BF1838"/>
    <w:rsid w:val="00BF49D6"/>
    <w:rsid w:val="00C04961"/>
    <w:rsid w:val="00C0747C"/>
    <w:rsid w:val="00C11F5A"/>
    <w:rsid w:val="00C13C0F"/>
    <w:rsid w:val="00C25346"/>
    <w:rsid w:val="00C26ED5"/>
    <w:rsid w:val="00C315BD"/>
    <w:rsid w:val="00C33750"/>
    <w:rsid w:val="00C421FA"/>
    <w:rsid w:val="00C5443F"/>
    <w:rsid w:val="00C557E6"/>
    <w:rsid w:val="00C72E3F"/>
    <w:rsid w:val="00C75645"/>
    <w:rsid w:val="00C815A4"/>
    <w:rsid w:val="00C82E44"/>
    <w:rsid w:val="00C840B5"/>
    <w:rsid w:val="00C85826"/>
    <w:rsid w:val="00C868F8"/>
    <w:rsid w:val="00C90F22"/>
    <w:rsid w:val="00C9464F"/>
    <w:rsid w:val="00C97249"/>
    <w:rsid w:val="00CA66D3"/>
    <w:rsid w:val="00CB08BB"/>
    <w:rsid w:val="00CB131C"/>
    <w:rsid w:val="00CB2125"/>
    <w:rsid w:val="00CC16A5"/>
    <w:rsid w:val="00CC1BDD"/>
    <w:rsid w:val="00CC2647"/>
    <w:rsid w:val="00CC28B0"/>
    <w:rsid w:val="00CC7899"/>
    <w:rsid w:val="00CD17DA"/>
    <w:rsid w:val="00CD28BF"/>
    <w:rsid w:val="00CD618A"/>
    <w:rsid w:val="00CE6444"/>
    <w:rsid w:val="00CE7AF6"/>
    <w:rsid w:val="00D04125"/>
    <w:rsid w:val="00D12641"/>
    <w:rsid w:val="00D130D1"/>
    <w:rsid w:val="00D22523"/>
    <w:rsid w:val="00D260E3"/>
    <w:rsid w:val="00D300BF"/>
    <w:rsid w:val="00D335CE"/>
    <w:rsid w:val="00D404B7"/>
    <w:rsid w:val="00D521E2"/>
    <w:rsid w:val="00D5285A"/>
    <w:rsid w:val="00D540A6"/>
    <w:rsid w:val="00D55FB1"/>
    <w:rsid w:val="00D64336"/>
    <w:rsid w:val="00D65C2D"/>
    <w:rsid w:val="00D675EB"/>
    <w:rsid w:val="00D712CF"/>
    <w:rsid w:val="00D717F3"/>
    <w:rsid w:val="00D73383"/>
    <w:rsid w:val="00D74380"/>
    <w:rsid w:val="00D75CA2"/>
    <w:rsid w:val="00D82E34"/>
    <w:rsid w:val="00D844FC"/>
    <w:rsid w:val="00D86EAE"/>
    <w:rsid w:val="00D92971"/>
    <w:rsid w:val="00DB07AB"/>
    <w:rsid w:val="00DB5305"/>
    <w:rsid w:val="00DC204D"/>
    <w:rsid w:val="00DC4ED2"/>
    <w:rsid w:val="00DC5447"/>
    <w:rsid w:val="00DC7C12"/>
    <w:rsid w:val="00DD2635"/>
    <w:rsid w:val="00DD4ADB"/>
    <w:rsid w:val="00DE070F"/>
    <w:rsid w:val="00DE133E"/>
    <w:rsid w:val="00DE789D"/>
    <w:rsid w:val="00E001D9"/>
    <w:rsid w:val="00E02B6B"/>
    <w:rsid w:val="00E1030F"/>
    <w:rsid w:val="00E11A36"/>
    <w:rsid w:val="00E12556"/>
    <w:rsid w:val="00E13DFF"/>
    <w:rsid w:val="00E22586"/>
    <w:rsid w:val="00E2382C"/>
    <w:rsid w:val="00E2567D"/>
    <w:rsid w:val="00E30626"/>
    <w:rsid w:val="00E34C91"/>
    <w:rsid w:val="00E355AD"/>
    <w:rsid w:val="00E35985"/>
    <w:rsid w:val="00E47682"/>
    <w:rsid w:val="00E50AFF"/>
    <w:rsid w:val="00E52E9D"/>
    <w:rsid w:val="00E60201"/>
    <w:rsid w:val="00E617A2"/>
    <w:rsid w:val="00E65F8F"/>
    <w:rsid w:val="00E71A80"/>
    <w:rsid w:val="00E72349"/>
    <w:rsid w:val="00E7618B"/>
    <w:rsid w:val="00E77C50"/>
    <w:rsid w:val="00E93606"/>
    <w:rsid w:val="00E950DE"/>
    <w:rsid w:val="00EA1408"/>
    <w:rsid w:val="00EA73F2"/>
    <w:rsid w:val="00EB0730"/>
    <w:rsid w:val="00EB7A53"/>
    <w:rsid w:val="00ED1F57"/>
    <w:rsid w:val="00ED7174"/>
    <w:rsid w:val="00EE64B5"/>
    <w:rsid w:val="00F04800"/>
    <w:rsid w:val="00F05B78"/>
    <w:rsid w:val="00F06D74"/>
    <w:rsid w:val="00F077F6"/>
    <w:rsid w:val="00F07CDC"/>
    <w:rsid w:val="00F103D7"/>
    <w:rsid w:val="00F1546C"/>
    <w:rsid w:val="00F23EF6"/>
    <w:rsid w:val="00F266D2"/>
    <w:rsid w:val="00F4024C"/>
    <w:rsid w:val="00F41613"/>
    <w:rsid w:val="00F41A14"/>
    <w:rsid w:val="00F430D2"/>
    <w:rsid w:val="00F43B62"/>
    <w:rsid w:val="00F465ED"/>
    <w:rsid w:val="00F4673C"/>
    <w:rsid w:val="00F469A8"/>
    <w:rsid w:val="00F55A98"/>
    <w:rsid w:val="00F57725"/>
    <w:rsid w:val="00F652F1"/>
    <w:rsid w:val="00F66C43"/>
    <w:rsid w:val="00F71122"/>
    <w:rsid w:val="00F71888"/>
    <w:rsid w:val="00F817E9"/>
    <w:rsid w:val="00F81AC5"/>
    <w:rsid w:val="00F87BC9"/>
    <w:rsid w:val="00F90A4C"/>
    <w:rsid w:val="00FA0812"/>
    <w:rsid w:val="00FA3502"/>
    <w:rsid w:val="00FB6C79"/>
    <w:rsid w:val="00FC03A4"/>
    <w:rsid w:val="00FC69ED"/>
    <w:rsid w:val="00FD3246"/>
    <w:rsid w:val="00FE43FA"/>
    <w:rsid w:val="00FE7DF5"/>
    <w:rsid w:val="00FF0E62"/>
    <w:rsid w:val="00FF7431"/>
    <w:rsid w:val="643201D6"/>
    <w:rsid w:val="BFFDE4BC"/>
    <w:rsid w:val="FFEFB2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35"/>
    <w:qFormat/>
    <w:uiPriority w:val="9"/>
    <w:pPr>
      <w:keepNext/>
      <w:keepLines/>
      <w:spacing w:before="340" w:after="330" w:line="578" w:lineRule="auto"/>
      <w:outlineLvl w:val="0"/>
    </w:pPr>
    <w:rPr>
      <w:b/>
      <w:bCs/>
      <w:kern w:val="44"/>
      <w:sz w:val="44"/>
      <w:szCs w:val="44"/>
    </w:rPr>
  </w:style>
  <w:style w:type="paragraph" w:styleId="3">
    <w:name w:val="heading 2"/>
    <w:basedOn w:val="4"/>
    <w:next w:val="1"/>
    <w:link w:val="24"/>
    <w:qFormat/>
    <w:uiPriority w:val="9"/>
    <w:pPr>
      <w:keepNext w:val="0"/>
      <w:keepLines w:val="0"/>
      <w:spacing w:beforeLines="50" w:afterLines="50" w:line="560" w:lineRule="exact"/>
      <w:ind w:firstLine="707" w:firstLineChars="221"/>
      <w:outlineLvl w:val="1"/>
    </w:pPr>
    <w:rPr>
      <w:rFonts w:ascii="方正小标宋简体" w:hAnsi="等线" w:eastAsia="方正小标宋简体" w:cs="Times New Roman"/>
      <w:b w:val="0"/>
      <w:bCs w:val="0"/>
    </w:rPr>
  </w:style>
  <w:style w:type="paragraph" w:styleId="4">
    <w:name w:val="heading 3"/>
    <w:basedOn w:val="1"/>
    <w:next w:val="1"/>
    <w:link w:val="26"/>
    <w:semiHidden/>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semiHidden/>
    <w:qFormat/>
    <w:uiPriority w:val="99"/>
    <w:pPr>
      <w:ind w:firstLine="420" w:firstLineChars="200"/>
    </w:pPr>
    <w:rPr>
      <w:rFonts w:ascii="Times New Roman" w:hAnsi="Times New Roman" w:cs="Times New Roman"/>
    </w:rPr>
  </w:style>
  <w:style w:type="paragraph" w:styleId="6">
    <w:name w:val="Body Text Indent"/>
    <w:basedOn w:val="1"/>
    <w:link w:val="27"/>
    <w:semiHidden/>
    <w:unhideWhenUsed/>
    <w:qFormat/>
    <w:uiPriority w:val="99"/>
    <w:pPr>
      <w:spacing w:after="120"/>
      <w:ind w:left="420" w:leftChars="200"/>
    </w:pPr>
  </w:style>
  <w:style w:type="paragraph" w:styleId="7">
    <w:name w:val="Plain Text"/>
    <w:basedOn w:val="1"/>
    <w:link w:val="30"/>
    <w:unhideWhenUsed/>
    <w:qFormat/>
    <w:uiPriority w:val="0"/>
    <w:rPr>
      <w:rFonts w:ascii="宋体" w:hAnsi="Courier New" w:cs="Courier New"/>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3"/>
    <w:semiHidden/>
    <w:unhideWhenUsed/>
    <w:qFormat/>
    <w:uiPriority w:val="99"/>
    <w:rPr>
      <w:sz w:val="18"/>
      <w:szCs w:val="18"/>
    </w:rPr>
  </w:style>
  <w:style w:type="paragraph" w:styleId="10">
    <w:name w:val="footer"/>
    <w:basedOn w:val="1"/>
    <w:link w:val="22"/>
    <w:unhideWhenUsed/>
    <w:qFormat/>
    <w:uiPriority w:val="99"/>
    <w:pPr>
      <w:tabs>
        <w:tab w:val="center" w:pos="4153"/>
        <w:tab w:val="right" w:pos="8306"/>
      </w:tabs>
      <w:snapToGrid w:val="0"/>
      <w:jc w:val="left"/>
    </w:pPr>
    <w:rPr>
      <w:sz w:val="18"/>
      <w:szCs w:val="18"/>
    </w:rPr>
  </w:style>
  <w:style w:type="paragraph" w:styleId="11">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footnote text"/>
    <w:basedOn w:val="1"/>
    <w:link w:val="25"/>
    <w:unhideWhenUsed/>
    <w:qFormat/>
    <w:uiPriority w:val="0"/>
    <w:pPr>
      <w:snapToGrid w:val="0"/>
      <w:jc w:val="left"/>
    </w:pPr>
    <w:rPr>
      <w:rFonts w:ascii="Times New Roman" w:hAnsi="Times New Roman" w:cs="Times New Roman"/>
      <w:sz w:val="18"/>
      <w:szCs w:val="24"/>
    </w:rPr>
  </w:style>
  <w:style w:type="paragraph" w:styleId="13">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14">
    <w:name w:val="Body Text First Indent 2"/>
    <w:basedOn w:val="6"/>
    <w:link w:val="28"/>
    <w:qFormat/>
    <w:uiPriority w:val="0"/>
    <w:pPr>
      <w:widowControl/>
      <w:tabs>
        <w:tab w:val="left" w:pos="-5"/>
      </w:tabs>
      <w:spacing w:line="276" w:lineRule="auto"/>
      <w:ind w:left="200" w:firstLine="420" w:firstLineChars="200"/>
      <w:jc w:val="left"/>
    </w:pPr>
    <w:rPr>
      <w:rFonts w:eastAsia="仿宋_GB2312" w:cs="Times New Roman"/>
      <w:sz w:val="32"/>
      <w:szCs w:val="22"/>
    </w:rPr>
  </w:style>
  <w:style w:type="table" w:styleId="16">
    <w:name w:val="Table Grid"/>
    <w:basedOn w:val="15"/>
    <w:qFormat/>
    <w:uiPriority w:val="59"/>
    <w:rPr>
      <w:rFonts w:ascii="Calibri" w:hAnsi="Calibri" w:eastAsia="微软雅黑" w:cs="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0"/>
    <w:rPr>
      <w:b/>
    </w:rPr>
  </w:style>
  <w:style w:type="character" w:styleId="19">
    <w:name w:val="footnote reference"/>
    <w:basedOn w:val="17"/>
    <w:unhideWhenUsed/>
    <w:qFormat/>
    <w:uiPriority w:val="0"/>
    <w:rPr>
      <w:vertAlign w:val="superscript"/>
    </w:rPr>
  </w:style>
  <w:style w:type="paragraph" w:styleId="20">
    <w:name w:val="List Paragraph"/>
    <w:basedOn w:val="1"/>
    <w:qFormat/>
    <w:uiPriority w:val="34"/>
    <w:pPr>
      <w:ind w:firstLine="420" w:firstLineChars="200"/>
    </w:pPr>
  </w:style>
  <w:style w:type="character" w:customStyle="1" w:styleId="21">
    <w:name w:val="页眉 Char"/>
    <w:basedOn w:val="17"/>
    <w:link w:val="11"/>
    <w:qFormat/>
    <w:uiPriority w:val="99"/>
    <w:rPr>
      <w:rFonts w:ascii="Calibri" w:hAnsi="Calibri" w:eastAsia="宋体" w:cs="Calibri"/>
      <w:sz w:val="18"/>
      <w:szCs w:val="18"/>
    </w:rPr>
  </w:style>
  <w:style w:type="character" w:customStyle="1" w:styleId="22">
    <w:name w:val="页脚 Char"/>
    <w:basedOn w:val="17"/>
    <w:link w:val="10"/>
    <w:qFormat/>
    <w:uiPriority w:val="99"/>
    <w:rPr>
      <w:rFonts w:ascii="Calibri" w:hAnsi="Calibri" w:eastAsia="宋体" w:cs="Calibri"/>
      <w:sz w:val="18"/>
      <w:szCs w:val="18"/>
    </w:rPr>
  </w:style>
  <w:style w:type="character" w:customStyle="1" w:styleId="23">
    <w:name w:val="批注框文本 Char"/>
    <w:basedOn w:val="17"/>
    <w:link w:val="9"/>
    <w:semiHidden/>
    <w:qFormat/>
    <w:uiPriority w:val="99"/>
    <w:rPr>
      <w:rFonts w:ascii="Calibri" w:hAnsi="Calibri" w:eastAsia="宋体" w:cs="Calibri"/>
      <w:sz w:val="18"/>
      <w:szCs w:val="18"/>
    </w:rPr>
  </w:style>
  <w:style w:type="character" w:customStyle="1" w:styleId="24">
    <w:name w:val="标题 2 Char"/>
    <w:basedOn w:val="17"/>
    <w:link w:val="3"/>
    <w:qFormat/>
    <w:uiPriority w:val="0"/>
    <w:rPr>
      <w:rFonts w:ascii="方正小标宋简体" w:hAnsi="等线" w:eastAsia="方正小标宋简体" w:cs="Times New Roman"/>
      <w:sz w:val="32"/>
      <w:szCs w:val="32"/>
    </w:rPr>
  </w:style>
  <w:style w:type="character" w:customStyle="1" w:styleId="25">
    <w:name w:val="脚注文本 Char"/>
    <w:basedOn w:val="17"/>
    <w:link w:val="12"/>
    <w:qFormat/>
    <w:uiPriority w:val="0"/>
    <w:rPr>
      <w:rFonts w:ascii="Times New Roman" w:hAnsi="Times New Roman" w:eastAsia="宋体" w:cs="Times New Roman"/>
      <w:sz w:val="18"/>
      <w:szCs w:val="24"/>
    </w:rPr>
  </w:style>
  <w:style w:type="character" w:customStyle="1" w:styleId="26">
    <w:name w:val="标题 3 Char"/>
    <w:basedOn w:val="17"/>
    <w:link w:val="4"/>
    <w:semiHidden/>
    <w:qFormat/>
    <w:uiPriority w:val="9"/>
    <w:rPr>
      <w:rFonts w:ascii="Calibri" w:hAnsi="Calibri" w:eastAsia="宋体" w:cs="Calibri"/>
      <w:b/>
      <w:bCs/>
      <w:sz w:val="32"/>
      <w:szCs w:val="32"/>
    </w:rPr>
  </w:style>
  <w:style w:type="character" w:customStyle="1" w:styleId="27">
    <w:name w:val="正文文本缩进 Char"/>
    <w:basedOn w:val="17"/>
    <w:link w:val="6"/>
    <w:qFormat/>
    <w:uiPriority w:val="0"/>
    <w:rPr>
      <w:rFonts w:ascii="Calibri" w:hAnsi="Calibri" w:eastAsia="宋体" w:cs="Calibri"/>
      <w:szCs w:val="21"/>
    </w:rPr>
  </w:style>
  <w:style w:type="character" w:customStyle="1" w:styleId="28">
    <w:name w:val="正文首行缩进 2 Char"/>
    <w:basedOn w:val="27"/>
    <w:link w:val="14"/>
    <w:qFormat/>
    <w:uiPriority w:val="0"/>
    <w:rPr>
      <w:rFonts w:ascii="Calibri" w:hAnsi="Calibri" w:eastAsia="仿宋_GB2312" w:cs="Times New Roman"/>
      <w:sz w:val="32"/>
      <w:szCs w:val="21"/>
    </w:rPr>
  </w:style>
  <w:style w:type="paragraph" w:customStyle="1" w:styleId="29">
    <w:name w:val="样式1"/>
    <w:basedOn w:val="1"/>
    <w:qFormat/>
    <w:uiPriority w:val="0"/>
    <w:pPr>
      <w:autoSpaceDN w:val="0"/>
      <w:spacing w:line="540" w:lineRule="atLeast"/>
      <w:jc w:val="center"/>
    </w:pPr>
    <w:rPr>
      <w:rFonts w:ascii="方正粗黑宋简体" w:hAnsi="方正粗黑宋简体" w:eastAsia="方正粗黑宋简体" w:cs="仿宋"/>
      <w:sz w:val="44"/>
      <w:szCs w:val="44"/>
    </w:rPr>
  </w:style>
  <w:style w:type="character" w:customStyle="1" w:styleId="30">
    <w:name w:val="纯文本 Char"/>
    <w:basedOn w:val="17"/>
    <w:link w:val="7"/>
    <w:semiHidden/>
    <w:qFormat/>
    <w:uiPriority w:val="99"/>
    <w:rPr>
      <w:rFonts w:ascii="宋体" w:hAnsi="Courier New" w:eastAsia="宋体" w:cs="Courier New"/>
      <w:szCs w:val="21"/>
    </w:rPr>
  </w:style>
  <w:style w:type="paragraph" w:customStyle="1" w:styleId="31">
    <w:name w:val="Body text|1"/>
    <w:basedOn w:val="1"/>
    <w:qFormat/>
    <w:uiPriority w:val="0"/>
    <w:pPr>
      <w:spacing w:line="437" w:lineRule="auto"/>
      <w:ind w:firstLine="400"/>
    </w:pPr>
    <w:rPr>
      <w:rFonts w:ascii="宋体" w:hAnsi="宋体" w:cs="宋体"/>
      <w:sz w:val="30"/>
      <w:szCs w:val="30"/>
      <w:lang w:val="zh-TW" w:eastAsia="zh-TW" w:bidi="zh-TW"/>
    </w:rPr>
  </w:style>
  <w:style w:type="paragraph" w:customStyle="1" w:styleId="32">
    <w:name w:val="p0"/>
    <w:basedOn w:val="1"/>
    <w:qFormat/>
    <w:uiPriority w:val="0"/>
    <w:pPr>
      <w:widowControl/>
    </w:pPr>
    <w:rPr>
      <w:rFonts w:ascii="Times New Roman" w:hAnsi="Times New Roman" w:eastAsiaTheme="minorEastAsia" w:cstheme="minorBidi"/>
      <w:kern w:val="0"/>
    </w:rPr>
  </w:style>
  <w:style w:type="character" w:customStyle="1" w:styleId="33">
    <w:name w:val="日期 Char"/>
    <w:basedOn w:val="17"/>
    <w:link w:val="8"/>
    <w:semiHidden/>
    <w:qFormat/>
    <w:uiPriority w:val="99"/>
    <w:rPr>
      <w:rFonts w:ascii="Calibri" w:hAnsi="Calibri" w:eastAsia="宋体" w:cs="Calibri"/>
      <w:szCs w:val="21"/>
    </w:rPr>
  </w:style>
  <w:style w:type="character" w:customStyle="1" w:styleId="34">
    <w:name w:val="xdrichtextbox"/>
    <w:basedOn w:val="17"/>
    <w:uiPriority w:val="0"/>
  </w:style>
  <w:style w:type="character" w:customStyle="1" w:styleId="35">
    <w:name w:val="标题 1 Char"/>
    <w:basedOn w:val="17"/>
    <w:link w:val="2"/>
    <w:uiPriority w:val="9"/>
    <w:rPr>
      <w:rFonts w:ascii="Calibri" w:hAnsi="Calibri" w:eastAsia="宋体" w:cs="Calibri"/>
      <w:b/>
      <w:bCs/>
      <w:kern w:val="44"/>
      <w:sz w:val="44"/>
      <w:szCs w:val="44"/>
    </w:rPr>
  </w:style>
  <w:style w:type="paragraph" w:styleId="36">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37">
    <w:name w:val="列出段落2"/>
    <w:basedOn w:val="1"/>
    <w:qFormat/>
    <w:uiPriority w:val="0"/>
    <w:pPr>
      <w:ind w:firstLine="420" w:firstLineChars="200"/>
    </w:pPr>
    <w:rPr>
      <w:rFonts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6E691249-1611-4659-A111-78D4ABE00F06}">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11</Pages>
  <Words>5341</Words>
  <Characters>5530</Characters>
  <Lines>41</Lines>
  <Paragraphs>11</Paragraphs>
  <TotalTime>2</TotalTime>
  <ScaleCrop>false</ScaleCrop>
  <LinksUpToDate>false</LinksUpToDate>
  <CharactersWithSpaces>5694</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2023-04-28T17:10:00Z</dcterms:created>
  <dc:creator>教育局纪检</dc:creator>
  <cp:lastModifiedBy>suma</cp:lastModifiedBy>
  <cp:lastPrinted>2020-09-08T14:28:00Z</cp:lastPrinted>
  <dcterms:modified xsi:type="dcterms:W3CDTF">2026-09-07T15:07:51Z</dcterms:modified>
  <cp:revision>195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eyJoZGlkIjoiNjcwOWYwMDg2MzBjMGQzODI4M2I0ZGZhMTEyZGQ0MjciLCJ1c2VySWQiOiI0NTk1MDYxODYifQ==</vt:lpwstr>
  </property>
  <property fmtid="{D5CDD505-2E9C-101B-9397-08002B2CF9AE}" pid="3" name="KSOProductBuildVer">
    <vt:lpwstr>2052-12.1.2.22550</vt:lpwstr>
  </property>
  <property fmtid="{D5CDD505-2E9C-101B-9397-08002B2CF9AE}" pid="4" name="ICV">
    <vt:lpwstr>4AB03715055C414642629E6AED58A430_43</vt:lpwstr>
  </property>
</Properties>
</file>