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FDA832">
      <w:pPr>
        <w:widowControl w:val="0"/>
        <w:kinsoku/>
        <w:autoSpaceDE/>
        <w:autoSpaceDN/>
        <w:adjustRightInd/>
        <w:snapToGrid/>
        <w:spacing w:line="600" w:lineRule="exact"/>
        <w:jc w:val="center"/>
        <w:textAlignment w:val="auto"/>
        <w:rPr>
          <w:rFonts w:hint="eastAsia" w:ascii="方正小标宋简体" w:hAnsi="方正小标宋简体" w:eastAsia="方正小标宋简体" w:cs="方正小标宋简体"/>
          <w:snapToGrid/>
          <w:kern w:val="2"/>
          <w:sz w:val="44"/>
          <w:szCs w:val="44"/>
          <w:lang w:eastAsia="zh-CN"/>
        </w:rPr>
      </w:pPr>
      <w:bookmarkStart w:id="0" w:name="_GoBack"/>
      <w:r>
        <w:rPr>
          <w:rFonts w:hint="eastAsia" w:ascii="方正小标宋简体" w:hAnsi="方正小标宋简体" w:eastAsia="方正小标宋简体" w:cs="方正小标宋简体"/>
          <w:snapToGrid/>
          <w:kern w:val="2"/>
          <w:sz w:val="44"/>
          <w:szCs w:val="44"/>
          <w:lang w:eastAsia="zh-CN"/>
        </w:rPr>
        <w:t>漯河市郾城区河南成臻安装工程有限公司“6·13”一般高处坠落事故评估报告</w:t>
      </w:r>
      <w:bookmarkEnd w:id="0"/>
    </w:p>
    <w:p w14:paraId="144D9B65">
      <w:pPr>
        <w:spacing w:line="424" w:lineRule="auto"/>
        <w:rPr>
          <w:rFonts w:ascii="Arial"/>
          <w:sz w:val="21"/>
        </w:rPr>
      </w:pPr>
    </w:p>
    <w:p w14:paraId="4CB5C10A">
      <w:pPr>
        <w:widowControl w:val="0"/>
        <w:kinsoku/>
        <w:autoSpaceDE/>
        <w:autoSpaceDN/>
        <w:adjustRightInd/>
        <w:snapToGrid/>
        <w:spacing w:line="600" w:lineRule="exact"/>
        <w:ind w:firstLine="640" w:firstLineChars="200"/>
        <w:jc w:val="both"/>
        <w:textAlignment w:val="auto"/>
        <w:rPr>
          <w:rFonts w:hint="eastAsia" w:ascii="仿宋_GB2312" w:hAnsi="仿宋_GB2312" w:eastAsia="仿宋_GB2312" w:cs="仿宋_GB2312"/>
          <w:snapToGrid/>
          <w:kern w:val="2"/>
          <w:sz w:val="32"/>
          <w:szCs w:val="32"/>
          <w:lang w:eastAsia="zh-CN"/>
        </w:rPr>
      </w:pPr>
      <w:r>
        <w:rPr>
          <w:rFonts w:hint="eastAsia" w:ascii="仿宋_GB2312" w:hAnsi="仿宋_GB2312" w:eastAsia="仿宋_GB2312" w:cs="仿宋_GB2312"/>
          <w:snapToGrid/>
          <w:kern w:val="2"/>
          <w:sz w:val="32"/>
          <w:szCs w:val="32"/>
          <w:lang w:eastAsia="zh-CN"/>
        </w:rPr>
        <w:t>2023年6月13日8时10分左右，河南成臻安装工程有限公司在漯河市新旺化工有限公司污水处理项目安装施工期间发生一起高处坠落事故，造成1人死亡，直接经济损失约105万元。事故发生后，我区成立事故调查组对事故开展调查，形成《漯河市郾城区河南成臻安装工程有限公司</w:t>
      </w:r>
      <w:r>
        <w:rPr>
          <w:rFonts w:hint="eastAsia" w:ascii="仿宋_GB2312" w:hAnsi="仿宋_GB2312" w:eastAsia="仿宋_GB2312" w:cs="仿宋_GB2312"/>
          <w:snapToGrid/>
          <w:kern w:val="2"/>
          <w:sz w:val="32"/>
          <w:szCs w:val="32"/>
          <w:lang w:eastAsia="zh-CN"/>
        </w:rPr>
        <w:t>“6·13”一般高处坠落事故调查报告》。</w:t>
      </w:r>
    </w:p>
    <w:p w14:paraId="02ACE526">
      <w:pPr>
        <w:widowControl w:val="0"/>
        <w:kinsoku/>
        <w:autoSpaceDE/>
        <w:autoSpaceDN/>
        <w:adjustRightInd/>
        <w:snapToGrid/>
        <w:spacing w:line="600" w:lineRule="exact"/>
        <w:ind w:firstLine="640" w:firstLineChars="200"/>
        <w:jc w:val="both"/>
        <w:textAlignment w:val="auto"/>
        <w:rPr>
          <w:rFonts w:hint="eastAsia" w:ascii="仿宋_GB2312" w:hAnsi="仿宋_GB2312" w:eastAsia="仿宋_GB2312" w:cs="仿宋_GB2312"/>
          <w:snapToGrid/>
          <w:kern w:val="2"/>
          <w:sz w:val="32"/>
          <w:szCs w:val="32"/>
          <w:lang w:eastAsia="zh-CN"/>
        </w:rPr>
      </w:pPr>
      <w:r>
        <w:rPr>
          <w:rFonts w:hint="eastAsia" w:ascii="仿宋_GB2312" w:hAnsi="仿宋_GB2312" w:eastAsia="仿宋_GB2312" w:cs="仿宋_GB2312"/>
          <w:snapToGrid/>
          <w:kern w:val="2"/>
          <w:sz w:val="32"/>
          <w:szCs w:val="32"/>
          <w:lang w:eastAsia="zh-CN"/>
        </w:rPr>
        <w:t>依据《中华人民共和国安全生产法》《国务院安委会办公室关于印发生产安全事故防范和整改措施落实情况评估办法的通知》(安委办〔2021〕4号)规定，区安委办组织评估组对漯河市郾城区河南成臻安装工程有限公司“6·13”一般高处坠落事故责任追究和整改措施落实情况进行评估，</w:t>
      </w:r>
      <w:r>
        <w:rPr>
          <w:rFonts w:hint="eastAsia" w:ascii="仿宋_GB2312" w:hAnsi="仿宋_GB2312" w:eastAsia="仿宋_GB2312" w:cs="仿宋_GB2312"/>
          <w:snapToGrid/>
          <w:kern w:val="2"/>
          <w:sz w:val="32"/>
          <w:szCs w:val="32"/>
          <w:lang w:eastAsia="zh-CN"/>
        </w:rPr>
        <w:t>现将有关情况报告如下：</w:t>
      </w:r>
    </w:p>
    <w:p w14:paraId="76B50C1C">
      <w:pPr>
        <w:widowControl w:val="0"/>
        <w:kinsoku/>
        <w:autoSpaceDE/>
        <w:autoSpaceDN/>
        <w:adjustRightInd/>
        <w:snapToGrid/>
        <w:spacing w:line="600" w:lineRule="exact"/>
        <w:ind w:firstLine="640" w:firstLineChars="200"/>
        <w:jc w:val="both"/>
        <w:textAlignment w:val="auto"/>
        <w:rPr>
          <w:rFonts w:hint="eastAsia" w:ascii="黑体" w:hAnsi="黑体" w:eastAsia="黑体" w:cs="黑体"/>
          <w:snapToGrid/>
          <w:kern w:val="2"/>
          <w:sz w:val="32"/>
          <w:szCs w:val="32"/>
          <w:lang w:eastAsia="zh-CN"/>
        </w:rPr>
      </w:pPr>
      <w:r>
        <w:rPr>
          <w:rFonts w:hint="eastAsia" w:ascii="黑体" w:hAnsi="黑体" w:eastAsia="黑体" w:cs="黑体"/>
          <w:snapToGrid/>
          <w:kern w:val="2"/>
          <w:sz w:val="32"/>
          <w:szCs w:val="32"/>
          <w:lang w:eastAsia="zh-CN"/>
        </w:rPr>
        <w:t>一、评估工作组织开展情况</w:t>
      </w:r>
    </w:p>
    <w:p w14:paraId="70B69D53">
      <w:pPr>
        <w:widowControl w:val="0"/>
        <w:kinsoku/>
        <w:autoSpaceDE/>
        <w:autoSpaceDN/>
        <w:adjustRightInd/>
        <w:snapToGrid/>
        <w:spacing w:line="600" w:lineRule="exact"/>
        <w:ind w:firstLine="640" w:firstLineChars="200"/>
        <w:jc w:val="both"/>
        <w:textAlignment w:val="auto"/>
        <w:rPr>
          <w:rFonts w:hint="eastAsia" w:ascii="仿宋_GB2312" w:hAnsi="仿宋_GB2312" w:eastAsia="仿宋_GB2312" w:cs="仿宋_GB2312"/>
          <w:snapToGrid/>
          <w:kern w:val="2"/>
          <w:sz w:val="32"/>
          <w:szCs w:val="32"/>
          <w:lang w:eastAsia="zh-CN"/>
        </w:rPr>
      </w:pPr>
      <w:r>
        <w:rPr>
          <w:rFonts w:hint="eastAsia" w:ascii="仿宋_GB2312" w:hAnsi="仿宋_GB2312" w:eastAsia="仿宋_GB2312" w:cs="仿宋_GB2312"/>
          <w:snapToGrid/>
          <w:kern w:val="2"/>
          <w:sz w:val="32"/>
          <w:szCs w:val="32"/>
          <w:lang w:eastAsia="zh-CN"/>
        </w:rPr>
        <w:t>评</w:t>
      </w:r>
      <w:r>
        <w:rPr>
          <w:rFonts w:hint="eastAsia" w:ascii="仿宋_GB2312" w:hAnsi="仿宋_GB2312" w:eastAsia="仿宋_GB2312" w:cs="仿宋_GB2312"/>
          <w:snapToGrid/>
          <w:kern w:val="2"/>
          <w:sz w:val="32"/>
          <w:szCs w:val="32"/>
          <w:lang w:eastAsia="zh-CN"/>
        </w:rPr>
        <w:t>估依据《漯河市郾城区河南成臻安装工程有限公司“6·13”一般高处坠落事故调查报告》,梳理事故责任追究，有关部门履行行业监管职责，落实事故整改措施等情况，评估组采取调阅事故原始档案，查阅相关文件资料，座谈问询、现场检查，听取事故单位汇报等方式，深入开展事故评估工作。对评估过程中发现的问题，及时向评估组反馈，形成了事故责任追究和整改措施落实情况的评估报告。</w:t>
      </w:r>
    </w:p>
    <w:p w14:paraId="520A25E8">
      <w:pPr>
        <w:widowControl w:val="0"/>
        <w:kinsoku/>
        <w:autoSpaceDE/>
        <w:autoSpaceDN/>
        <w:adjustRightInd/>
        <w:snapToGrid/>
        <w:spacing w:line="600" w:lineRule="exact"/>
        <w:ind w:firstLine="640" w:firstLineChars="200"/>
        <w:jc w:val="both"/>
        <w:textAlignment w:val="auto"/>
        <w:rPr>
          <w:rFonts w:hint="eastAsia" w:ascii="黑体" w:hAnsi="黑体" w:eastAsia="黑体" w:cs="黑体"/>
          <w:snapToGrid/>
          <w:kern w:val="2"/>
          <w:sz w:val="32"/>
          <w:szCs w:val="32"/>
          <w:lang w:eastAsia="zh-CN"/>
        </w:rPr>
      </w:pPr>
      <w:r>
        <w:rPr>
          <w:rFonts w:hint="eastAsia" w:ascii="黑体" w:hAnsi="黑体" w:eastAsia="黑体" w:cs="黑体"/>
          <w:snapToGrid/>
          <w:kern w:val="2"/>
          <w:sz w:val="32"/>
          <w:szCs w:val="32"/>
          <w:lang w:eastAsia="zh-CN"/>
        </w:rPr>
        <w:t>二、事故防范及整改措施落实情况</w:t>
      </w:r>
    </w:p>
    <w:p w14:paraId="5CB4CD18">
      <w:pPr>
        <w:widowControl w:val="0"/>
        <w:kinsoku/>
        <w:autoSpaceDE/>
        <w:autoSpaceDN/>
        <w:adjustRightInd/>
        <w:snapToGrid/>
        <w:spacing w:line="600" w:lineRule="exact"/>
        <w:ind w:firstLine="643" w:firstLineChars="200"/>
        <w:jc w:val="both"/>
        <w:textAlignment w:val="auto"/>
        <w:rPr>
          <w:rFonts w:hint="eastAsia" w:ascii="仿宋_GB2312" w:hAnsi="仿宋_GB2312" w:eastAsia="仿宋_GB2312" w:cs="仿宋_GB2312"/>
          <w:snapToGrid/>
          <w:kern w:val="2"/>
          <w:sz w:val="32"/>
          <w:szCs w:val="32"/>
          <w:lang w:eastAsia="zh-CN"/>
        </w:rPr>
      </w:pPr>
      <w:r>
        <w:rPr>
          <w:rFonts w:hint="eastAsia" w:ascii="楷体_GB2312" w:hAnsi="楷体_GB2312" w:eastAsia="楷体_GB2312" w:cs="楷体_GB2312"/>
          <w:b/>
          <w:bCs/>
          <w:snapToGrid/>
          <w:kern w:val="2"/>
          <w:sz w:val="32"/>
          <w:szCs w:val="32"/>
          <w:lang w:eastAsia="zh-CN"/>
        </w:rPr>
        <w:t>(一)河南成臻安装工程有限公司。</w:t>
      </w:r>
      <w:r>
        <w:rPr>
          <w:rFonts w:hint="eastAsia" w:ascii="仿宋_GB2312" w:hAnsi="仿宋_GB2312" w:eastAsia="仿宋_GB2312" w:cs="仿宋_GB2312"/>
          <w:snapToGrid/>
          <w:kern w:val="2"/>
          <w:sz w:val="32"/>
          <w:szCs w:val="32"/>
          <w:lang w:eastAsia="zh-CN"/>
        </w:rPr>
        <w:t>一是严格审核把关特种操作资格证人员持证上岗，禁止无持有效特种操作资格证人员冒险作业。二是建立了全员安全生产责任制，明确了作业人员的作业内容、岗位操作规程、岗位责任及考核标准等内容。三是建立了安全风险分级管控制度，并按照安全风险分级采取相应的管控措施，制定了生产安全事故隐患排查治理制度，开展了安全检查，对发现的问题及时整改。四是通过现场检查、安全生产专题会和教育培训严格监督和教育从业人员作业时按照使用规则佩戴、使用劳动防护用品，严格执行项目部的各项规章制度和行业安全技术规范。</w:t>
      </w:r>
    </w:p>
    <w:p w14:paraId="319B6953">
      <w:pPr>
        <w:widowControl w:val="0"/>
        <w:kinsoku/>
        <w:autoSpaceDE/>
        <w:autoSpaceDN/>
        <w:adjustRightInd/>
        <w:snapToGrid/>
        <w:spacing w:line="600" w:lineRule="exact"/>
        <w:ind w:firstLine="643" w:firstLineChars="200"/>
        <w:jc w:val="both"/>
        <w:textAlignment w:val="auto"/>
        <w:rPr>
          <w:rFonts w:hint="eastAsia" w:ascii="仿宋_GB2312" w:hAnsi="仿宋_GB2312" w:eastAsia="仿宋_GB2312" w:cs="仿宋_GB2312"/>
          <w:snapToGrid/>
          <w:kern w:val="2"/>
          <w:sz w:val="32"/>
          <w:szCs w:val="32"/>
          <w:lang w:eastAsia="zh-CN"/>
        </w:rPr>
      </w:pPr>
      <w:r>
        <w:rPr>
          <w:rFonts w:hint="eastAsia" w:ascii="楷体_GB2312" w:hAnsi="楷体_GB2312" w:eastAsia="楷体_GB2312" w:cs="楷体_GB2312"/>
          <w:b/>
          <w:bCs/>
          <w:snapToGrid/>
          <w:kern w:val="2"/>
          <w:sz w:val="32"/>
          <w:szCs w:val="32"/>
          <w:lang w:eastAsia="zh-CN"/>
        </w:rPr>
        <w:t>(二)漯河市新旺化工有限公司。</w:t>
      </w:r>
      <w:r>
        <w:rPr>
          <w:rFonts w:hint="eastAsia" w:ascii="仿宋_GB2312" w:hAnsi="仿宋_GB2312" w:eastAsia="仿宋_GB2312" w:cs="仿宋_GB2312"/>
          <w:snapToGrid/>
          <w:kern w:val="2"/>
          <w:sz w:val="32"/>
          <w:szCs w:val="32"/>
          <w:lang w:eastAsia="zh-CN"/>
        </w:rPr>
        <w:t>一是完善安全生产管理制度，严格危险作业审批、技术交底和过程监护，特别是重点完善并落实改扩建工程相关制度；二是加强对承包单位安全生产工作的统一协调、管理，细化安全生产管理职责和工作任务，督促施工单位落实安全生产管理职责；三是加强对承包单位的安全检查，检查相关方负责人、安全、生产技术人员到岗履职情况，严格把关相关方人员的安全培训情况、现场安全防护措施落实情况、特殊作业人员持证情况等，及时发现安全问题并督促整改，坚决预防生产安全事故的发生。</w:t>
      </w:r>
    </w:p>
    <w:p w14:paraId="4B0A4A60">
      <w:pPr>
        <w:widowControl w:val="0"/>
        <w:kinsoku/>
        <w:autoSpaceDE/>
        <w:autoSpaceDN/>
        <w:adjustRightInd/>
        <w:snapToGrid/>
        <w:spacing w:line="600" w:lineRule="exact"/>
        <w:ind w:firstLine="643" w:firstLineChars="200"/>
        <w:jc w:val="both"/>
        <w:textAlignment w:val="auto"/>
        <w:rPr>
          <w:rFonts w:hint="eastAsia" w:ascii="仿宋_GB2312" w:hAnsi="仿宋_GB2312" w:eastAsia="仿宋_GB2312" w:cs="仿宋_GB2312"/>
          <w:snapToGrid/>
          <w:kern w:val="2"/>
          <w:sz w:val="32"/>
          <w:szCs w:val="32"/>
          <w:lang w:eastAsia="zh-CN"/>
        </w:rPr>
      </w:pPr>
      <w:r>
        <w:rPr>
          <w:rFonts w:hint="eastAsia" w:ascii="楷体_GB2312" w:hAnsi="楷体_GB2312" w:eastAsia="楷体_GB2312" w:cs="楷体_GB2312"/>
          <w:b/>
          <w:bCs/>
          <w:snapToGrid/>
          <w:kern w:val="2"/>
          <w:sz w:val="32"/>
          <w:szCs w:val="32"/>
          <w:lang w:eastAsia="zh-CN"/>
        </w:rPr>
        <w:t>(三)各镇(街道)、各单位。</w:t>
      </w:r>
      <w:r>
        <w:rPr>
          <w:rFonts w:hint="eastAsia" w:ascii="仿宋_GB2312" w:hAnsi="仿宋_GB2312" w:eastAsia="仿宋_GB2312" w:cs="仿宋_GB2312"/>
          <w:snapToGrid/>
          <w:kern w:val="2"/>
          <w:sz w:val="32"/>
          <w:szCs w:val="32"/>
          <w:lang w:eastAsia="zh-CN"/>
        </w:rPr>
        <w:t>一是坚持深入学习习近平总书记关于安全生产重要论述和重要指示精神，将习近平 总书记关于安全生产、防灾减灾和应急管理等重要论述纳入理论学习中心组集中学习内容，筑牢安全发展理念。二是汲取事故教训，针对生产安全事故进行专题研究，对有关人员作出责令检查、通报批评、停职等处理，教育警醒安全生产从业人员，采取措施，确保安全生产持续稳定；三是加强安全生产检查，加大执法力度，对无视安全生产、违法违规建设和无证上岗的行为要及时制止，排除事故隐患并依法严厉查处，同时加大日常巡查和监管力度，防范类似事故发生。</w:t>
      </w:r>
    </w:p>
    <w:p w14:paraId="57D006B6">
      <w:pPr>
        <w:widowControl w:val="0"/>
        <w:kinsoku/>
        <w:autoSpaceDE/>
        <w:autoSpaceDN/>
        <w:adjustRightInd/>
        <w:snapToGrid/>
        <w:spacing w:line="600" w:lineRule="exact"/>
        <w:ind w:firstLine="640" w:firstLineChars="200"/>
        <w:jc w:val="both"/>
        <w:textAlignment w:val="auto"/>
        <w:rPr>
          <w:rFonts w:hint="eastAsia" w:ascii="仿宋_GB2312" w:hAnsi="仿宋_GB2312" w:eastAsia="仿宋_GB2312" w:cs="仿宋_GB2312"/>
          <w:snapToGrid/>
          <w:kern w:val="2"/>
          <w:sz w:val="32"/>
          <w:szCs w:val="32"/>
          <w:lang w:eastAsia="zh-CN"/>
        </w:rPr>
      </w:pPr>
      <w:r>
        <w:rPr>
          <w:rFonts w:hint="eastAsia" w:ascii="仿宋_GB2312" w:hAnsi="仿宋_GB2312" w:eastAsia="仿宋_GB2312" w:cs="仿宋_GB2312"/>
          <w:snapToGrid/>
          <w:kern w:val="2"/>
          <w:sz w:val="32"/>
          <w:szCs w:val="32"/>
          <w:lang w:eastAsia="zh-CN"/>
        </w:rPr>
        <w:t>综上，事故报告中提出的防范及整改措施基本落实。</w:t>
      </w:r>
    </w:p>
    <w:p w14:paraId="417B49F0">
      <w:pPr>
        <w:widowControl w:val="0"/>
        <w:kinsoku/>
        <w:autoSpaceDE/>
        <w:autoSpaceDN/>
        <w:adjustRightInd/>
        <w:snapToGrid/>
        <w:spacing w:line="600" w:lineRule="exact"/>
        <w:ind w:firstLine="640" w:firstLineChars="200"/>
        <w:jc w:val="both"/>
        <w:textAlignment w:val="auto"/>
        <w:rPr>
          <w:rFonts w:hint="eastAsia" w:ascii="黑体" w:hAnsi="黑体" w:eastAsia="黑体" w:cs="黑体"/>
          <w:snapToGrid/>
          <w:kern w:val="2"/>
          <w:sz w:val="32"/>
          <w:szCs w:val="32"/>
          <w:lang w:eastAsia="zh-CN"/>
        </w:rPr>
      </w:pPr>
      <w:r>
        <w:rPr>
          <w:rFonts w:hint="eastAsia" w:ascii="黑体" w:hAnsi="黑体" w:eastAsia="黑体" w:cs="黑体"/>
          <w:snapToGrid/>
          <w:kern w:val="2"/>
          <w:sz w:val="32"/>
          <w:szCs w:val="32"/>
          <w:lang w:eastAsia="zh-CN"/>
        </w:rPr>
        <w:t>三、评估意见</w:t>
      </w:r>
    </w:p>
    <w:p w14:paraId="6263F594">
      <w:pPr>
        <w:widowControl w:val="0"/>
        <w:kinsoku/>
        <w:autoSpaceDE/>
        <w:autoSpaceDN/>
        <w:adjustRightInd/>
        <w:snapToGrid/>
        <w:spacing w:line="600" w:lineRule="exact"/>
        <w:ind w:firstLine="640" w:firstLineChars="200"/>
        <w:jc w:val="both"/>
        <w:textAlignment w:val="auto"/>
        <w:rPr>
          <w:rFonts w:hint="eastAsia" w:ascii="仿宋_GB2312" w:hAnsi="仿宋_GB2312" w:eastAsia="仿宋_GB2312" w:cs="仿宋_GB2312"/>
          <w:snapToGrid/>
          <w:kern w:val="2"/>
          <w:sz w:val="32"/>
          <w:szCs w:val="32"/>
          <w:lang w:eastAsia="zh-CN"/>
        </w:rPr>
      </w:pPr>
      <w:r>
        <w:rPr>
          <w:rFonts w:hint="eastAsia" w:ascii="仿宋_GB2312" w:hAnsi="仿宋_GB2312" w:eastAsia="仿宋_GB2312" w:cs="仿宋_GB2312"/>
          <w:snapToGrid/>
          <w:kern w:val="2"/>
          <w:sz w:val="32"/>
          <w:szCs w:val="32"/>
          <w:lang w:eastAsia="zh-CN"/>
        </w:rPr>
        <w:t>经评估，相关部门严格按照区政府批复意见，对该起事故有关责任单位及责任人员作出了相关处理。事故企业吸取事故教训，落实了《事故调查报告》提出的事故防范和整改措施。相关部门和镇街坚持以案促改，举一反三，切实采取有效管控措施，加强安全监管。</w:t>
      </w:r>
    </w:p>
    <w:p w14:paraId="118EAAF3">
      <w:pPr>
        <w:widowControl w:val="0"/>
        <w:kinsoku/>
        <w:autoSpaceDE/>
        <w:autoSpaceDN/>
        <w:adjustRightInd/>
        <w:snapToGrid/>
        <w:spacing w:line="600" w:lineRule="exact"/>
        <w:ind w:firstLine="640" w:firstLineChars="200"/>
        <w:jc w:val="both"/>
        <w:textAlignment w:val="auto"/>
        <w:rPr>
          <w:rFonts w:hint="eastAsia" w:ascii="仿宋_GB2312" w:hAnsi="仿宋_GB2312" w:eastAsia="仿宋_GB2312" w:cs="仿宋_GB2312"/>
          <w:snapToGrid/>
          <w:kern w:val="2"/>
          <w:sz w:val="32"/>
          <w:szCs w:val="32"/>
          <w:lang w:eastAsia="zh-CN"/>
        </w:rPr>
      </w:pP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E4DB1">
    <w:pPr>
      <w:spacing w:line="235" w:lineRule="auto"/>
      <w:ind w:left="3619"/>
      <w:rPr>
        <w:rFonts w:ascii="宋体" w:hAnsi="宋体" w:eastAsia="宋体" w:cs="宋体"/>
        <w:sz w:val="31"/>
        <w:szCs w:val="31"/>
      </w:rPr>
    </w:pPr>
    <w:r>
      <w:rPr>
        <w:rFonts w:ascii="宋体" w:hAnsi="宋体" w:eastAsia="宋体" w:cs="宋体"/>
        <w:spacing w:val="-4"/>
        <w:sz w:val="31"/>
        <w:szCs w:val="31"/>
      </w:rPr>
      <w:t>—2—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036253"/>
    <w:rsid w:val="620362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4</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2026-04-08T01:12:00Z</dcterms:created>
  <dc:creator>李晶</dc:creator>
  <cp:lastModifiedBy>李晶</cp:lastModifiedBy>
  <dcterms:modified xsi:type="dcterms:W3CDTF">2026-04-08T01:19:33Z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851043A046BB4D0C96C50293554DC8DF_11</vt:lpwstr>
  </property>
  <property fmtid="{D5CDD505-2E9C-101B-9397-08002B2CF9AE}" pid="4" name="KSOTemplateDocerSaveRecord">
    <vt:lpwstr>eyJoZGlkIjoiMzhhNWQ3YjhlYTkzNjFiMzc5N2JjZTA3OGMxMjNhNDciLCJ1c2VySWQiOiIzOTczNTAxNDAifQ==</vt:lpwstr>
  </property>
</Properties>
</file>