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9BC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大标宋简体" w:hAnsi="方正大标宋简体" w:eastAsia="方正大标宋简体" w:cs="方正大标宋简体"/>
          <w:b w:val="0"/>
          <w:bCs w:val="0"/>
          <w:sz w:val="44"/>
          <w:szCs w:val="44"/>
        </w:rPr>
      </w:pPr>
      <w:r>
        <w:rPr>
          <w:rFonts w:hint="eastAsia" w:ascii="方正大标宋简体" w:hAnsi="方正大标宋简体" w:eastAsia="方正大标宋简体" w:cs="方正大标宋简体"/>
          <w:b w:val="0"/>
          <w:bCs w:val="0"/>
          <w:sz w:val="44"/>
          <w:szCs w:val="44"/>
          <w:lang w:val="en-US" w:eastAsia="zh-CN"/>
        </w:rPr>
        <w:t>河南乐通源德福信息科技有限公司</w:t>
      </w:r>
      <w:r>
        <w:rPr>
          <w:rFonts w:hint="eastAsia" w:ascii="方正大标宋简体" w:hAnsi="方正大标宋简体" w:eastAsia="方正大标宋简体" w:cs="方正大标宋简体"/>
          <w:b w:val="0"/>
          <w:bCs w:val="0"/>
          <w:sz w:val="44"/>
          <w:szCs w:val="44"/>
        </w:rPr>
        <w:t>“</w:t>
      </w:r>
      <w:r>
        <w:rPr>
          <w:rFonts w:hint="eastAsia" w:ascii="方正大标宋简体" w:hAnsi="方正大标宋简体" w:eastAsia="方正大标宋简体" w:cs="方正大标宋简体"/>
          <w:b w:val="0"/>
          <w:bCs w:val="0"/>
          <w:sz w:val="44"/>
          <w:szCs w:val="44"/>
          <w:lang w:val="en-US" w:eastAsia="zh-CN"/>
        </w:rPr>
        <w:t>5.1</w:t>
      </w:r>
      <w:r>
        <w:rPr>
          <w:rFonts w:hint="eastAsia" w:ascii="方正大标宋简体" w:hAnsi="方正大标宋简体" w:eastAsia="方正大标宋简体" w:cs="方正大标宋简体"/>
          <w:b w:val="0"/>
          <w:bCs w:val="0"/>
          <w:sz w:val="44"/>
          <w:szCs w:val="44"/>
        </w:rPr>
        <w:t>”</w:t>
      </w:r>
      <w:r>
        <w:rPr>
          <w:rFonts w:hint="eastAsia" w:ascii="方正大标宋简体" w:hAnsi="方正大标宋简体" w:eastAsia="方正大标宋简体" w:cs="方正大标宋简体"/>
          <w:b w:val="0"/>
          <w:bCs w:val="0"/>
          <w:sz w:val="44"/>
          <w:szCs w:val="44"/>
          <w:lang w:val="en-US" w:eastAsia="zh-CN"/>
        </w:rPr>
        <w:t>一般事故</w:t>
      </w:r>
      <w:r>
        <w:rPr>
          <w:rFonts w:hint="eastAsia" w:ascii="方正大标宋简体" w:hAnsi="方正大标宋简体" w:eastAsia="方正大标宋简体" w:cs="方正大标宋简体"/>
          <w:b w:val="0"/>
          <w:bCs w:val="0"/>
          <w:sz w:val="44"/>
          <w:szCs w:val="44"/>
          <w:lang w:val="en-US" w:eastAsia="zh-CN"/>
        </w:rPr>
        <w:t>整改措施落实情况评估报告</w:t>
      </w:r>
    </w:p>
    <w:p w14:paraId="3D769729">
      <w:pPr>
        <w:keepNext w:val="0"/>
        <w:keepLines w:val="0"/>
        <w:pageBreakBefore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w:t>
      </w:r>
    </w:p>
    <w:p w14:paraId="0E8FD2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方正仿宋_GB2312" w:hAnsi="方正仿宋_GB2312" w:eastAsia="方正仿宋_GB2312" w:cs="方正仿宋_GB2312"/>
          <w:sz w:val="32"/>
          <w:szCs w:val="32"/>
          <w:lang w:val="en-US" w:eastAsia="zh-CN"/>
        </w:rPr>
        <w:t>2024年5月1日上午10时，</w:t>
      </w:r>
      <w:r>
        <w:rPr>
          <w:rFonts w:hint="eastAsia" w:ascii="方正仿宋_GB2312" w:hAnsi="方正仿宋_GB2312" w:eastAsia="方正仿宋_GB2312" w:cs="方正仿宋_GB2312"/>
          <w:sz w:val="32"/>
          <w:szCs w:val="32"/>
        </w:rPr>
        <w:t>位于</w:t>
      </w:r>
      <w:r>
        <w:rPr>
          <w:rFonts w:hint="eastAsia" w:ascii="方正仿宋_GB2312" w:hAnsi="方正仿宋_GB2312" w:eastAsia="方正仿宋_GB2312" w:cs="方正仿宋_GB2312"/>
          <w:sz w:val="32"/>
          <w:szCs w:val="32"/>
          <w:lang w:val="en-US" w:eastAsia="zh-CN"/>
        </w:rPr>
        <w:t>漯河市沙澧高新技术产业开发区</w:t>
      </w:r>
      <w:r>
        <w:rPr>
          <w:rFonts w:hint="eastAsia" w:ascii="方正仿宋_GB2312" w:hAnsi="方正仿宋_GB2312" w:eastAsia="方正仿宋_GB2312" w:cs="方正仿宋_GB2312"/>
          <w:sz w:val="32"/>
          <w:szCs w:val="32"/>
        </w:rPr>
        <w:t>内的河南乐通源德福信息科技有限公司</w:t>
      </w:r>
      <w:r>
        <w:rPr>
          <w:rFonts w:hint="eastAsia" w:ascii="方正仿宋_GB2312" w:hAnsi="方正仿宋_GB2312" w:eastAsia="方正仿宋_GB2312" w:cs="方正仿宋_GB2312"/>
          <w:sz w:val="32"/>
          <w:szCs w:val="32"/>
          <w:lang w:val="en-US" w:eastAsia="zh-CN"/>
        </w:rPr>
        <w:t>委托</w:t>
      </w:r>
      <w:r>
        <w:rPr>
          <w:rFonts w:hint="eastAsia" w:ascii="方正仿宋_GB2312" w:hAnsi="方正仿宋_GB2312" w:eastAsia="方正仿宋_GB2312" w:cs="方正仿宋_GB2312"/>
          <w:kern w:val="2"/>
          <w:sz w:val="32"/>
          <w:szCs w:val="32"/>
          <w:lang w:val="en-US" w:eastAsia="zh-CN" w:bidi="ar-SA"/>
        </w:rPr>
        <w:t>河南灿正自动化科技有限公司进行</w:t>
      </w:r>
      <w:r>
        <w:rPr>
          <w:rFonts w:hint="eastAsia" w:ascii="方正仿宋_GB2312" w:hAnsi="方正仿宋_GB2312" w:eastAsia="方正仿宋_GB2312" w:cs="方正仿宋_GB2312"/>
          <w:sz w:val="32"/>
          <w:szCs w:val="32"/>
          <w:lang w:val="en-US" w:eastAsia="zh-CN"/>
        </w:rPr>
        <w:t>粉尘收集罐</w:t>
      </w:r>
      <w:r>
        <w:rPr>
          <w:rFonts w:hint="eastAsia" w:ascii="方正仿宋_GB2312" w:hAnsi="方正仿宋_GB2312" w:eastAsia="方正仿宋_GB2312" w:cs="方正仿宋_GB2312"/>
          <w:kern w:val="2"/>
          <w:sz w:val="32"/>
          <w:szCs w:val="32"/>
          <w:lang w:val="en-US" w:eastAsia="zh-CN" w:bidi="ar-SA"/>
        </w:rPr>
        <w:t>安全改造（加装粉尘涉爆流量监测系统）</w:t>
      </w:r>
      <w:r>
        <w:rPr>
          <w:rFonts w:hint="eastAsia" w:ascii="方正仿宋_GB2312" w:hAnsi="方正仿宋_GB2312" w:eastAsia="方正仿宋_GB2312" w:cs="方正仿宋_GB2312"/>
          <w:sz w:val="32"/>
          <w:szCs w:val="32"/>
          <w:lang w:val="en-US" w:eastAsia="zh-CN"/>
        </w:rPr>
        <w:t>时，发生闪爆事故，造成1人死亡，直接经济损失约75万元。</w:t>
      </w:r>
      <w:r>
        <w:rPr>
          <w:rFonts w:hint="default" w:ascii="仿宋_GB2312" w:hAnsi="仿宋_GB2312" w:eastAsia="仿宋_GB2312" w:cs="仿宋_GB2312"/>
          <w:sz w:val="32"/>
          <w:szCs w:val="32"/>
          <w:lang w:eastAsia="zh-CN"/>
        </w:rPr>
        <w:t>事故发生后，</w:t>
      </w:r>
      <w:r>
        <w:rPr>
          <w:rFonts w:hint="eastAsia" w:ascii="仿宋_GB2312" w:hAnsi="仿宋_GB2312" w:eastAsia="仿宋_GB2312" w:cs="仿宋_GB2312"/>
          <w:sz w:val="32"/>
          <w:szCs w:val="32"/>
          <w:lang w:val="en-US" w:eastAsia="zh-CN"/>
        </w:rPr>
        <w:t>源汇区</w:t>
      </w:r>
      <w:r>
        <w:rPr>
          <w:rFonts w:hint="eastAsia" w:ascii="仿宋_GB2312" w:hAnsi="仿宋_GB2312" w:eastAsia="仿宋_GB2312" w:cs="仿宋_GB2312"/>
          <w:sz w:val="32"/>
          <w:szCs w:val="32"/>
          <w:lang w:eastAsia="zh-CN"/>
        </w:rPr>
        <w:t>人民政府批准成立了</w:t>
      </w:r>
      <w:r>
        <w:rPr>
          <w:rFonts w:hint="eastAsia" w:ascii="仿宋_GB2312" w:hAnsi="仿宋_GB2312" w:eastAsia="仿宋_GB2312" w:cs="仿宋_GB2312"/>
          <w:sz w:val="32"/>
          <w:szCs w:val="32"/>
          <w:lang w:val="en-US" w:eastAsia="zh-CN"/>
        </w:rPr>
        <w:t>源汇区</w:t>
      </w:r>
      <w:r>
        <w:rPr>
          <w:rFonts w:hint="eastAsia" w:ascii="仿宋_GB2312" w:hAnsi="仿宋_GB2312" w:eastAsia="仿宋_GB2312" w:cs="仿宋_GB2312"/>
          <w:sz w:val="32"/>
          <w:szCs w:val="32"/>
          <w:lang w:eastAsia="zh-CN"/>
        </w:rPr>
        <w:t>河南乐通源德福信息科技有限公司“5.1”一般事故调查组开展事故调查工作。根据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国务院安委会办公室</w:t>
      </w:r>
      <w:r>
        <w:rPr>
          <w:rFonts w:hint="eastAsia" w:ascii="仿宋_GB2312" w:hAnsi="仿宋_GB2312" w:eastAsia="仿宋_GB2312" w:cs="仿宋_GB2312"/>
          <w:sz w:val="32"/>
          <w:szCs w:val="32"/>
        </w:rPr>
        <w:t>生产安全事故防范和整改措施落实情况评估办法</w:t>
      </w:r>
      <w:r>
        <w:rPr>
          <w:rFonts w:hint="eastAsia" w:ascii="仿宋_GB2312" w:hAnsi="仿宋_GB2312" w:eastAsia="仿宋_GB2312" w:cs="仿宋_GB2312"/>
          <w:sz w:val="32"/>
          <w:szCs w:val="32"/>
          <w:lang w:eastAsia="zh-CN"/>
        </w:rPr>
        <w:t>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安委办〔2021〕4号）</w:t>
      </w:r>
      <w:r>
        <w:rPr>
          <w:rFonts w:hint="eastAsia" w:ascii="仿宋_GB2312" w:hAnsi="仿宋_GB2312" w:eastAsia="仿宋_GB2312" w:cs="仿宋_GB2312"/>
          <w:sz w:val="32"/>
          <w:szCs w:val="32"/>
        </w:rPr>
        <w:t>规定及</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政府对河南乐通源德福信息科技有限公司“5.1”一般事故调查报告批复要</w:t>
      </w:r>
      <w:r>
        <w:rPr>
          <w:rFonts w:hint="eastAsia" w:ascii="仿宋_GB2312" w:hAnsi="仿宋_GB2312" w:eastAsia="仿宋_GB2312" w:cs="仿宋_GB2312"/>
          <w:sz w:val="32"/>
          <w:szCs w:val="32"/>
          <w:lang w:eastAsia="zh-CN"/>
        </w:rPr>
        <w:t>求</w:t>
      </w:r>
      <w:r>
        <w:rPr>
          <w:rFonts w:hint="eastAsia" w:ascii="仿宋_GB2312" w:hAnsi="仿宋_GB2312" w:eastAsia="仿宋_GB2312" w:cs="仿宋_GB2312"/>
          <w:sz w:val="32"/>
          <w:szCs w:val="32"/>
          <w:lang w:val="en-US" w:eastAsia="zh-CN"/>
        </w:rPr>
        <w:t>，区安委会办公室组织有关单位对该起事故责任追究和整改措施落实情况进行了评估。现将评估情况报告如下：</w:t>
      </w:r>
    </w:p>
    <w:p w14:paraId="6C841D0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一、评估工作过程</w:t>
      </w:r>
    </w:p>
    <w:p w14:paraId="7149382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安委办牵头组织事故调查组相关成员单位，对该起事故责任追究、事故防范措施落实情况开展评估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评估</w:t>
      </w:r>
      <w:r>
        <w:rPr>
          <w:rFonts w:hint="eastAsia" w:ascii="仿宋_GB2312" w:hAnsi="仿宋_GB2312" w:eastAsia="仿宋_GB2312" w:cs="仿宋_GB2312"/>
          <w:sz w:val="32"/>
          <w:szCs w:val="32"/>
          <w:lang w:eastAsia="zh-CN"/>
        </w:rPr>
        <w:t>组深入</w:t>
      </w:r>
      <w:r>
        <w:rPr>
          <w:rFonts w:hint="eastAsia" w:ascii="仿宋_GB2312" w:hAnsi="仿宋_GB2312" w:eastAsia="仿宋_GB2312" w:cs="仿宋_GB2312"/>
          <w:sz w:val="32"/>
          <w:szCs w:val="32"/>
          <w:lang w:val="en-US" w:eastAsia="zh-CN"/>
        </w:rPr>
        <w:t>河南乐通源德福信息科技有限公司等</w:t>
      </w:r>
      <w:r>
        <w:rPr>
          <w:rFonts w:hint="eastAsia" w:ascii="仿宋_GB2312" w:hAnsi="仿宋_GB2312" w:eastAsia="仿宋_GB2312" w:cs="仿宋_GB2312"/>
          <w:sz w:val="32"/>
          <w:szCs w:val="32"/>
          <w:lang w:eastAsia="zh-CN"/>
        </w:rPr>
        <w:t>相关单位，采取资料审查</w:t>
      </w:r>
      <w:r>
        <w:rPr>
          <w:rFonts w:hint="eastAsia" w:ascii="仿宋_GB2312" w:hAnsi="仿宋_GB2312" w:eastAsia="仿宋_GB2312" w:cs="仿宋_GB2312"/>
          <w:sz w:val="32"/>
          <w:szCs w:val="32"/>
        </w:rPr>
        <w:t>、座谈问询、</w:t>
      </w:r>
      <w:r>
        <w:rPr>
          <w:rFonts w:hint="eastAsia" w:ascii="仿宋_GB2312" w:hAnsi="仿宋_GB2312" w:eastAsia="仿宋_GB2312" w:cs="仿宋_GB2312"/>
          <w:sz w:val="32"/>
          <w:szCs w:val="32"/>
          <w:lang w:eastAsia="zh-CN"/>
        </w:rPr>
        <w:t>查阅文件、走访核查</w:t>
      </w:r>
      <w:r>
        <w:rPr>
          <w:rFonts w:hint="eastAsia" w:ascii="仿宋_GB2312" w:hAnsi="仿宋_GB2312" w:eastAsia="仿宋_GB2312" w:cs="仿宋_GB2312"/>
          <w:sz w:val="32"/>
          <w:szCs w:val="32"/>
        </w:rPr>
        <w:t>等方式，对事故防范措施及责任追究、行政处罚落实情况逐项进行检查评估。</w:t>
      </w:r>
    </w:p>
    <w:p w14:paraId="1EFEAA7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事故</w:t>
      </w:r>
      <w:r>
        <w:rPr>
          <w:rFonts w:hint="eastAsia" w:ascii="黑体" w:hAnsi="黑体" w:eastAsia="黑体" w:cs="黑体"/>
          <w:sz w:val="32"/>
          <w:szCs w:val="32"/>
        </w:rPr>
        <w:t>责任追究落实情况</w:t>
      </w:r>
    </w:p>
    <w:p w14:paraId="1193271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（一）对事故责任单位的责任追究落实情况</w:t>
      </w:r>
    </w:p>
    <w:p w14:paraId="04DD009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2"/>
          <w:sz w:val="32"/>
          <w:szCs w:val="32"/>
          <w:lang w:val="en-US" w:eastAsia="zh-CN" w:bidi="ar-SA"/>
        </w:rPr>
        <w:t>1.河南灿</w:t>
      </w:r>
      <w:r>
        <w:rPr>
          <w:rFonts w:hint="eastAsia" w:ascii="方正仿宋_GB2312" w:hAnsi="方正仿宋_GB2312" w:eastAsia="方正仿宋_GB2312" w:cs="方正仿宋_GB2312"/>
          <w:b/>
          <w:bCs/>
          <w:sz w:val="32"/>
          <w:szCs w:val="32"/>
          <w:lang w:val="en-US" w:eastAsia="zh-CN"/>
        </w:rPr>
        <w:t>正自动化科技有限公司主要负责人袁广文</w:t>
      </w:r>
      <w:r>
        <w:rPr>
          <w:rFonts w:hint="eastAsia" w:ascii="方正仿宋_GB2312" w:hAnsi="方正仿宋_GB2312" w:eastAsia="方正仿宋_GB2312" w:cs="方正仿宋_GB2312"/>
          <w:sz w:val="32"/>
          <w:szCs w:val="32"/>
        </w:rPr>
        <w:t>未履行安全生产管理职责。未督促检查本单位安全生产工作，及时消除作业过程中的事故隐患</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建议由</w:t>
      </w:r>
      <w:r>
        <w:rPr>
          <w:rFonts w:hint="eastAsia" w:ascii="方正仿宋_GB2312" w:hAnsi="方正仿宋_GB2312" w:eastAsia="方正仿宋_GB2312" w:cs="方正仿宋_GB2312"/>
          <w:sz w:val="32"/>
          <w:szCs w:val="32"/>
          <w:lang w:val="en-US" w:eastAsia="zh-CN"/>
        </w:rPr>
        <w:t>源汇区应急管理局</w:t>
      </w:r>
      <w:r>
        <w:rPr>
          <w:rFonts w:hint="eastAsia" w:ascii="方正仿宋_GB2312" w:hAnsi="方正仿宋_GB2312" w:eastAsia="方正仿宋_GB2312" w:cs="方正仿宋_GB2312"/>
          <w:sz w:val="32"/>
          <w:szCs w:val="32"/>
        </w:rPr>
        <w:t>依法对其处以行政处罚。</w:t>
      </w:r>
      <w:r>
        <w:rPr>
          <w:rFonts w:hint="eastAsia" w:ascii="仿宋_GB2312" w:eastAsia="仿宋_GB2312"/>
          <w:sz w:val="32"/>
          <w:szCs w:val="32"/>
        </w:rPr>
        <w:t>已对其违法行为采取</w:t>
      </w:r>
      <w:r>
        <w:rPr>
          <w:rFonts w:hint="eastAsia" w:ascii="仿宋_GB2312" w:eastAsia="仿宋_GB2312"/>
          <w:sz w:val="32"/>
          <w:szCs w:val="32"/>
          <w:lang w:val="en-US" w:eastAsia="zh-CN"/>
        </w:rPr>
        <w:t>20275元</w:t>
      </w:r>
      <w:r>
        <w:rPr>
          <w:rFonts w:hint="eastAsia" w:ascii="仿宋_GB2312" w:eastAsia="仿宋_GB2312"/>
          <w:sz w:val="32"/>
          <w:szCs w:val="32"/>
        </w:rPr>
        <w:t>行政处罚措施。</w:t>
      </w:r>
      <w:bookmarkStart w:id="0" w:name="_GoBack"/>
      <w:bookmarkEnd w:id="0"/>
      <w:r>
        <w:rPr>
          <w:rFonts w:hint="eastAsia" w:ascii="方正仿宋_GB2312" w:hAnsi="方正仿宋_GB2312" w:eastAsia="方正仿宋_GB2312" w:cs="方正仿宋_GB2312"/>
          <w:b/>
          <w:bCs/>
          <w:kern w:val="2"/>
          <w:sz w:val="32"/>
          <w:szCs w:val="32"/>
          <w:lang w:val="en-US" w:eastAsia="zh-CN" w:bidi="ar-SA"/>
        </w:rPr>
        <w:t>河南</w:t>
      </w:r>
      <w:r>
        <w:rPr>
          <w:rFonts w:hint="eastAsia" w:ascii="方正仿宋_GB2312" w:hAnsi="方正仿宋_GB2312" w:eastAsia="方正仿宋_GB2312" w:cs="方正仿宋_GB2312"/>
          <w:b/>
          <w:bCs/>
          <w:sz w:val="32"/>
          <w:szCs w:val="32"/>
          <w:lang w:val="en-US" w:eastAsia="zh-CN"/>
        </w:rPr>
        <w:t>乐通源德福信息科技有限公司</w:t>
      </w:r>
      <w:r>
        <w:rPr>
          <w:rFonts w:hint="eastAsia" w:ascii="方正仿宋_GB2312" w:hAnsi="方正仿宋_GB2312" w:eastAsia="方正仿宋_GB2312" w:cs="方正仿宋_GB2312"/>
          <w:sz w:val="32"/>
          <w:szCs w:val="32"/>
          <w:lang w:val="en-US" w:eastAsia="zh-CN"/>
        </w:rPr>
        <w:t>安全管理不到位。</w:t>
      </w:r>
      <w:r>
        <w:rPr>
          <w:rFonts w:hint="eastAsia" w:ascii="方正仿宋_GB2312" w:hAnsi="方正仿宋_GB2312" w:eastAsia="方正仿宋_GB2312" w:cs="方正仿宋_GB2312"/>
          <w:sz w:val="32"/>
          <w:szCs w:val="32"/>
        </w:rPr>
        <w:t>外来施工管理混乱。</w:t>
      </w:r>
      <w:r>
        <w:rPr>
          <w:rFonts w:hint="eastAsia" w:ascii="方正仿宋_GB2312" w:hAnsi="方正仿宋_GB2312" w:eastAsia="方正仿宋_GB2312" w:cs="方正仿宋_GB2312"/>
          <w:sz w:val="32"/>
          <w:szCs w:val="32"/>
          <w:lang w:val="en-US" w:eastAsia="zh-CN"/>
        </w:rPr>
        <w:t>对进入本单位工作场所的项目外来人员，统一管理协调不到位，未</w:t>
      </w:r>
      <w:r>
        <w:rPr>
          <w:rFonts w:hint="eastAsia" w:ascii="方正仿宋_GB2312" w:hAnsi="方正仿宋_GB2312" w:eastAsia="方正仿宋_GB2312" w:cs="方正仿宋_GB2312"/>
          <w:sz w:val="32"/>
          <w:szCs w:val="32"/>
        </w:rPr>
        <w:t>督促检查相关方和外来人员的安全生产工作，及时排查并消除事故隐患</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导致</w:t>
      </w:r>
      <w:r>
        <w:rPr>
          <w:rFonts w:hint="eastAsia" w:ascii="方正仿宋_GB2312" w:hAnsi="方正仿宋_GB2312" w:eastAsia="方正仿宋_GB2312" w:cs="方正仿宋_GB2312"/>
          <w:sz w:val="32"/>
          <w:szCs w:val="32"/>
        </w:rPr>
        <w:t>现场</w:t>
      </w:r>
      <w:r>
        <w:rPr>
          <w:rFonts w:hint="eastAsia" w:ascii="方正仿宋_GB2312" w:hAnsi="方正仿宋_GB2312" w:eastAsia="方正仿宋_GB2312" w:cs="方正仿宋_GB2312"/>
          <w:sz w:val="32"/>
          <w:szCs w:val="32"/>
          <w:lang w:val="en-US" w:eastAsia="zh-CN"/>
        </w:rPr>
        <w:t>监管</w:t>
      </w:r>
      <w:r>
        <w:rPr>
          <w:rFonts w:hint="eastAsia" w:ascii="方正仿宋_GB2312" w:hAnsi="方正仿宋_GB2312" w:eastAsia="方正仿宋_GB2312" w:cs="方正仿宋_GB2312"/>
          <w:sz w:val="32"/>
          <w:szCs w:val="32"/>
        </w:rPr>
        <w:t>缺失，对事故发生负有主要责任。由</w:t>
      </w:r>
      <w:r>
        <w:rPr>
          <w:rFonts w:hint="eastAsia" w:ascii="方正仿宋_GB2312" w:hAnsi="方正仿宋_GB2312" w:eastAsia="方正仿宋_GB2312" w:cs="方正仿宋_GB2312"/>
          <w:sz w:val="32"/>
          <w:szCs w:val="32"/>
          <w:lang w:val="en-US" w:eastAsia="zh-CN"/>
        </w:rPr>
        <w:t>源汇区应急管理局</w:t>
      </w:r>
      <w:r>
        <w:rPr>
          <w:rFonts w:hint="eastAsia" w:ascii="方正仿宋_GB2312" w:hAnsi="方正仿宋_GB2312" w:eastAsia="方正仿宋_GB2312" w:cs="方正仿宋_GB2312"/>
          <w:sz w:val="32"/>
          <w:szCs w:val="32"/>
        </w:rPr>
        <w:t>依法对其处以行政处罚。</w:t>
      </w:r>
    </w:p>
    <w:p w14:paraId="46C5A33B">
      <w:pPr>
        <w:keepNext w:val="0"/>
        <w:keepLines w:val="0"/>
        <w:pageBreakBefore w:val="0"/>
        <w:widowControl w:val="0"/>
        <w:numPr>
          <w:ilvl w:val="0"/>
          <w:numId w:val="1"/>
        </w:numPr>
        <w:kinsoku/>
        <w:wordWrap/>
        <w:overflowPunct/>
        <w:topLinePunct w:val="0"/>
        <w:autoSpaceDE/>
        <w:autoSpaceDN/>
        <w:bidi w:val="0"/>
        <w:adjustRightInd/>
        <w:snapToGrid/>
        <w:spacing w:line="64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对事故责任人员责任追究落实情况</w:t>
      </w:r>
    </w:p>
    <w:p w14:paraId="0C963119">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3" w:firstLineChars="200"/>
        <w:textAlignment w:val="auto"/>
        <w:rPr>
          <w:rFonts w:hint="eastAsia" w:ascii="仿宋_GB2312" w:hAnsi="仿宋_GB2312" w:eastAsia="仿宋_GB2312" w:cs="仿宋_GB2312"/>
          <w:sz w:val="32"/>
          <w:szCs w:val="32"/>
          <w:lang w:eastAsia="zh-CN"/>
        </w:rPr>
      </w:pPr>
      <w:r>
        <w:rPr>
          <w:rFonts w:hint="eastAsia" w:ascii="方正仿宋_GB2312" w:hAnsi="方正仿宋_GB2312" w:eastAsia="方正仿宋_GB2312" w:cs="方正仿宋_GB2312"/>
          <w:b/>
          <w:bCs/>
          <w:kern w:val="2"/>
          <w:sz w:val="32"/>
          <w:szCs w:val="32"/>
          <w:lang w:val="en-US" w:eastAsia="zh-CN" w:bidi="ar-SA"/>
        </w:rPr>
        <w:t>施某宇，</w:t>
      </w:r>
      <w:r>
        <w:rPr>
          <w:rFonts w:hint="eastAsia" w:ascii="方正仿宋_GB2312" w:hAnsi="方正仿宋_GB2312" w:eastAsia="方正仿宋_GB2312" w:cs="方正仿宋_GB2312"/>
          <w:sz w:val="32"/>
          <w:szCs w:val="32"/>
          <w:lang w:val="en-US" w:eastAsia="zh-CN"/>
        </w:rPr>
        <w:t>河</w:t>
      </w:r>
      <w:r>
        <w:rPr>
          <w:rFonts w:hint="eastAsia" w:ascii="方正仿宋_GB2312" w:hAnsi="方正仿宋_GB2312" w:eastAsia="方正仿宋_GB2312" w:cs="方正仿宋_GB2312"/>
          <w:sz w:val="32"/>
          <w:szCs w:val="32"/>
        </w:rPr>
        <w:t>南乐通源德福信息科技有限公司</w:t>
      </w:r>
      <w:r>
        <w:rPr>
          <w:rFonts w:hint="eastAsia" w:ascii="方正仿宋_GB2312" w:hAnsi="方正仿宋_GB2312" w:eastAsia="方正仿宋_GB2312" w:cs="方正仿宋_GB2312"/>
          <w:sz w:val="32"/>
          <w:szCs w:val="32"/>
          <w:lang w:val="en-US" w:eastAsia="zh-CN"/>
        </w:rPr>
        <w:t>主要负责人</w:t>
      </w:r>
      <w:r>
        <w:rPr>
          <w:rFonts w:hint="eastAsia" w:ascii="方正仿宋_GB2312" w:hAnsi="方正仿宋_GB2312" w:eastAsia="方正仿宋_GB2312" w:cs="方正仿宋_GB2312"/>
          <w:sz w:val="32"/>
          <w:szCs w:val="32"/>
        </w:rPr>
        <w:t>，未认真履行主要负责人安全生产管理职责，对事故发生负有主要领导责任。</w:t>
      </w:r>
      <w:r>
        <w:rPr>
          <w:rFonts w:hint="eastAsia" w:ascii="仿宋_GB2312" w:eastAsia="仿宋_GB2312"/>
          <w:sz w:val="32"/>
          <w:szCs w:val="32"/>
        </w:rPr>
        <w:t>已对其违法行为采取</w:t>
      </w:r>
      <w:r>
        <w:rPr>
          <w:rFonts w:hint="eastAsia" w:ascii="仿宋_GB2312" w:eastAsia="仿宋_GB2312"/>
          <w:sz w:val="32"/>
          <w:szCs w:val="32"/>
          <w:lang w:val="en-US" w:eastAsia="zh-CN"/>
        </w:rPr>
        <w:t>60528元</w:t>
      </w:r>
      <w:r>
        <w:rPr>
          <w:rFonts w:hint="eastAsia" w:ascii="仿宋_GB2312" w:eastAsia="仿宋_GB2312"/>
          <w:sz w:val="32"/>
          <w:szCs w:val="32"/>
        </w:rPr>
        <w:t>行政处罚措施。</w:t>
      </w:r>
    </w:p>
    <w:p w14:paraId="3BD4E6A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三、事故防范和整改措施落实情况</w:t>
      </w:r>
    </w:p>
    <w:p w14:paraId="7516DBD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kern w:val="2"/>
          <w:sz w:val="32"/>
          <w:szCs w:val="32"/>
          <w:lang w:val="en-US" w:eastAsia="zh-CN" w:bidi="ar-SA"/>
        </w:rPr>
        <w:t>一是全面深化风险分级管控和隐患排查治理体系建设</w:t>
      </w:r>
      <w:r>
        <w:rPr>
          <w:rFonts w:hint="eastAsia" w:ascii="楷体_GB2312" w:hAnsi="楷体_GB2312" w:eastAsia="楷体_GB2312" w:cs="楷体_GB2312"/>
          <w:sz w:val="32"/>
          <w:szCs w:val="32"/>
        </w:rPr>
        <w:t>。</w:t>
      </w:r>
      <w:r>
        <w:rPr>
          <w:rFonts w:hint="eastAsia" w:ascii="方正仿宋_GB2312" w:hAnsi="方正仿宋_GB2312" w:eastAsia="方正仿宋_GB2312" w:cs="方正仿宋_GB2312"/>
          <w:sz w:val="32"/>
          <w:szCs w:val="32"/>
        </w:rPr>
        <w:t>组织安全、工艺、设备、电气、仪表等人员全面进行风险辨识和隐患排查，除对重大风险进行管控外，对平时看似无风险和风险程度低的装置或部位开展深入、全面地风险辨识，把看不到、想不到的风险辨识出来，制定措施，按照管控措施清单，全面排查、及时治理、消除隐患，对隐患排查治理实施闭环管理。</w:t>
      </w:r>
    </w:p>
    <w:p w14:paraId="375C05B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kern w:val="2"/>
          <w:sz w:val="32"/>
          <w:szCs w:val="32"/>
          <w:lang w:val="en-US" w:eastAsia="zh-CN" w:bidi="ar-SA"/>
        </w:rPr>
        <w:t>二是加强承包商管理，坚决杜绝“以包代管”。</w:t>
      </w:r>
      <w:r>
        <w:rPr>
          <w:rFonts w:hint="eastAsia" w:ascii="方正仿宋_GB2312" w:hAnsi="方正仿宋_GB2312" w:eastAsia="方正仿宋_GB2312" w:cs="方正仿宋_GB2312"/>
          <w:sz w:val="32"/>
          <w:szCs w:val="32"/>
        </w:rPr>
        <w:t>严格对承包商的资质和施工方案</w:t>
      </w:r>
      <w:r>
        <w:rPr>
          <w:rFonts w:hint="eastAsia" w:ascii="方正仿宋_GB2312" w:hAnsi="方正仿宋_GB2312" w:eastAsia="方正仿宋_GB2312" w:cs="方正仿宋_GB2312"/>
          <w:sz w:val="32"/>
          <w:szCs w:val="32"/>
          <w:lang w:val="en-US" w:eastAsia="zh-CN"/>
        </w:rPr>
        <w:t>进行</w:t>
      </w:r>
      <w:r>
        <w:rPr>
          <w:rFonts w:hint="eastAsia" w:ascii="方正仿宋_GB2312" w:hAnsi="方正仿宋_GB2312" w:eastAsia="方正仿宋_GB2312" w:cs="方正仿宋_GB2312"/>
          <w:sz w:val="32"/>
          <w:szCs w:val="32"/>
        </w:rPr>
        <w:t>审核；督促承包商开展对作业人员的安全技术交底和日常安全教育培训，确保所有作业人员培训合格后方可上岗作业。对于危险性较大的作业，安排具备监护能力、责任心强的人员负责作业过程的现场监护</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坚决杜绝层层转包和“以包代管”行为。</w:t>
      </w:r>
    </w:p>
    <w:p w14:paraId="0B0635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楷体_GB2312" w:hAnsi="楷体_GB2312" w:eastAsia="楷体_GB2312" w:cs="楷体_GB2312"/>
          <w:b/>
          <w:bCs/>
          <w:kern w:val="2"/>
          <w:sz w:val="32"/>
          <w:szCs w:val="32"/>
          <w:lang w:val="en-US" w:eastAsia="zh-CN" w:bidi="ar-SA"/>
        </w:rPr>
        <w:t>三是强化安全监管责任落实。</w:t>
      </w:r>
      <w:r>
        <w:rPr>
          <w:rFonts w:hint="eastAsia" w:ascii="方正仿宋_GB2312" w:hAnsi="方正仿宋_GB2312" w:eastAsia="方正仿宋_GB2312" w:cs="方正仿宋_GB2312"/>
          <w:sz w:val="32"/>
          <w:szCs w:val="32"/>
        </w:rPr>
        <w:t>严格落实“党政同责、一岗双责、齐抓共管、失职追责”和“</w:t>
      </w:r>
      <w:r>
        <w:rPr>
          <w:rFonts w:hint="eastAsia" w:ascii="方正仿宋_GB2312" w:hAnsi="方正仿宋_GB2312" w:eastAsia="方正仿宋_GB2312" w:cs="方正仿宋_GB2312"/>
          <w:sz w:val="32"/>
          <w:szCs w:val="32"/>
          <w:lang w:val="en-US" w:eastAsia="zh-CN"/>
        </w:rPr>
        <w:t>三</w:t>
      </w:r>
      <w:r>
        <w:rPr>
          <w:rFonts w:hint="eastAsia" w:ascii="方正仿宋_GB2312" w:hAnsi="方正仿宋_GB2312" w:eastAsia="方正仿宋_GB2312" w:cs="方正仿宋_GB2312"/>
          <w:sz w:val="32"/>
          <w:szCs w:val="32"/>
        </w:rPr>
        <w:t>管</w:t>
      </w:r>
      <w:r>
        <w:rPr>
          <w:rFonts w:hint="eastAsia" w:ascii="方正仿宋_GB2312" w:hAnsi="方正仿宋_GB2312" w:eastAsia="方正仿宋_GB2312" w:cs="方正仿宋_GB2312"/>
          <w:sz w:val="32"/>
          <w:szCs w:val="32"/>
          <w:lang w:val="en-US" w:eastAsia="zh-CN"/>
        </w:rPr>
        <w:t>三</w:t>
      </w:r>
      <w:r>
        <w:rPr>
          <w:rFonts w:hint="eastAsia" w:ascii="方正仿宋_GB2312" w:hAnsi="方正仿宋_GB2312" w:eastAsia="方正仿宋_GB2312" w:cs="方正仿宋_GB2312"/>
          <w:sz w:val="32"/>
          <w:szCs w:val="32"/>
        </w:rPr>
        <w:t>必须”的要求，认真履行职责，加大安全监管和执法检查力度，督促企业进一步落实安全生产主体责任，强化主要负责人安全责任落实，监督企业不断提升安全管理水平和从业人员综合素质，坚决遏制各类事故发生，确保人民群众生命和财产安全。</w:t>
      </w:r>
    </w:p>
    <w:p w14:paraId="743E0CB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四、评估意见</w:t>
      </w:r>
      <w:r>
        <w:rPr>
          <w:rFonts w:hint="eastAsia" w:ascii="仿宋_GB2312" w:hAnsi="仿宋_GB2312" w:eastAsia="仿宋_GB2312" w:cs="仿宋_GB2312"/>
          <w:sz w:val="32"/>
          <w:szCs w:val="32"/>
        </w:rPr>
        <w:t> </w:t>
      </w:r>
    </w:p>
    <w:p w14:paraId="484C1CE2">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评估组认为，</w:t>
      </w:r>
      <w:r>
        <w:rPr>
          <w:rFonts w:hint="eastAsia" w:ascii="仿宋_GB2312" w:hAnsi="仿宋_GB2312" w:eastAsia="仿宋_GB2312" w:cs="仿宋_GB2312"/>
          <w:sz w:val="32"/>
          <w:szCs w:val="32"/>
          <w:lang w:eastAsia="zh-CN"/>
        </w:rPr>
        <w:t>有关单位</w:t>
      </w:r>
      <w:r>
        <w:rPr>
          <w:rFonts w:hint="eastAsia" w:ascii="仿宋_GB2312" w:hAnsi="仿宋_GB2312" w:eastAsia="仿宋_GB2312" w:cs="仿宋_GB2312"/>
          <w:sz w:val="32"/>
          <w:szCs w:val="32"/>
        </w:rPr>
        <w:t>落实了事故调查报告中关于事故责任人处理、事故责任单位及事故防范措施的要求，</w:t>
      </w:r>
      <w:r>
        <w:rPr>
          <w:rFonts w:hint="eastAsia" w:ascii="仿宋_GB2312" w:hAnsi="仿宋_GB2312" w:eastAsia="仿宋_GB2312" w:cs="仿宋_GB2312"/>
          <w:sz w:val="32"/>
          <w:szCs w:val="32"/>
          <w:lang w:eastAsia="zh-CN"/>
        </w:rPr>
        <w:t>对防范措施建议进行了整改落实，深刻</w:t>
      </w:r>
      <w:r>
        <w:rPr>
          <w:rFonts w:hint="eastAsia" w:ascii="仿宋_GB2312" w:hAnsi="仿宋_GB2312" w:eastAsia="仿宋_GB2312" w:cs="仿宋_GB2312"/>
          <w:sz w:val="32"/>
          <w:szCs w:val="32"/>
        </w:rPr>
        <w:t>吸取事故教训，</w:t>
      </w:r>
      <w:r>
        <w:rPr>
          <w:rFonts w:hint="eastAsia" w:ascii="仿宋_GB2312" w:hAnsi="仿宋_GB2312" w:eastAsia="仿宋_GB2312" w:cs="仿宋_GB2312"/>
          <w:sz w:val="32"/>
          <w:szCs w:val="32"/>
          <w:lang w:val="en-US" w:eastAsia="zh-CN"/>
        </w:rPr>
        <w:t>注重加强安全管理，对事故责任单位和行业领域相关人员起到了警示和教育作用。</w:t>
      </w:r>
    </w:p>
    <w:p w14:paraId="386F410D">
      <w:pPr>
        <w:keepNext w:val="0"/>
        <w:keepLines w:val="0"/>
        <w:pageBreakBefore w:val="0"/>
        <w:widowControl/>
        <w:kinsoku/>
        <w:wordWrap/>
        <w:overflowPunct/>
        <w:topLinePunct w:val="0"/>
        <w:autoSpaceDE/>
        <w:autoSpaceDN/>
        <w:bidi w:val="0"/>
        <w:adjustRightInd/>
        <w:snapToGrid/>
        <w:spacing w:before="100" w:beforeAutospacing="1" w:after="100" w:afterAutospacing="1" w:line="640" w:lineRule="exact"/>
        <w:ind w:firstLine="640" w:firstLineChars="200"/>
        <w:jc w:val="left"/>
        <w:textAlignment w:val="auto"/>
        <w:rPr>
          <w:rFonts w:ascii="仿宋" w:hAnsi="仿宋" w:eastAsia="仿宋" w:cs="宋体"/>
          <w:kern w:val="0"/>
          <w:sz w:val="32"/>
          <w:szCs w:val="32"/>
        </w:rPr>
      </w:pPr>
    </w:p>
    <w:p w14:paraId="4E02228D">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w:t>
      </w:r>
    </w:p>
    <w:p w14:paraId="6E85F5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B3CAD8-BC5A-4111-91EF-6822ED2A71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E110A11-DAA5-47B5-8D90-40F33A29DDA5}"/>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1B60629F-7679-4443-B93E-F7725D7D4004}"/>
  </w:font>
  <w:font w:name="楷体">
    <w:panose1 w:val="02010609060101010101"/>
    <w:charset w:val="86"/>
    <w:family w:val="auto"/>
    <w:pitch w:val="default"/>
    <w:sig w:usb0="800002BF" w:usb1="38CF7CFA" w:usb2="00000016" w:usb3="00000000" w:csb0="00040001" w:csb1="00000000"/>
    <w:embedRegular r:id="rId4" w:fontKey="{FCF48061-93C3-4C6E-BA11-292B5E78F165}"/>
  </w:font>
  <w:font w:name="仿宋">
    <w:panose1 w:val="02010609060101010101"/>
    <w:charset w:val="86"/>
    <w:family w:val="auto"/>
    <w:pitch w:val="default"/>
    <w:sig w:usb0="800002BF" w:usb1="38CF7CFA" w:usb2="00000016" w:usb3="00000000" w:csb0="00040001" w:csb1="00000000"/>
    <w:embedRegular r:id="rId5" w:fontKey="{950FDB04-2965-4C93-BCA5-D8124EE58FB5}"/>
  </w:font>
  <w:font w:name="方正小标宋简体">
    <w:altName w:val="黑体"/>
    <w:panose1 w:val="03000509000000000000"/>
    <w:charset w:val="86"/>
    <w:family w:val="auto"/>
    <w:pitch w:val="default"/>
    <w:sig w:usb0="00000000" w:usb1="00000000" w:usb2="00000000" w:usb3="00000000" w:csb0="00040000" w:csb1="00000000"/>
  </w:font>
  <w:font w:name="方正大标宋简体">
    <w:panose1 w:val="02000000000000000000"/>
    <w:charset w:val="86"/>
    <w:family w:val="auto"/>
    <w:pitch w:val="default"/>
    <w:sig w:usb0="A00002BF" w:usb1="184F6CFA" w:usb2="00000012" w:usb3="00000000" w:csb0="00040001" w:csb1="00000000"/>
    <w:embedRegular r:id="rId6" w:fontKey="{4412B7BA-A238-4C37-A17E-DA086742C265}"/>
  </w:font>
  <w:font w:name="方正仿宋_GB2312">
    <w:panose1 w:val="02000000000000000000"/>
    <w:charset w:val="86"/>
    <w:family w:val="auto"/>
    <w:pitch w:val="default"/>
    <w:sig w:usb0="A00002BF" w:usb1="184F6CFA" w:usb2="00000012" w:usb3="00000000" w:csb0="00040001" w:csb1="00000000"/>
    <w:embedRegular r:id="rId7" w:fontKey="{BFBC9377-C1BD-4B0F-B5E4-4110552E0DFA}"/>
  </w:font>
  <w:font w:name="楷体_GB2312">
    <w:altName w:val="楷体"/>
    <w:panose1 w:val="02010609030101010101"/>
    <w:charset w:val="86"/>
    <w:family w:val="auto"/>
    <w:pitch w:val="default"/>
    <w:sig w:usb0="00000000" w:usb1="00000000" w:usb2="00000000" w:usb3="00000000" w:csb0="00040000" w:csb1="00000000"/>
    <w:embedRegular r:id="rId8" w:fontKey="{30920FF2-2CE7-4E83-ADF2-FFD1F18837F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2D4604"/>
    <w:multiLevelType w:val="singleLevel"/>
    <w:tmpl w:val="F92D460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4B0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eastAsia="仿宋_GB2312"/>
      <w:sz w:val="32"/>
      <w:szCs w:val="32"/>
    </w:rPr>
  </w:style>
  <w:style w:type="paragraph" w:styleId="3">
    <w:name w:val="toa heading"/>
    <w:basedOn w:val="1"/>
    <w:next w:val="1"/>
    <w:qFormat/>
    <w:uiPriority w:val="0"/>
    <w:pPr>
      <w:spacing w:before="120" w:beforeLines="0"/>
    </w:pPr>
    <w:rPr>
      <w:rFonts w:ascii="Cambria" w:hAnsi="Cambria" w:cs="Times New Roman"/>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2025-09-02T07:07:41Z</dcterms:created>
  <dc:creator>Administrator</dc:creator>
  <cp:lastModifiedBy>刘先生</cp:lastModifiedBy>
  <dcterms:modified xsi:type="dcterms:W3CDTF">2025-09-02T07:31:42Z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eyJoZGlkIjoiZTU1M2IzNWU3ZDJmOGRmNGY0NmE3NzcyOGJlMTRhYWEiLCJ1c2VySWQiOiI3NzYwOTQyNjUifQ==</vt:lpwstr>
  </property>
  <property fmtid="{D5CDD505-2E9C-101B-9397-08002B2CF9AE}" pid="4" name="ICV">
    <vt:lpwstr>DFC1AFA6CA87465E8FCA8FDEFC900BC6_12</vt:lpwstr>
  </property>
</Properties>
</file>