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D70AD">
      <w:pPr>
        <w:keepNext w:val="0"/>
        <w:keepLines w:val="0"/>
        <w:pageBreakBefore w:val="0"/>
        <w:widowControl w:val="0"/>
        <w:kinsoku/>
        <w:wordWrap/>
        <w:overflowPunct/>
        <w:topLinePunct w:val="0"/>
        <w:autoSpaceDE/>
        <w:autoSpaceDN/>
        <w:bidi w:val="0"/>
        <w:adjustRightInd/>
        <w:snapToGrid/>
        <w:spacing w:line="580" w:lineRule="exact"/>
        <w:ind w:left="0" w:leftChars="0"/>
        <w:textAlignment w:val="auto"/>
        <w:rPr>
          <w:rFonts w:hint="default" w:ascii="Times New Roman" w:hAnsi="Times New Roman" w:eastAsia="黑体" w:cs="Times New Roman"/>
          <w:b w:val="0"/>
          <w:bCs w:val="0"/>
          <w:sz w:val="32"/>
          <w:szCs w:val="32"/>
          <w:lang w:eastAsia="zh-CN"/>
        </w:rPr>
      </w:pPr>
    </w:p>
    <w:p w14:paraId="55514186">
      <w:pPr>
        <w:keepNext w:val="0"/>
        <w:keepLines w:val="0"/>
        <w:pageBreakBefore w:val="0"/>
        <w:widowControl w:val="0"/>
        <w:kinsoku/>
        <w:wordWrap/>
        <w:overflowPunct/>
        <w:topLinePunct w:val="0"/>
        <w:autoSpaceDE/>
        <w:autoSpaceDN/>
        <w:bidi w:val="0"/>
        <w:adjustRightInd/>
        <w:snapToGrid/>
        <w:spacing w:line="580" w:lineRule="exact"/>
        <w:ind w:left="0" w:leftChars="0"/>
        <w:jc w:val="center"/>
        <w:textAlignment w:val="auto"/>
        <w:rPr>
          <w:rFonts w:hint="default" w:ascii="Times New Roman" w:hAnsi="Times New Roman" w:eastAsia="方正小标宋简体" w:cs="Times New Roman"/>
          <w:sz w:val="44"/>
          <w:szCs w:val="44"/>
          <w:lang w:eastAsia="zh-CN"/>
        </w:rPr>
      </w:pPr>
    </w:p>
    <w:p w14:paraId="64A11CA5">
      <w:pPr>
        <w:keepNext w:val="0"/>
        <w:keepLines w:val="0"/>
        <w:pageBreakBefore w:val="0"/>
        <w:widowControl w:val="0"/>
        <w:kinsoku/>
        <w:wordWrap/>
        <w:overflowPunct/>
        <w:topLinePunct w:val="0"/>
        <w:autoSpaceDE/>
        <w:autoSpaceDN/>
        <w:bidi w:val="0"/>
        <w:adjustRightInd/>
        <w:snapToGrid/>
        <w:spacing w:line="580" w:lineRule="exact"/>
        <w:ind w:left="0" w:left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eastAsia="zh-CN"/>
        </w:rPr>
        <w:t>宁波江北宁波高发电子有限公司年产300万套汽车电子换挡系统项目“1·6”一般高处坠落事故防范和整改措施落实情况评估报告</w:t>
      </w:r>
    </w:p>
    <w:p w14:paraId="4A8E344A">
      <w:pPr>
        <w:keepNext w:val="0"/>
        <w:keepLines w:val="0"/>
        <w:pageBreakBefore w:val="0"/>
        <w:widowControl w:val="0"/>
        <w:kinsoku/>
        <w:wordWrap/>
        <w:overflowPunct/>
        <w:topLinePunct w:val="0"/>
        <w:autoSpaceDE/>
        <w:autoSpaceDN/>
        <w:bidi w:val="0"/>
        <w:adjustRightInd/>
        <w:snapToGrid/>
        <w:spacing w:line="580" w:lineRule="exact"/>
        <w:ind w:left="0" w:leftChars="0"/>
        <w:textAlignment w:val="auto"/>
        <w:rPr>
          <w:rFonts w:hint="default" w:ascii="Times New Roman" w:hAnsi="Times New Roman" w:cs="Times New Roman"/>
        </w:rPr>
      </w:pPr>
    </w:p>
    <w:p w14:paraId="150A8DE9">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eastAsia="zh-CN"/>
        </w:rPr>
        <w:t>根据《浙江省生产安全事故防范和整改措施落实情况评估办法》、</w:t>
      </w:r>
      <w:r>
        <w:rPr>
          <w:rFonts w:hint="default" w:ascii="Times New Roman" w:hAnsi="Times New Roman" w:eastAsia="仿宋_GB2312" w:cs="Times New Roman"/>
          <w:b w:val="0"/>
          <w:bCs w:val="0"/>
          <w:color w:val="000000"/>
          <w:spacing w:val="0"/>
          <w:w w:val="100"/>
          <w:kern w:val="2"/>
          <w:sz w:val="32"/>
          <w:szCs w:val="32"/>
          <w:lang w:val="en-US" w:eastAsia="zh-CN" w:bidi="ar-SA"/>
        </w:rPr>
        <w:t>《宁波市安全生产委员会办公室关于印发宁波市生产安全事故整改和防范措施落实情况评估暂行办法的通知》等</w:t>
      </w:r>
      <w:r>
        <w:rPr>
          <w:rFonts w:hint="default" w:ascii="Times New Roman" w:hAnsi="Times New Roman" w:eastAsia="仿宋_GB2312" w:cs="Times New Roman"/>
          <w:sz w:val="32"/>
          <w:szCs w:val="32"/>
          <w:lang w:eastAsia="zh-CN"/>
        </w:rPr>
        <w:t>规定要求，市安</w:t>
      </w:r>
      <w:r>
        <w:rPr>
          <w:rFonts w:hint="default" w:ascii="Times New Roman" w:hAnsi="Times New Roman" w:eastAsia="仿宋_GB2312" w:cs="Times New Roman"/>
          <w:b w:val="0"/>
          <w:bCs w:val="0"/>
          <w:color w:val="auto"/>
          <w:kern w:val="0"/>
          <w:sz w:val="32"/>
          <w:szCs w:val="32"/>
          <w:lang w:val="en-US" w:eastAsia="zh-CN"/>
        </w:rPr>
        <w:t>委办组织市应急管理局、市公安局、市住建局、市总工会等单位成立评估组，会同有关专家对宁波江北宁波高发电子有限公司年产300万套汽车电子换挡系统项目“1·6”一般高处坠落事故（以下简称“1·6”事故）防范和整改措施落实情况开展评估，现将评估情况报告如下。</w:t>
      </w:r>
    </w:p>
    <w:p w14:paraId="054E499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一</w:t>
      </w:r>
      <w:r>
        <w:rPr>
          <w:rFonts w:hint="default" w:ascii="Times New Roman" w:hAnsi="Times New Roman" w:eastAsia="仿宋_GB2312" w:cs="Times New Roman"/>
          <w:b w:val="0"/>
          <w:bCs w:val="0"/>
          <w:color w:val="auto"/>
          <w:sz w:val="32"/>
          <w:szCs w:val="32"/>
          <w:u w:val="none"/>
          <w:lang w:val="en-US" w:eastAsia="zh-CN"/>
        </w:rPr>
        <w:t>、</w:t>
      </w:r>
      <w:r>
        <w:rPr>
          <w:rFonts w:hint="default" w:ascii="Times New Roman" w:hAnsi="Times New Roman" w:eastAsia="黑体" w:cs="Times New Roman"/>
          <w:sz w:val="32"/>
          <w:szCs w:val="32"/>
        </w:rPr>
        <w:t>评估工作组织及开展情况</w:t>
      </w:r>
    </w:p>
    <w:p w14:paraId="38B1003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val="0"/>
          <w:bCs w:val="0"/>
          <w:color w:val="auto"/>
          <w:kern w:val="0"/>
          <w:sz w:val="32"/>
          <w:szCs w:val="32"/>
          <w:lang w:val="en-US" w:eastAsia="zh-CN"/>
        </w:rPr>
        <w:t>2025年2月19日，宁波市安全生产委员会办公室成立“1·6”事故评估组，印发《关于开展生产安全事故整改和防范措施落实情况评估工作的通知》，对评估方式、内容和安排进行整体部署。3月12日，评估组下发《关于开展宁波江北宁波高发电子有限公司年产300万套汽车电子换挡系统项目“1·6”一般高处坠落事故防范和整改措施落实情况现场评估工作的通知》至市级相关部门和江北区人民政府。3月19日，评估组赴江北对属地政府及相关部门、事故单位深入推进“1·6”事故暴露的问题防范和整改措施落实情况进行评估检查。分别听取了江北区政府及有关部门、事故单位的工作情况汇报，查阅了相关</w:t>
      </w:r>
      <w:r>
        <w:rPr>
          <w:rFonts w:hint="eastAsia" w:ascii="Times New Roman" w:hAnsi="Times New Roman" w:eastAsia="仿宋_GB2312" w:cs="Times New Roman"/>
          <w:b w:val="0"/>
          <w:bCs w:val="0"/>
          <w:color w:val="auto"/>
          <w:kern w:val="0"/>
          <w:sz w:val="32"/>
          <w:szCs w:val="32"/>
          <w:lang w:val="en-US" w:eastAsia="zh-CN"/>
        </w:rPr>
        <w:t>台账</w:t>
      </w:r>
      <w:bookmarkStart w:id="0" w:name="_GoBack"/>
      <w:bookmarkEnd w:id="0"/>
      <w:r>
        <w:rPr>
          <w:rFonts w:hint="default" w:ascii="Times New Roman" w:hAnsi="Times New Roman" w:eastAsia="仿宋_GB2312" w:cs="Times New Roman"/>
          <w:b w:val="0"/>
          <w:bCs w:val="0"/>
          <w:color w:val="auto"/>
          <w:kern w:val="0"/>
          <w:sz w:val="32"/>
          <w:szCs w:val="32"/>
          <w:lang w:val="en-US" w:eastAsia="zh-CN"/>
        </w:rPr>
        <w:t>资料，赴“1·6”事故现场检查管理情况，随机抽查了1家同类建筑</w:t>
      </w:r>
      <w:r>
        <w:rPr>
          <w:rFonts w:hint="default" w:ascii="Times New Roman" w:hAnsi="Times New Roman" w:eastAsia="仿宋_GB2312" w:cs="Times New Roman"/>
          <w:color w:val="auto"/>
          <w:sz w:val="32"/>
          <w:szCs w:val="32"/>
          <w:lang w:eastAsia="zh-CN"/>
        </w:rPr>
        <w:t>施工领域建设项目</w:t>
      </w:r>
      <w:r>
        <w:rPr>
          <w:rFonts w:hint="default" w:ascii="Times New Roman" w:hAnsi="Times New Roman" w:eastAsia="仿宋_GB2312" w:cs="Times New Roman"/>
          <w:sz w:val="32"/>
          <w:szCs w:val="32"/>
          <w:lang w:eastAsia="zh-CN"/>
        </w:rPr>
        <w:t>，对有关责任人员刑事追责、党纪</w:t>
      </w:r>
      <w:r>
        <w:rPr>
          <w:rFonts w:hint="eastAsia" w:ascii="Times New Roman" w:hAnsi="Times New Roman" w:eastAsia="仿宋_GB2312" w:cs="Times New Roman"/>
          <w:sz w:val="32"/>
          <w:szCs w:val="32"/>
          <w:lang w:val="en-US" w:eastAsia="zh-CN"/>
        </w:rPr>
        <w:t>政务</w:t>
      </w:r>
      <w:r>
        <w:rPr>
          <w:rFonts w:hint="default" w:ascii="Times New Roman" w:hAnsi="Times New Roman" w:eastAsia="仿宋_GB2312" w:cs="Times New Roman"/>
          <w:sz w:val="32"/>
          <w:szCs w:val="32"/>
          <w:lang w:eastAsia="zh-CN"/>
        </w:rPr>
        <w:t>处分、责任单位行政处罚等其他方面处理情况进行了核查。从检查情况看，江北区政府及有关部门、</w:t>
      </w:r>
      <w:r>
        <w:rPr>
          <w:rFonts w:hint="default" w:ascii="Times New Roman" w:hAnsi="Times New Roman" w:eastAsia="仿宋_GB2312" w:cs="Times New Roman"/>
          <w:sz w:val="32"/>
          <w:szCs w:val="32"/>
          <w:lang w:val="en-US" w:eastAsia="zh-CN"/>
        </w:rPr>
        <w:t>事故</w:t>
      </w:r>
      <w:r>
        <w:rPr>
          <w:rFonts w:hint="default" w:ascii="Times New Roman" w:hAnsi="Times New Roman" w:eastAsia="仿宋_GB2312" w:cs="Times New Roman"/>
          <w:sz w:val="32"/>
          <w:szCs w:val="32"/>
          <w:lang w:eastAsia="zh-CN"/>
        </w:rPr>
        <w:t>单位能够深入查找事故暴露出的突出问题，采取针对措施进行整改；按照事故批复通知要求，对照事故调查报告指出的主要问题和措施建议，进一步细化工作举措，实施整改，责任追究基本到位，防范和整改措施成效明显。</w:t>
      </w:r>
    </w:p>
    <w:p w14:paraId="741D7B0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kern w:val="2"/>
          <w:sz w:val="32"/>
          <w:szCs w:val="32"/>
          <w:lang w:val="en-US" w:eastAsia="zh-CN" w:bidi="ar-SA"/>
        </w:rPr>
        <w:t>二、</w:t>
      </w:r>
      <w:r>
        <w:rPr>
          <w:rFonts w:hint="default" w:ascii="Times New Roman" w:hAnsi="Times New Roman" w:eastAsia="黑体" w:cs="Times New Roman"/>
          <w:sz w:val="32"/>
          <w:szCs w:val="32"/>
          <w:lang w:eastAsia="zh-CN"/>
        </w:rPr>
        <w:t>事故</w:t>
      </w:r>
      <w:r>
        <w:rPr>
          <w:rFonts w:hint="default" w:ascii="Times New Roman" w:hAnsi="Times New Roman" w:eastAsia="黑体" w:cs="Times New Roman"/>
          <w:sz w:val="32"/>
          <w:szCs w:val="32"/>
        </w:rPr>
        <w:t>责任追究落实情况</w:t>
      </w:r>
    </w:p>
    <w:p w14:paraId="228C73BD">
      <w:pPr>
        <w:keepNext w:val="0"/>
        <w:keepLines w:val="0"/>
        <w:pageBreakBefore w:val="0"/>
        <w:widowControl w:val="0"/>
        <w:suppressLineNumbers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rPr>
      </w:pPr>
      <w:r>
        <w:rPr>
          <w:rFonts w:hint="default" w:ascii="Times New Roman" w:hAnsi="Times New Roman" w:eastAsia="楷体_GB2312" w:cs="Times New Roman"/>
          <w:b w:val="0"/>
          <w:bCs w:val="0"/>
          <w:sz w:val="32"/>
          <w:szCs w:val="32"/>
          <w:lang w:eastAsia="zh-CN"/>
        </w:rPr>
        <w:t>（一）</w:t>
      </w:r>
      <w:r>
        <w:rPr>
          <w:rFonts w:hint="default" w:ascii="Times New Roman" w:hAnsi="Times New Roman" w:eastAsia="楷体_GB2312" w:cs="Times New Roman"/>
          <w:b w:val="0"/>
          <w:bCs w:val="0"/>
          <w:sz w:val="32"/>
          <w:szCs w:val="32"/>
        </w:rPr>
        <w:t>刑事追责情况</w:t>
      </w:r>
      <w:r>
        <w:rPr>
          <w:rFonts w:hint="default" w:ascii="Times New Roman" w:hAnsi="Times New Roman" w:eastAsia="楷体_GB2312" w:cs="Times New Roman"/>
          <w:b w:val="0"/>
          <w:bCs w:val="0"/>
          <w:sz w:val="32"/>
          <w:szCs w:val="32"/>
          <w:lang w:eastAsia="zh-CN"/>
        </w:rPr>
        <w:t>。</w:t>
      </w:r>
      <w:r>
        <w:rPr>
          <w:rFonts w:hint="default" w:ascii="Times New Roman" w:hAnsi="Times New Roman" w:eastAsia="仿宋_GB2312" w:cs="Times New Roman"/>
          <w:i w:val="0"/>
          <w:caps w:val="0"/>
          <w:spacing w:val="0"/>
          <w:kern w:val="2"/>
          <w:sz w:val="32"/>
          <w:szCs w:val="32"/>
          <w:shd w:val="clear" w:color="auto" w:fill="auto"/>
          <w:lang w:val="en-US" w:eastAsia="zh-CN" w:bidi="ar"/>
        </w:rPr>
        <w:t>1、</w:t>
      </w:r>
      <w:r>
        <w:rPr>
          <w:rFonts w:hint="default" w:ascii="Times New Roman" w:hAnsi="Times New Roman" w:eastAsia="仿宋_GB2312" w:cs="Times New Roman"/>
          <w:b w:val="0"/>
          <w:bCs w:val="0"/>
          <w:color w:val="auto"/>
          <w:kern w:val="0"/>
          <w:sz w:val="32"/>
          <w:szCs w:val="32"/>
          <w:lang w:val="en-US" w:eastAsia="zh-CN"/>
        </w:rPr>
        <w:t>对易成彬的刑事责任追究落实情况。据调查认定，易成彬，男，1974年12月生，汉族，初中文化，个体经营者，户籍所在地：河南省商城县观庙镇林湾村大王堰3号，住址：宁波市江北区洪塘街道天赋苑13幢1501室。因涉嫌重大事故责任罪于2024年1月12日到案，次日被公安江北分局刑事拘留，1月19日被取保候审，8月23日被江北区检察院取保候审；12月27日，江北区检察院向江北区法院提起公诉（甬北检刑诉〔2024〕672号）；2025年1月8日，江北区法院下达了《刑事判决书》（2025）浙0205刑初9号，判处易成彬有期徒刑1年6个月，缓刑2年（缓刑考验期，从判决之日起算）。</w:t>
      </w:r>
    </w:p>
    <w:p w14:paraId="1C02973C">
      <w:pPr>
        <w:keepNext w:val="0"/>
        <w:keepLines w:val="0"/>
        <w:pageBreakBefore w:val="0"/>
        <w:widowControl w:val="0"/>
        <w:suppressLineNumbers w:val="0"/>
        <w:kinsoku/>
        <w:wordWrap/>
        <w:overflowPunct/>
        <w:topLinePunct w:val="0"/>
        <w:autoSpaceDE/>
        <w:autoSpaceDN/>
        <w:bidi w:val="0"/>
        <w:adjustRightInd/>
        <w:snapToGrid/>
        <w:spacing w:line="580" w:lineRule="exact"/>
        <w:ind w:left="0" w:leftChars="0"/>
        <w:jc w:val="both"/>
        <w:textAlignment w:val="auto"/>
        <w:rPr>
          <w:rFonts w:hint="default" w:ascii="Times New Roman" w:hAnsi="Times New Roman" w:eastAsia="仿宋_GB2312" w:cs="Times New Roman"/>
          <w:b w:val="0"/>
          <w:bCs w:val="0"/>
          <w:color w:val="auto"/>
          <w:kern w:val="0"/>
          <w:sz w:val="32"/>
          <w:szCs w:val="32"/>
          <w:lang w:val="en-US" w:eastAsia="zh-CN"/>
        </w:rPr>
      </w:pPr>
      <w:r>
        <w:rPr>
          <w:rFonts w:hint="default" w:ascii="Times New Roman" w:hAnsi="Times New Roman" w:eastAsia="仿宋_GB2312" w:cs="Times New Roman"/>
          <w:i w:val="0"/>
          <w:caps w:val="0"/>
          <w:spacing w:val="0"/>
          <w:kern w:val="2"/>
          <w:sz w:val="32"/>
          <w:szCs w:val="32"/>
          <w:shd w:val="clear" w:color="auto" w:fill="auto"/>
          <w:lang w:val="en-US" w:eastAsia="zh-CN" w:bidi="ar"/>
        </w:rPr>
        <w:t>2、对潘德棋的责任追究落实情况。</w:t>
      </w:r>
      <w:r>
        <w:rPr>
          <w:rFonts w:hint="default" w:ascii="Times New Roman" w:hAnsi="Times New Roman" w:eastAsia="仿宋_GB2312" w:cs="Times New Roman"/>
          <w:b w:val="0"/>
          <w:bCs w:val="0"/>
          <w:color w:val="auto"/>
          <w:kern w:val="0"/>
          <w:sz w:val="32"/>
          <w:szCs w:val="32"/>
          <w:lang w:val="en-US" w:eastAsia="zh-CN"/>
        </w:rPr>
        <w:t>据公安江北分局调查认定，银城机械公司及法定代表人潘德棋涉嫌存在伪造雄宇公司印章、伪造雄宇公司员工签名、冒用雄宇公司资质和名义违规承揽吊篮安装工程等问题。2024年8月22日，潘德棋被公安江北分局取保候审（甬公北（治）取保字〔2024〕00590号）。</w:t>
      </w:r>
    </w:p>
    <w:p w14:paraId="434CC3F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val="0"/>
          <w:bCs w:val="0"/>
          <w:sz w:val="32"/>
          <w:szCs w:val="32"/>
          <w:lang w:eastAsia="zh-CN"/>
        </w:rPr>
        <w:t>（二）单位问责情况。</w:t>
      </w:r>
      <w:r>
        <w:rPr>
          <w:rFonts w:hint="default" w:ascii="Times New Roman" w:hAnsi="Times New Roman" w:eastAsia="仿宋_GB2312" w:cs="Times New Roman"/>
          <w:sz w:val="32"/>
          <w:szCs w:val="32"/>
          <w:lang w:eastAsia="zh-CN"/>
        </w:rPr>
        <w:t>事故调查报告责令江北区人民政府向市人民政府作出深刻书面检查</w:t>
      </w:r>
      <w:r>
        <w:rPr>
          <w:rFonts w:hint="default" w:ascii="Times New Roman" w:hAnsi="Times New Roman" w:eastAsia="仿宋_GB2312" w:cs="Times New Roman"/>
          <w:b w:val="0"/>
          <w:bCs w:val="0"/>
          <w:color w:val="auto"/>
          <w:kern w:val="0"/>
          <w:sz w:val="32"/>
          <w:szCs w:val="32"/>
          <w:lang w:val="en-US" w:eastAsia="zh-CN"/>
        </w:rPr>
        <w:t>；责令区住建局向江北区人民政府作出深刻书面检查。经核查，2024年5月8日，区住建局向江北区人民政府作出了深刻书面检查，并将处理结果抄送市安委办。2024年5月31日，江北区人民政府向市人民政府作出了深刻书面检查，并将处理结果抄送市安委办。</w:t>
      </w:r>
    </w:p>
    <w:p w14:paraId="09EA8C4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b w:val="0"/>
          <w:bCs w:val="0"/>
          <w:sz w:val="32"/>
          <w:szCs w:val="32"/>
          <w:lang w:eastAsia="zh-CN"/>
        </w:rPr>
        <w:t>（三）党政纪问责情况。</w:t>
      </w:r>
      <w:r>
        <w:rPr>
          <w:rFonts w:hint="default" w:ascii="Times New Roman" w:hAnsi="Times New Roman" w:eastAsia="仿宋_GB2312" w:cs="Times New Roman"/>
          <w:b w:val="0"/>
          <w:bCs w:val="0"/>
          <w:color w:val="auto"/>
          <w:kern w:val="0"/>
          <w:sz w:val="32"/>
          <w:szCs w:val="32"/>
          <w:lang w:val="en-US" w:eastAsia="zh-CN"/>
        </w:rPr>
        <w:t>事故调查报告共对江北区住房和城乡建设局3名公职人员分别建议作出通报批评处理、诫勉问责、党内警告处分，经调取纪委、监委对3名公职</w:t>
      </w:r>
      <w:r>
        <w:rPr>
          <w:rFonts w:hint="default" w:ascii="Times New Roman" w:hAnsi="Times New Roman" w:eastAsia="仿宋_GB2312" w:cs="Times New Roman"/>
          <w:sz w:val="32"/>
          <w:szCs w:val="32"/>
          <w:lang w:eastAsia="zh-CN"/>
        </w:rPr>
        <w:t>人员</w:t>
      </w:r>
      <w:r>
        <w:rPr>
          <w:rFonts w:hint="default" w:ascii="Times New Roman" w:hAnsi="Times New Roman" w:eastAsia="仿宋_GB2312" w:cs="Times New Roman"/>
          <w:sz w:val="32"/>
          <w:szCs w:val="32"/>
          <w:lang w:val="en-US" w:eastAsia="zh-CN"/>
        </w:rPr>
        <w:t>处理</w:t>
      </w:r>
      <w:r>
        <w:rPr>
          <w:rFonts w:hint="default" w:ascii="Times New Roman" w:hAnsi="Times New Roman" w:eastAsia="仿宋_GB2312" w:cs="Times New Roman"/>
          <w:sz w:val="32"/>
          <w:szCs w:val="32"/>
          <w:lang w:eastAsia="zh-CN"/>
        </w:rPr>
        <w:t>、处分决定并逐一核对，党政纪问责已全部落实到位。</w:t>
      </w:r>
    </w:p>
    <w:p w14:paraId="6F37525B">
      <w:pPr>
        <w:keepNext w:val="0"/>
        <w:keepLines w:val="0"/>
        <w:pageBreakBefore w:val="0"/>
        <w:widowControl w:val="0"/>
        <w:suppressLineNumbers w:val="0"/>
        <w:kinsoku/>
        <w:wordWrap/>
        <w:overflowPunct/>
        <w:topLinePunct w:val="0"/>
        <w:autoSpaceDE/>
        <w:autoSpaceDN/>
        <w:bidi w:val="0"/>
        <w:adjustRightInd/>
        <w:snapToGrid/>
        <w:spacing w:line="580" w:lineRule="exact"/>
        <w:ind w:left="0" w:leftChars="0" w:firstLine="320" w:firstLineChars="100"/>
        <w:jc w:val="both"/>
        <w:textAlignment w:val="auto"/>
        <w:rPr>
          <w:rFonts w:hint="default" w:ascii="Times New Roman" w:hAnsi="Times New Roman" w:eastAsia="仿宋_GB2312" w:cs="Times New Roman"/>
          <w:b w:val="0"/>
          <w:bCs w:val="0"/>
          <w:color w:val="auto"/>
          <w:kern w:val="0"/>
          <w:sz w:val="32"/>
          <w:szCs w:val="32"/>
          <w:lang w:val="en-US" w:eastAsia="zh-CN"/>
        </w:rPr>
      </w:pPr>
      <w:r>
        <w:rPr>
          <w:rFonts w:hint="default" w:ascii="Times New Roman" w:hAnsi="Times New Roman" w:eastAsia="楷体_GB2312" w:cs="Times New Roman"/>
          <w:b w:val="0"/>
          <w:bCs w:val="0"/>
          <w:sz w:val="32"/>
          <w:szCs w:val="32"/>
          <w:lang w:val="en-US" w:eastAsia="zh-CN"/>
        </w:rPr>
        <w:t xml:space="preserve"> （四）江北区应急局</w:t>
      </w:r>
      <w:r>
        <w:rPr>
          <w:rFonts w:hint="default" w:ascii="Times New Roman" w:hAnsi="Times New Roman" w:eastAsia="楷体_GB2312" w:cs="Times New Roman"/>
          <w:b w:val="0"/>
          <w:bCs w:val="0"/>
          <w:sz w:val="32"/>
          <w:szCs w:val="32"/>
          <w:lang w:eastAsia="zh-CN"/>
        </w:rPr>
        <w:t>对事故企业及相关人员处理情况。</w:t>
      </w:r>
      <w:r>
        <w:rPr>
          <w:rFonts w:hint="default" w:ascii="Times New Roman" w:hAnsi="Times New Roman" w:eastAsia="仿宋_GB2312" w:cs="Times New Roman"/>
          <w:b w:val="0"/>
          <w:bCs w:val="0"/>
          <w:color w:val="auto"/>
          <w:kern w:val="0"/>
          <w:sz w:val="32"/>
          <w:szCs w:val="32"/>
          <w:lang w:val="en-US" w:eastAsia="zh-CN"/>
        </w:rPr>
        <w:t>2024年5月13日，江北区应急管理局对浙江海致建设有限公司进行立案调查；6月14日，向该公司下达了《行政处罚决定书》，依据《中华人民共和国安全生产法》第一百一十四条第（一）项之规定，给予该公司77.5万元的处罚。该公司对相关处罚无异议，并于6月24日按照《行政处罚决定书》要求自觉缴纳罚金。</w:t>
      </w:r>
    </w:p>
    <w:p w14:paraId="51D8B4D1">
      <w:pPr>
        <w:keepNext w:val="0"/>
        <w:keepLines w:val="0"/>
        <w:pageBreakBefore w:val="0"/>
        <w:widowControl w:val="0"/>
        <w:suppressLineNumbers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rPr>
      </w:pPr>
      <w:r>
        <w:rPr>
          <w:rFonts w:hint="default" w:ascii="Times New Roman" w:hAnsi="Times New Roman" w:eastAsia="仿宋_GB2312" w:cs="Times New Roman"/>
          <w:b w:val="0"/>
          <w:bCs w:val="0"/>
          <w:color w:val="auto"/>
          <w:kern w:val="0"/>
          <w:sz w:val="32"/>
          <w:szCs w:val="32"/>
          <w:lang w:val="en-US" w:eastAsia="zh-CN"/>
        </w:rPr>
        <w:t>2024年5月17日，江北区应急管理局对宁波众欣建筑劳务有限公司进行立案调查；6月14日，向该公司下达了《行政处罚决定书》，依据《中华人民共和国安全生产法》第一百一十四条第（一）项之规定，给予该公司77.5万元的处罚。该公司对相关处罚无异议，并于6月24日按照《行政处罚决定书》要求自觉缴纳罚金。</w:t>
      </w:r>
    </w:p>
    <w:p w14:paraId="38411BC7">
      <w:pPr>
        <w:keepNext w:val="0"/>
        <w:keepLines w:val="0"/>
        <w:pageBreakBefore w:val="0"/>
        <w:widowControl w:val="0"/>
        <w:suppressLineNumbers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rPr>
      </w:pPr>
      <w:r>
        <w:rPr>
          <w:rFonts w:hint="default" w:ascii="Times New Roman" w:hAnsi="Times New Roman" w:eastAsia="仿宋_GB2312" w:cs="Times New Roman"/>
          <w:b w:val="0"/>
          <w:bCs w:val="0"/>
          <w:color w:val="auto"/>
          <w:kern w:val="0"/>
          <w:sz w:val="32"/>
          <w:szCs w:val="32"/>
          <w:lang w:val="en-US" w:eastAsia="zh-CN"/>
        </w:rPr>
        <w:t>2024年5月13日，江北区应急管理局对陈锡桥进行立案调查；6月14日，向陈锡桥下达了《行政处罚决定书》，依据《中华人民共和国安全生产法》第九十五条第（一）项和第一百一十条第二款之规定，给予陈锡桥23.5万元的处罚。陈锡桥对相关处罚无异议，并于6月25日按照《行政处罚决定书》要求自觉缴纳罚金。</w:t>
      </w:r>
    </w:p>
    <w:p w14:paraId="78C497FB">
      <w:pPr>
        <w:keepNext w:val="0"/>
        <w:keepLines w:val="0"/>
        <w:pageBreakBefore w:val="0"/>
        <w:widowControl w:val="0"/>
        <w:suppressLineNumbers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rPr>
      </w:pPr>
      <w:r>
        <w:rPr>
          <w:rFonts w:hint="default" w:ascii="Times New Roman" w:hAnsi="Times New Roman" w:eastAsia="仿宋_GB2312" w:cs="Times New Roman"/>
          <w:b w:val="0"/>
          <w:bCs w:val="0"/>
          <w:color w:val="auto"/>
          <w:kern w:val="0"/>
          <w:sz w:val="32"/>
          <w:szCs w:val="32"/>
          <w:lang w:val="en-US" w:eastAsia="zh-CN"/>
        </w:rPr>
        <w:t>2024年5月13日，江北区应急管理局对周前峰进行立案调查；6月14日，向周前峰下达了《行政处罚决定书》，依据《中华人民共和国安全生产法》第九十五条第（一）项和第一百一十条第二款之规定，给予周前峰10.3万元的处罚。周前峰对相关处罚无异议，并于6月24日按照《行政处罚决定书》要求自觉缴纳罚金。</w:t>
      </w:r>
    </w:p>
    <w:p w14:paraId="5A8EF062">
      <w:pPr>
        <w:keepNext w:val="0"/>
        <w:keepLines w:val="0"/>
        <w:pageBreakBefore w:val="0"/>
        <w:widowControl w:val="0"/>
        <w:kinsoku/>
        <w:wordWrap/>
        <w:overflowPunct/>
        <w:topLinePunct w:val="0"/>
        <w:autoSpaceDE/>
        <w:autoSpaceDN/>
        <w:bidi w:val="0"/>
        <w:adjustRightInd/>
        <w:snapToGrid/>
        <w:spacing w:line="580" w:lineRule="exact"/>
        <w:ind w:left="0" w:leftChars="0" w:firstLine="640"/>
        <w:jc w:val="both"/>
        <w:textAlignment w:val="auto"/>
        <w:rPr>
          <w:rFonts w:hint="default" w:ascii="Times New Roman" w:hAnsi="Times New Roman" w:eastAsia="仿宋_GB2312" w:cs="Times New Roman"/>
          <w:color w:val="auto"/>
          <w:kern w:val="0"/>
          <w:sz w:val="32"/>
          <w:szCs w:val="32"/>
          <w:lang w:val="en" w:eastAsia="zh-CN"/>
        </w:rPr>
      </w:pPr>
      <w:r>
        <w:rPr>
          <w:rFonts w:hint="default" w:ascii="Times New Roman" w:hAnsi="Times New Roman" w:eastAsia="楷体_GB2312" w:cs="Times New Roman"/>
          <w:b w:val="0"/>
          <w:bCs w:val="0"/>
          <w:sz w:val="32"/>
          <w:szCs w:val="32"/>
          <w:lang w:eastAsia="zh-CN"/>
        </w:rPr>
        <w:t>（五）江北区住建局对事故企业及相关人员处理情况。</w:t>
      </w: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lang w:val="en" w:eastAsia="zh-CN"/>
        </w:rPr>
        <w:t>对事故责任单位和责任人员行政处罚落实情况。</w:t>
      </w:r>
      <w:r>
        <w:rPr>
          <w:rFonts w:hint="default" w:ascii="Times New Roman" w:hAnsi="Times New Roman" w:eastAsia="仿宋_GB2312" w:cs="Times New Roman"/>
          <w:color w:val="auto"/>
          <w:kern w:val="0"/>
          <w:sz w:val="32"/>
          <w:szCs w:val="32"/>
          <w:lang w:val="en" w:eastAsia="zh-CN"/>
        </w:rPr>
        <w:t>2024年6月20日，</w:t>
      </w:r>
      <w:r>
        <w:rPr>
          <w:rFonts w:hint="default" w:ascii="Times New Roman" w:hAnsi="Times New Roman" w:eastAsia="仿宋_GB2312" w:cs="Times New Roman"/>
          <w:color w:val="auto"/>
          <w:kern w:val="0"/>
          <w:sz w:val="32"/>
          <w:szCs w:val="32"/>
          <w:lang w:val="en-US" w:eastAsia="zh-CN"/>
        </w:rPr>
        <w:t>江北</w:t>
      </w:r>
      <w:r>
        <w:rPr>
          <w:rFonts w:hint="default" w:ascii="Times New Roman" w:hAnsi="Times New Roman" w:eastAsia="仿宋_GB2312" w:cs="Times New Roman"/>
          <w:color w:val="auto"/>
          <w:kern w:val="0"/>
          <w:sz w:val="32"/>
          <w:szCs w:val="32"/>
          <w:lang w:val="en" w:eastAsia="zh-CN"/>
        </w:rPr>
        <w:t>区</w:t>
      </w:r>
      <w:r>
        <w:rPr>
          <w:rFonts w:hint="default" w:ascii="Times New Roman" w:hAnsi="Times New Roman" w:eastAsia="仿宋_GB2312" w:cs="Times New Roman"/>
          <w:color w:val="auto"/>
          <w:kern w:val="0"/>
          <w:sz w:val="32"/>
          <w:szCs w:val="32"/>
          <w:lang w:val="en-US" w:eastAsia="zh-CN"/>
        </w:rPr>
        <w:t>住建</w:t>
      </w:r>
      <w:r>
        <w:rPr>
          <w:rFonts w:hint="default" w:ascii="Times New Roman" w:hAnsi="Times New Roman" w:eastAsia="仿宋_GB2312" w:cs="Times New Roman"/>
          <w:color w:val="auto"/>
          <w:kern w:val="0"/>
          <w:sz w:val="32"/>
          <w:szCs w:val="32"/>
          <w:lang w:val="en" w:eastAsia="zh-CN"/>
        </w:rPr>
        <w:t>局将相关证据材料移送</w:t>
      </w:r>
      <w:r>
        <w:rPr>
          <w:rFonts w:hint="default" w:ascii="Times New Roman" w:hAnsi="Times New Roman" w:eastAsia="仿宋_GB2312" w:cs="Times New Roman"/>
          <w:color w:val="auto"/>
          <w:kern w:val="0"/>
          <w:sz w:val="32"/>
          <w:szCs w:val="32"/>
          <w:lang w:val="en-US" w:eastAsia="zh-CN"/>
        </w:rPr>
        <w:t>至江北</w:t>
      </w:r>
      <w:r>
        <w:rPr>
          <w:rFonts w:hint="default" w:ascii="Times New Roman" w:hAnsi="Times New Roman" w:eastAsia="仿宋_GB2312" w:cs="Times New Roman"/>
          <w:color w:val="auto"/>
          <w:kern w:val="0"/>
          <w:sz w:val="32"/>
          <w:szCs w:val="32"/>
          <w:lang w:val="en" w:eastAsia="zh-CN"/>
        </w:rPr>
        <w:t>区综合</w:t>
      </w:r>
      <w:r>
        <w:rPr>
          <w:rFonts w:hint="default" w:ascii="Times New Roman" w:hAnsi="Times New Roman" w:eastAsia="仿宋_GB2312" w:cs="Times New Roman"/>
          <w:color w:val="auto"/>
          <w:kern w:val="0"/>
          <w:sz w:val="32"/>
          <w:szCs w:val="32"/>
          <w:lang w:val="en-US" w:eastAsia="zh-CN"/>
        </w:rPr>
        <w:t>行政</w:t>
      </w:r>
      <w:r>
        <w:rPr>
          <w:rFonts w:hint="default" w:ascii="Times New Roman" w:hAnsi="Times New Roman" w:eastAsia="仿宋_GB2312" w:cs="Times New Roman"/>
          <w:color w:val="auto"/>
          <w:kern w:val="0"/>
          <w:sz w:val="32"/>
          <w:szCs w:val="32"/>
          <w:lang w:val="en" w:eastAsia="zh-CN"/>
        </w:rPr>
        <w:t>执法局；7月18日，</w:t>
      </w:r>
      <w:r>
        <w:rPr>
          <w:rFonts w:hint="default" w:ascii="Times New Roman" w:hAnsi="Times New Roman" w:eastAsia="仿宋_GB2312" w:cs="Times New Roman"/>
          <w:color w:val="auto"/>
          <w:kern w:val="0"/>
          <w:sz w:val="32"/>
          <w:szCs w:val="32"/>
          <w:lang w:val="en-US" w:eastAsia="zh-CN"/>
        </w:rPr>
        <w:t>江北</w:t>
      </w:r>
      <w:r>
        <w:rPr>
          <w:rFonts w:hint="default" w:ascii="Times New Roman" w:hAnsi="Times New Roman" w:eastAsia="仿宋_GB2312" w:cs="Times New Roman"/>
          <w:color w:val="auto"/>
          <w:kern w:val="0"/>
          <w:sz w:val="32"/>
          <w:szCs w:val="32"/>
          <w:lang w:val="en" w:eastAsia="zh-CN"/>
        </w:rPr>
        <w:t>区综合</w:t>
      </w:r>
      <w:r>
        <w:rPr>
          <w:rFonts w:hint="default" w:ascii="Times New Roman" w:hAnsi="Times New Roman" w:eastAsia="仿宋_GB2312" w:cs="Times New Roman"/>
          <w:color w:val="auto"/>
          <w:kern w:val="0"/>
          <w:sz w:val="32"/>
          <w:szCs w:val="32"/>
          <w:lang w:val="en-US" w:eastAsia="zh-CN"/>
        </w:rPr>
        <w:t>行政</w:t>
      </w:r>
      <w:r>
        <w:rPr>
          <w:rFonts w:hint="default" w:ascii="Times New Roman" w:hAnsi="Times New Roman" w:eastAsia="仿宋_GB2312" w:cs="Times New Roman"/>
          <w:color w:val="auto"/>
          <w:kern w:val="0"/>
          <w:sz w:val="32"/>
          <w:szCs w:val="32"/>
          <w:lang w:val="en" w:eastAsia="zh-CN"/>
        </w:rPr>
        <w:t>执法局对宁波金恒工程建设监理有限公司立案调查；7月25日，</w:t>
      </w:r>
      <w:r>
        <w:rPr>
          <w:rFonts w:hint="default" w:ascii="Times New Roman" w:hAnsi="Times New Roman" w:eastAsia="仿宋_GB2312" w:cs="Times New Roman"/>
          <w:color w:val="auto"/>
          <w:kern w:val="0"/>
          <w:sz w:val="32"/>
          <w:szCs w:val="32"/>
          <w:lang w:val="en-US" w:eastAsia="zh-CN"/>
        </w:rPr>
        <w:t>江北</w:t>
      </w:r>
      <w:r>
        <w:rPr>
          <w:rFonts w:hint="default" w:ascii="Times New Roman" w:hAnsi="Times New Roman" w:eastAsia="仿宋_GB2312" w:cs="Times New Roman"/>
          <w:color w:val="auto"/>
          <w:kern w:val="0"/>
          <w:sz w:val="32"/>
          <w:szCs w:val="32"/>
          <w:lang w:val="en" w:eastAsia="zh-CN"/>
        </w:rPr>
        <w:t>区综合</w:t>
      </w:r>
      <w:r>
        <w:rPr>
          <w:rFonts w:hint="default" w:ascii="Times New Roman" w:hAnsi="Times New Roman" w:eastAsia="仿宋_GB2312" w:cs="Times New Roman"/>
          <w:color w:val="auto"/>
          <w:kern w:val="0"/>
          <w:sz w:val="32"/>
          <w:szCs w:val="32"/>
          <w:lang w:val="en-US" w:eastAsia="zh-CN"/>
        </w:rPr>
        <w:t>行政</w:t>
      </w:r>
      <w:r>
        <w:rPr>
          <w:rFonts w:hint="default" w:ascii="Times New Roman" w:hAnsi="Times New Roman" w:eastAsia="仿宋_GB2312" w:cs="Times New Roman"/>
          <w:color w:val="auto"/>
          <w:kern w:val="0"/>
          <w:sz w:val="32"/>
          <w:szCs w:val="32"/>
          <w:lang w:val="en" w:eastAsia="zh-CN"/>
        </w:rPr>
        <w:t>执法局向</w:t>
      </w:r>
      <w:r>
        <w:rPr>
          <w:rFonts w:hint="default" w:ascii="Times New Roman" w:hAnsi="Times New Roman" w:eastAsia="仿宋_GB2312" w:cs="Times New Roman"/>
          <w:color w:val="auto"/>
          <w:kern w:val="0"/>
          <w:sz w:val="32"/>
          <w:szCs w:val="32"/>
          <w:lang w:val="en-US" w:eastAsia="zh-CN"/>
        </w:rPr>
        <w:t>该</w:t>
      </w:r>
      <w:r>
        <w:rPr>
          <w:rFonts w:hint="default" w:ascii="Times New Roman" w:hAnsi="Times New Roman" w:eastAsia="仿宋_GB2312" w:cs="Times New Roman"/>
          <w:color w:val="auto"/>
          <w:kern w:val="0"/>
          <w:sz w:val="32"/>
          <w:szCs w:val="32"/>
          <w:lang w:val="en" w:eastAsia="zh-CN"/>
        </w:rPr>
        <w:t>公司送达《行政处罚事先告知书》；</w:t>
      </w:r>
      <w:r>
        <w:rPr>
          <w:rFonts w:hint="default" w:ascii="Times New Roman" w:hAnsi="Times New Roman" w:eastAsia="仿宋_GB2312" w:cs="Times New Roman"/>
          <w:color w:val="auto"/>
          <w:kern w:val="0"/>
          <w:sz w:val="32"/>
          <w:szCs w:val="32"/>
          <w:lang w:val="en-US" w:eastAsia="zh-CN"/>
        </w:rPr>
        <w:t>8月5日，江北</w:t>
      </w:r>
      <w:r>
        <w:rPr>
          <w:rFonts w:hint="default" w:ascii="Times New Roman" w:hAnsi="Times New Roman" w:eastAsia="仿宋_GB2312" w:cs="Times New Roman"/>
          <w:color w:val="auto"/>
          <w:kern w:val="0"/>
          <w:sz w:val="32"/>
          <w:szCs w:val="32"/>
          <w:lang w:val="en" w:eastAsia="zh-CN"/>
        </w:rPr>
        <w:t>区综合</w:t>
      </w:r>
      <w:r>
        <w:rPr>
          <w:rFonts w:hint="default" w:ascii="Times New Roman" w:hAnsi="Times New Roman" w:eastAsia="仿宋_GB2312" w:cs="Times New Roman"/>
          <w:color w:val="auto"/>
          <w:kern w:val="0"/>
          <w:sz w:val="32"/>
          <w:szCs w:val="32"/>
          <w:lang w:val="en-US" w:eastAsia="zh-CN"/>
        </w:rPr>
        <w:t>行政</w:t>
      </w:r>
      <w:r>
        <w:rPr>
          <w:rFonts w:hint="default" w:ascii="Times New Roman" w:hAnsi="Times New Roman" w:eastAsia="仿宋_GB2312" w:cs="Times New Roman"/>
          <w:color w:val="auto"/>
          <w:kern w:val="0"/>
          <w:sz w:val="32"/>
          <w:szCs w:val="32"/>
          <w:lang w:val="en" w:eastAsia="zh-CN"/>
        </w:rPr>
        <w:t>执法局向</w:t>
      </w:r>
      <w:r>
        <w:rPr>
          <w:rFonts w:hint="default" w:ascii="Times New Roman" w:hAnsi="Times New Roman" w:eastAsia="仿宋_GB2312" w:cs="Times New Roman"/>
          <w:color w:val="auto"/>
          <w:kern w:val="0"/>
          <w:sz w:val="32"/>
          <w:szCs w:val="32"/>
          <w:lang w:val="en-US" w:eastAsia="zh-CN"/>
        </w:rPr>
        <w:t>该</w:t>
      </w:r>
      <w:r>
        <w:rPr>
          <w:rFonts w:hint="default" w:ascii="Times New Roman" w:hAnsi="Times New Roman" w:eastAsia="仿宋_GB2312" w:cs="Times New Roman"/>
          <w:color w:val="auto"/>
          <w:kern w:val="0"/>
          <w:sz w:val="32"/>
          <w:szCs w:val="32"/>
          <w:lang w:val="en" w:eastAsia="zh-CN"/>
        </w:rPr>
        <w:t>公司送达《行政处罚决定书》，依据《中华人民共和国安全生产法》第一百零二条，参照《宁波市综合行政执法行政处罚裁量权实施规定》第五条至第十条的规定，给予</w:t>
      </w:r>
      <w:r>
        <w:rPr>
          <w:rFonts w:hint="default" w:ascii="Times New Roman" w:hAnsi="Times New Roman" w:eastAsia="仿宋_GB2312" w:cs="Times New Roman"/>
          <w:color w:val="auto"/>
          <w:kern w:val="0"/>
          <w:sz w:val="32"/>
          <w:szCs w:val="32"/>
          <w:lang w:val="en-US" w:eastAsia="zh-CN"/>
        </w:rPr>
        <w:t>该</w:t>
      </w:r>
      <w:r>
        <w:rPr>
          <w:rFonts w:hint="default" w:ascii="Times New Roman" w:hAnsi="Times New Roman" w:eastAsia="仿宋_GB2312" w:cs="Times New Roman"/>
          <w:color w:val="auto"/>
          <w:kern w:val="0"/>
          <w:sz w:val="32"/>
          <w:szCs w:val="32"/>
          <w:lang w:val="en" w:eastAsia="zh-CN"/>
        </w:rPr>
        <w:t>公司</w:t>
      </w:r>
      <w:r>
        <w:rPr>
          <w:rFonts w:hint="default" w:ascii="Times New Roman" w:hAnsi="Times New Roman" w:eastAsia="仿宋_GB2312" w:cs="Times New Roman"/>
          <w:color w:val="auto"/>
          <w:kern w:val="0"/>
          <w:sz w:val="32"/>
          <w:szCs w:val="32"/>
          <w:lang w:val="en-US" w:eastAsia="zh-CN"/>
        </w:rPr>
        <w:t>5万元的</w:t>
      </w:r>
      <w:r>
        <w:rPr>
          <w:rFonts w:hint="default" w:ascii="Times New Roman" w:hAnsi="Times New Roman" w:eastAsia="仿宋_GB2312" w:cs="Times New Roman"/>
          <w:color w:val="auto"/>
          <w:kern w:val="0"/>
          <w:sz w:val="32"/>
          <w:szCs w:val="32"/>
          <w:lang w:val="en" w:eastAsia="zh-CN"/>
        </w:rPr>
        <w:t>处罚。</w:t>
      </w:r>
    </w:p>
    <w:p w14:paraId="74E855B0">
      <w:pPr>
        <w:keepNext w:val="0"/>
        <w:keepLines w:val="0"/>
        <w:pageBreakBefore w:val="0"/>
        <w:widowControl w:val="0"/>
        <w:kinsoku/>
        <w:wordWrap/>
        <w:overflowPunct/>
        <w:topLinePunct w:val="0"/>
        <w:autoSpaceDE/>
        <w:autoSpaceDN/>
        <w:bidi w:val="0"/>
        <w:adjustRightInd/>
        <w:snapToGrid/>
        <w:spacing w:line="580" w:lineRule="exact"/>
        <w:ind w:left="0" w:leftChars="0" w:firstLine="641"/>
        <w:jc w:val="both"/>
        <w:textAlignment w:val="auto"/>
        <w:rPr>
          <w:rFonts w:hint="default" w:ascii="Times New Roman" w:hAnsi="Times New Roman" w:eastAsia="仿宋_GB2312" w:cs="Times New Roman"/>
          <w:color w:val="auto"/>
          <w:sz w:val="32"/>
          <w:szCs w:val="32"/>
          <w:lang w:val="en" w:eastAsia="zh-CN"/>
        </w:rPr>
      </w:pPr>
      <w:r>
        <w:rPr>
          <w:rFonts w:hint="default" w:ascii="Times New Roman" w:hAnsi="Times New Roman" w:eastAsia="仿宋_GB2312" w:cs="Times New Roman"/>
          <w:color w:val="auto"/>
          <w:kern w:val="0"/>
          <w:sz w:val="32"/>
          <w:szCs w:val="32"/>
          <w:lang w:val="en-US" w:eastAsia="zh-CN"/>
        </w:rPr>
        <w:t>2024年6月20日，江北</w:t>
      </w:r>
      <w:r>
        <w:rPr>
          <w:rFonts w:hint="default" w:ascii="Times New Roman" w:hAnsi="Times New Roman" w:eastAsia="仿宋_GB2312" w:cs="Times New Roman"/>
          <w:color w:val="auto"/>
          <w:kern w:val="0"/>
          <w:sz w:val="32"/>
          <w:szCs w:val="32"/>
          <w:lang w:val="en" w:eastAsia="zh-CN"/>
        </w:rPr>
        <w:t>区综合</w:t>
      </w:r>
      <w:r>
        <w:rPr>
          <w:rFonts w:hint="default" w:ascii="Times New Roman" w:hAnsi="Times New Roman" w:eastAsia="仿宋_GB2312" w:cs="Times New Roman"/>
          <w:color w:val="auto"/>
          <w:kern w:val="0"/>
          <w:sz w:val="32"/>
          <w:szCs w:val="32"/>
          <w:lang w:val="en-US" w:eastAsia="zh-CN"/>
        </w:rPr>
        <w:t>行政</w:t>
      </w:r>
      <w:r>
        <w:rPr>
          <w:rFonts w:hint="default" w:ascii="Times New Roman" w:hAnsi="Times New Roman" w:eastAsia="仿宋_GB2312" w:cs="Times New Roman"/>
          <w:color w:val="auto"/>
          <w:kern w:val="0"/>
          <w:sz w:val="32"/>
          <w:szCs w:val="32"/>
          <w:lang w:val="en" w:eastAsia="zh-CN"/>
        </w:rPr>
        <w:t>执法局</w:t>
      </w:r>
      <w:r>
        <w:rPr>
          <w:rFonts w:hint="default" w:ascii="Times New Roman" w:hAnsi="Times New Roman" w:eastAsia="仿宋_GB2312" w:cs="Times New Roman"/>
          <w:color w:val="auto"/>
          <w:kern w:val="0"/>
          <w:sz w:val="32"/>
          <w:szCs w:val="32"/>
          <w:lang w:val="en-US" w:eastAsia="zh-CN"/>
        </w:rPr>
        <w:t>结合有关部门移送的资料，发现余小勇是作为施工项目负责人但未履行安全生产管理职责，涉嫌违反《建设工程安全生产管理条例》第二十一条第二款的规定，7月18日立案调查；8月19日，江北</w:t>
      </w:r>
      <w:r>
        <w:rPr>
          <w:rFonts w:hint="default" w:ascii="Times New Roman" w:hAnsi="Times New Roman" w:eastAsia="仿宋_GB2312" w:cs="Times New Roman"/>
          <w:color w:val="auto"/>
          <w:kern w:val="0"/>
          <w:sz w:val="32"/>
          <w:szCs w:val="32"/>
          <w:lang w:val="en" w:eastAsia="zh-CN"/>
        </w:rPr>
        <w:t>区综合</w:t>
      </w:r>
      <w:r>
        <w:rPr>
          <w:rFonts w:hint="default" w:ascii="Times New Roman" w:hAnsi="Times New Roman" w:eastAsia="仿宋_GB2312" w:cs="Times New Roman"/>
          <w:color w:val="auto"/>
          <w:kern w:val="0"/>
          <w:sz w:val="32"/>
          <w:szCs w:val="32"/>
          <w:lang w:val="en-US" w:eastAsia="zh-CN"/>
        </w:rPr>
        <w:t>行政</w:t>
      </w:r>
      <w:r>
        <w:rPr>
          <w:rFonts w:hint="default" w:ascii="Times New Roman" w:hAnsi="Times New Roman" w:eastAsia="仿宋_GB2312" w:cs="Times New Roman"/>
          <w:color w:val="auto"/>
          <w:kern w:val="0"/>
          <w:sz w:val="32"/>
          <w:szCs w:val="32"/>
          <w:lang w:val="en" w:eastAsia="zh-CN"/>
        </w:rPr>
        <w:t>执法局</w:t>
      </w:r>
      <w:r>
        <w:rPr>
          <w:rFonts w:hint="default" w:ascii="Times New Roman" w:hAnsi="Times New Roman" w:eastAsia="仿宋_GB2312" w:cs="Times New Roman"/>
          <w:color w:val="auto"/>
          <w:kern w:val="0"/>
          <w:sz w:val="32"/>
          <w:szCs w:val="32"/>
          <w:lang w:val="en-US" w:eastAsia="zh-CN"/>
        </w:rPr>
        <w:t>向余小勇送达《行政处罚（听证类）告知书》；9月2日，向余小勇送达江北综执罚决字〔2024〕第001158号《行政处罚决定书》，根据《建设工程安全生产管理条例》第六十六条第一、三款的规定，给予余小勇11万元的处罚。</w:t>
      </w:r>
    </w:p>
    <w:p w14:paraId="6B9A7D87">
      <w:pPr>
        <w:keepNext w:val="0"/>
        <w:keepLines w:val="0"/>
        <w:pageBreakBefore w:val="0"/>
        <w:widowControl w:val="0"/>
        <w:kinsoku/>
        <w:wordWrap/>
        <w:overflowPunct/>
        <w:topLinePunct w:val="0"/>
        <w:autoSpaceDE/>
        <w:autoSpaceDN/>
        <w:bidi w:val="0"/>
        <w:adjustRightInd/>
        <w:snapToGrid/>
        <w:spacing w:line="580" w:lineRule="exact"/>
        <w:ind w:left="0" w:leftChars="0" w:firstLine="64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b/>
          <w:bCs/>
          <w:sz w:val="32"/>
          <w:szCs w:val="32"/>
          <w:lang w:val="en-US" w:eastAsia="zh-CN"/>
        </w:rPr>
        <w:t>2、对事故责任单位和责任人员资质类行政处罚建议落实情况。</w:t>
      </w:r>
      <w:r>
        <w:rPr>
          <w:rFonts w:hint="default" w:ascii="Times New Roman" w:hAnsi="Times New Roman" w:eastAsia="仿宋_GB2312" w:cs="Times New Roman"/>
          <w:b w:val="0"/>
          <w:bCs w:val="0"/>
          <w:color w:val="auto"/>
          <w:kern w:val="0"/>
          <w:sz w:val="32"/>
          <w:szCs w:val="32"/>
          <w:lang w:val="en-US" w:eastAsia="zh-CN"/>
        </w:rPr>
        <w:t>2024年8月15日，市住建局</w:t>
      </w:r>
      <w:r>
        <w:rPr>
          <w:rFonts w:hint="default" w:ascii="Times New Roman" w:hAnsi="Times New Roman" w:eastAsia="仿宋_GB2312" w:cs="Times New Roman"/>
          <w:color w:val="auto"/>
          <w:kern w:val="0"/>
          <w:sz w:val="32"/>
          <w:szCs w:val="32"/>
          <w:lang w:val="en-US" w:eastAsia="zh-CN"/>
        </w:rPr>
        <w:t>向省建设厅报告，依据《建筑施工企业安全生产许可证管理规定》（建设部令第128号）和《建筑施工企业安全生产许可证动态监管暂行办法》的规定，建议暂扣浙江海致建设有限公司和宁波众欣建筑劳务有限公司安全生产许可证60天。2025年1月11日，省建设厅对2家公司作出暂扣60天许可证的处罚。</w:t>
      </w:r>
    </w:p>
    <w:p w14:paraId="25F0375B">
      <w:pPr>
        <w:pStyle w:val="14"/>
        <w:keepNext w:val="0"/>
        <w:keepLines w:val="0"/>
        <w:pageBreakBefore w:val="0"/>
        <w:widowControl w:val="0"/>
        <w:kinsoku/>
        <w:wordWrap/>
        <w:overflowPunct/>
        <w:topLinePunct w:val="0"/>
        <w:autoSpaceDE/>
        <w:autoSpaceDN/>
        <w:bidi w:val="0"/>
        <w:adjustRightInd/>
        <w:snapToGrid/>
        <w:spacing w:after="0" w:line="580" w:lineRule="exact"/>
        <w:ind w:left="0" w:leftChars="0"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rPr>
      </w:pPr>
      <w:r>
        <w:rPr>
          <w:rFonts w:hint="default" w:ascii="Times New Roman" w:hAnsi="Times New Roman" w:eastAsia="仿宋_GB2312" w:cs="Times New Roman"/>
          <w:b w:val="0"/>
          <w:bCs w:val="0"/>
          <w:color w:val="auto"/>
          <w:kern w:val="0"/>
          <w:sz w:val="32"/>
          <w:szCs w:val="32"/>
          <w:lang w:val="en-US" w:eastAsia="zh-CN"/>
        </w:rPr>
        <w:t>2024年8月15日，</w:t>
      </w:r>
      <w:r>
        <w:rPr>
          <w:rFonts w:hint="default" w:ascii="Times New Roman" w:hAnsi="Times New Roman" w:eastAsia="仿宋_GB2312" w:cs="Times New Roman"/>
          <w:color w:val="auto"/>
          <w:kern w:val="0"/>
          <w:sz w:val="32"/>
          <w:szCs w:val="32"/>
          <w:lang w:val="en-US" w:eastAsia="zh-CN"/>
        </w:rPr>
        <w:t>市住建局向省建设厅报告，</w:t>
      </w:r>
      <w:r>
        <w:rPr>
          <w:rFonts w:hint="default" w:ascii="Times New Roman" w:hAnsi="Times New Roman" w:eastAsia="仿宋_GB2312" w:cs="Times New Roman"/>
          <w:b w:val="0"/>
          <w:bCs w:val="0"/>
          <w:color w:val="auto"/>
          <w:kern w:val="0"/>
          <w:sz w:val="32"/>
          <w:szCs w:val="32"/>
          <w:lang w:val="en-US" w:eastAsia="zh-CN" w:bidi="ar-SA"/>
        </w:rPr>
        <w:t>依据《建筑施工企业主要负责人、项目负责人和专职安全生产管理人员安全生产管理规定》（建设部令第17号）和《浙江省住房和城乡建设系统行政处罚裁量基准》的规定，建议对浙江海致建设有限公司主要负责人谢冬冬作出暂扣30天许可证的处罚，专职安全员周其三、郑晓霞、叶志林、蔡建鸿作出暂扣1年许可证的处罚。</w:t>
      </w:r>
      <w:r>
        <w:rPr>
          <w:rFonts w:hint="default" w:ascii="Times New Roman" w:hAnsi="Times New Roman" w:eastAsia="仿宋_GB2312" w:cs="Times New Roman"/>
          <w:color w:val="auto"/>
          <w:kern w:val="0"/>
          <w:sz w:val="32"/>
          <w:szCs w:val="32"/>
          <w:lang w:val="en-US" w:eastAsia="zh-CN"/>
        </w:rPr>
        <w:t>2025年1月11日，省建设厅向谢冬冬下达浙建罚字罚决字〔2024〕第000029-5号《行政处罚决定书》，</w:t>
      </w:r>
      <w:r>
        <w:rPr>
          <w:rFonts w:hint="default" w:ascii="Times New Roman" w:hAnsi="Times New Roman" w:eastAsia="仿宋_GB2312" w:cs="Times New Roman"/>
          <w:b w:val="0"/>
          <w:bCs w:val="0"/>
          <w:color w:val="auto"/>
          <w:kern w:val="0"/>
          <w:sz w:val="32"/>
          <w:szCs w:val="32"/>
          <w:lang w:val="en-US" w:eastAsia="zh-CN"/>
        </w:rPr>
        <w:t>向周其三下达浙建罚字罚决字〔2024〕第000029-1号《行政处罚决定书》，向郑晓霞下达浙建罚字罚决字〔2024〕第000029-2号《行政处罚决定书》，向叶志林下达浙建罚字罚决字〔2024〕第000029-3号《行政处罚决定书》，向蔡建鸿下达浙建罚字罚决字〔2024〕第000029-4号《行政处罚决定书》，均履行上述处罚措施。</w:t>
      </w:r>
    </w:p>
    <w:p w14:paraId="33027B4F">
      <w:pPr>
        <w:pStyle w:val="14"/>
        <w:keepNext w:val="0"/>
        <w:keepLines w:val="0"/>
        <w:pageBreakBefore w:val="0"/>
        <w:widowControl w:val="0"/>
        <w:kinsoku/>
        <w:wordWrap/>
        <w:overflowPunct/>
        <w:topLinePunct w:val="0"/>
        <w:autoSpaceDE/>
        <w:autoSpaceDN/>
        <w:bidi w:val="0"/>
        <w:adjustRightInd/>
        <w:snapToGrid/>
        <w:spacing w:after="0" w:line="580" w:lineRule="exact"/>
        <w:ind w:left="0" w:leftChars="0"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SA"/>
        </w:rPr>
      </w:pPr>
      <w:r>
        <w:rPr>
          <w:rFonts w:hint="default" w:ascii="Times New Roman" w:hAnsi="Times New Roman" w:eastAsia="仿宋_GB2312" w:cs="Times New Roman"/>
          <w:b w:val="0"/>
          <w:bCs w:val="0"/>
          <w:color w:val="auto"/>
          <w:kern w:val="0"/>
          <w:sz w:val="32"/>
          <w:szCs w:val="32"/>
          <w:lang w:val="en-US" w:eastAsia="zh-CN"/>
        </w:rPr>
        <w:t>2024年8月15日，</w:t>
      </w:r>
      <w:r>
        <w:rPr>
          <w:rFonts w:hint="default" w:ascii="Times New Roman" w:hAnsi="Times New Roman" w:eastAsia="仿宋_GB2312" w:cs="Times New Roman"/>
          <w:color w:val="auto"/>
          <w:kern w:val="0"/>
          <w:sz w:val="32"/>
          <w:szCs w:val="32"/>
          <w:lang w:val="en-US" w:eastAsia="zh-CN"/>
        </w:rPr>
        <w:t>市住建局向省建设厅报告，依据《建筑施工企业主要负责人、项目负责人和专职安全生产管理人员安全生产管理规定》（建设部令第17号）和《建筑施工企业主要负责人、项目负责人和专职安全生产管理人员安全生产管理规定实施意见》规定，建议</w:t>
      </w:r>
      <w:r>
        <w:rPr>
          <w:rFonts w:hint="default" w:ascii="Times New Roman" w:hAnsi="Times New Roman" w:eastAsia="仿宋_GB2312" w:cs="Times New Roman"/>
          <w:b w:val="0"/>
          <w:bCs w:val="0"/>
          <w:color w:val="auto"/>
          <w:kern w:val="0"/>
          <w:sz w:val="32"/>
          <w:szCs w:val="32"/>
          <w:lang w:val="en-US" w:eastAsia="zh-CN" w:bidi="ar-SA"/>
        </w:rPr>
        <w:t>对宁波高发电子有限公司年产300万套汽车电子换挡系统项目工程的建筑施工企业的项目负责人余小勇作出暂扣安全生产考核合格证书（编号为浙建安B（2008）0200254）90天的处罚。省建设厅作出处罚决定前，余小勇建造师证书和安全生产考核合格证书已注销。</w:t>
      </w:r>
    </w:p>
    <w:p w14:paraId="316FB4E4">
      <w:pPr>
        <w:pStyle w:val="14"/>
        <w:keepNext w:val="0"/>
        <w:keepLines w:val="0"/>
        <w:pageBreakBefore w:val="0"/>
        <w:widowControl w:val="0"/>
        <w:kinsoku/>
        <w:wordWrap/>
        <w:overflowPunct/>
        <w:topLinePunct w:val="0"/>
        <w:autoSpaceDE/>
        <w:autoSpaceDN/>
        <w:bidi w:val="0"/>
        <w:adjustRightInd/>
        <w:snapToGrid/>
        <w:spacing w:after="0" w:line="580" w:lineRule="exact"/>
        <w:ind w:left="0" w:leftChars="0"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SA"/>
        </w:rPr>
      </w:pPr>
      <w:r>
        <w:rPr>
          <w:rFonts w:hint="default" w:ascii="Times New Roman" w:hAnsi="Times New Roman" w:eastAsia="仿宋_GB2312" w:cs="Times New Roman"/>
          <w:b w:val="0"/>
          <w:bCs w:val="0"/>
          <w:color w:val="auto"/>
          <w:kern w:val="0"/>
          <w:sz w:val="32"/>
          <w:szCs w:val="32"/>
          <w:lang w:val="en-US" w:eastAsia="zh-CN"/>
        </w:rPr>
        <w:t>2024年8月15日，</w:t>
      </w:r>
      <w:r>
        <w:rPr>
          <w:rFonts w:hint="default" w:ascii="Times New Roman" w:hAnsi="Times New Roman" w:eastAsia="仿宋_GB2312" w:cs="Times New Roman"/>
          <w:color w:val="auto"/>
          <w:kern w:val="0"/>
          <w:sz w:val="32"/>
          <w:szCs w:val="32"/>
          <w:lang w:val="en-US" w:eastAsia="zh-CN"/>
        </w:rPr>
        <w:t>市住建局向省建设厅</w:t>
      </w:r>
      <w:r>
        <w:rPr>
          <w:rFonts w:hint="default" w:ascii="Times New Roman" w:hAnsi="Times New Roman" w:eastAsia="仿宋_GB2312" w:cs="Times New Roman"/>
          <w:snapToGrid/>
          <w:color w:val="auto"/>
          <w:kern w:val="2"/>
          <w:sz w:val="32"/>
          <w:szCs w:val="32"/>
          <w:lang w:val="en-US" w:eastAsia="zh-CN" w:bidi="ar-SA"/>
        </w:rPr>
        <w:t>报告，依据《建筑施工企业主要负责人、项目负责人和专职安全生产管理人员安全生产管理规定》（建设部令第17号）和《建筑施工企业主要负责人、项目负责人和专职安全生产管理人员安全生产管理规定实施意见》规定，鉴于</w:t>
      </w:r>
      <w:r>
        <w:rPr>
          <w:rFonts w:hint="default" w:ascii="Times New Roman" w:hAnsi="Times New Roman" w:eastAsia="仿宋_GB2312" w:cs="Times New Roman"/>
          <w:b w:val="0"/>
          <w:bCs w:val="0"/>
          <w:color w:val="auto"/>
          <w:kern w:val="0"/>
          <w:sz w:val="32"/>
          <w:szCs w:val="32"/>
          <w:lang w:val="en-US" w:eastAsia="zh-CN" w:bidi="ar-SA"/>
        </w:rPr>
        <w:t>宁波众欣建筑劳务有限公司项目负责人何站青</w:t>
      </w:r>
      <w:r>
        <w:rPr>
          <w:rFonts w:hint="default" w:ascii="Times New Roman" w:hAnsi="Times New Roman" w:eastAsia="仿宋_GB2312" w:cs="Times New Roman"/>
          <w:snapToGrid/>
          <w:color w:val="auto"/>
          <w:kern w:val="2"/>
          <w:sz w:val="32"/>
          <w:szCs w:val="32"/>
          <w:lang w:val="en-US" w:eastAsia="zh-CN" w:bidi="ar-SA"/>
        </w:rPr>
        <w:t>（编号为浙建安B（2009）3200073）和</w:t>
      </w:r>
      <w:r>
        <w:rPr>
          <w:rFonts w:hint="default" w:ascii="Times New Roman" w:hAnsi="Times New Roman" w:eastAsia="仿宋_GB2312" w:cs="Times New Roman"/>
          <w:color w:val="auto"/>
          <w:kern w:val="0"/>
          <w:sz w:val="32"/>
          <w:szCs w:val="32"/>
          <w:lang w:eastAsia="zh-CN"/>
        </w:rPr>
        <w:t>专职安全员</w:t>
      </w:r>
      <w:r>
        <w:rPr>
          <w:rFonts w:hint="default" w:ascii="Times New Roman" w:hAnsi="Times New Roman" w:eastAsia="仿宋_GB2312" w:cs="Times New Roman"/>
          <w:color w:val="auto"/>
          <w:kern w:val="0"/>
          <w:sz w:val="32"/>
          <w:szCs w:val="32"/>
        </w:rPr>
        <w:t>陈波（编号为浙建安C3（2020）0292103）</w:t>
      </w:r>
      <w:r>
        <w:rPr>
          <w:rFonts w:hint="default" w:ascii="Times New Roman" w:hAnsi="Times New Roman" w:eastAsia="仿宋_GB2312" w:cs="Times New Roman"/>
          <w:snapToGrid/>
          <w:color w:val="auto"/>
          <w:kern w:val="2"/>
          <w:sz w:val="32"/>
          <w:szCs w:val="32"/>
          <w:lang w:val="en-US" w:eastAsia="zh-CN" w:bidi="ar-SA"/>
        </w:rPr>
        <w:t>履职严重不到位，且存在挂证行为，建议吊销何站青和陈波安全生产考核合格证书。</w:t>
      </w:r>
      <w:r>
        <w:rPr>
          <w:rFonts w:hint="default" w:ascii="Times New Roman" w:hAnsi="Times New Roman" w:eastAsia="仿宋_GB2312" w:cs="Times New Roman"/>
          <w:color w:val="auto"/>
          <w:kern w:val="0"/>
          <w:sz w:val="32"/>
          <w:szCs w:val="32"/>
          <w:lang w:val="en-US" w:eastAsia="zh-CN"/>
        </w:rPr>
        <w:t>2025年1月11日，省建设厅分别下达浙建罚字罚决字〔2024〕第000028-1号《行政处罚决定书》和</w:t>
      </w:r>
      <w:r>
        <w:rPr>
          <w:rFonts w:hint="default" w:ascii="Times New Roman" w:hAnsi="Times New Roman" w:eastAsia="仿宋_GB2312" w:cs="Times New Roman"/>
          <w:b w:val="0"/>
          <w:bCs w:val="0"/>
          <w:color w:val="auto"/>
          <w:kern w:val="0"/>
          <w:sz w:val="32"/>
          <w:szCs w:val="32"/>
          <w:lang w:val="en-US" w:eastAsia="zh-CN"/>
        </w:rPr>
        <w:t>浙建罚字罚决字〔2024〕第000028-2号《行政处罚决定书》，</w:t>
      </w:r>
      <w:r>
        <w:rPr>
          <w:rFonts w:hint="default" w:ascii="Times New Roman" w:hAnsi="Times New Roman" w:eastAsia="仿宋_GB2312" w:cs="Times New Roman"/>
          <w:b w:val="0"/>
          <w:bCs w:val="0"/>
          <w:color w:val="auto"/>
          <w:kern w:val="0"/>
          <w:sz w:val="32"/>
          <w:szCs w:val="32"/>
          <w:lang w:val="en-US" w:eastAsia="zh-CN" w:bidi="ar-SA"/>
        </w:rPr>
        <w:t>对</w:t>
      </w:r>
      <w:r>
        <w:rPr>
          <w:rFonts w:hint="default" w:ascii="Times New Roman" w:hAnsi="Times New Roman" w:eastAsia="仿宋_GB2312" w:cs="Times New Roman"/>
          <w:snapToGrid/>
          <w:color w:val="auto"/>
          <w:kern w:val="2"/>
          <w:sz w:val="32"/>
          <w:szCs w:val="32"/>
          <w:lang w:val="en-US" w:eastAsia="zh-CN" w:bidi="ar-SA"/>
        </w:rPr>
        <w:t>何站青</w:t>
      </w:r>
      <w:r>
        <w:rPr>
          <w:rFonts w:hint="default" w:ascii="Times New Roman" w:hAnsi="Times New Roman" w:eastAsia="仿宋_GB2312" w:cs="Times New Roman"/>
          <w:b w:val="0"/>
          <w:bCs w:val="0"/>
          <w:color w:val="auto"/>
          <w:kern w:val="0"/>
          <w:sz w:val="32"/>
          <w:szCs w:val="32"/>
          <w:lang w:val="en-US" w:eastAsia="zh-CN" w:bidi="ar-SA"/>
        </w:rPr>
        <w:t>作出暂扣180天许可证的处罚，对陈波作出暂扣1年许可证的处罚。</w:t>
      </w:r>
    </w:p>
    <w:p w14:paraId="4B336786">
      <w:pPr>
        <w:pStyle w:val="14"/>
        <w:keepNext w:val="0"/>
        <w:keepLines w:val="0"/>
        <w:pageBreakBefore w:val="0"/>
        <w:widowControl w:val="0"/>
        <w:kinsoku/>
        <w:wordWrap/>
        <w:overflowPunct/>
        <w:topLinePunct w:val="0"/>
        <w:autoSpaceDE/>
        <w:autoSpaceDN/>
        <w:bidi w:val="0"/>
        <w:adjustRightInd/>
        <w:snapToGrid/>
        <w:spacing w:after="0" w:line="580" w:lineRule="exact"/>
        <w:ind w:left="0" w:leftChars="0"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SA"/>
        </w:rPr>
      </w:pPr>
      <w:r>
        <w:rPr>
          <w:rFonts w:hint="default" w:ascii="Times New Roman" w:hAnsi="Times New Roman" w:eastAsia="楷体_GB2312" w:cs="Times New Roman"/>
          <w:b w:val="0"/>
          <w:bCs w:val="0"/>
          <w:kern w:val="2"/>
          <w:sz w:val="32"/>
          <w:szCs w:val="32"/>
          <w:lang w:val="en-US" w:eastAsia="zh-CN" w:bidi="ar-SA"/>
        </w:rPr>
        <w:t>（六）其他处罚情况。</w:t>
      </w:r>
      <w:r>
        <w:rPr>
          <w:rFonts w:hint="default" w:ascii="Times New Roman" w:hAnsi="Times New Roman" w:eastAsia="仿宋_GB2312" w:cs="Times New Roman"/>
          <w:b w:val="0"/>
          <w:bCs w:val="0"/>
          <w:color w:val="auto"/>
          <w:kern w:val="0"/>
          <w:sz w:val="32"/>
          <w:szCs w:val="32"/>
          <w:lang w:val="en-US" w:eastAsia="zh-CN" w:bidi="ar-SA"/>
        </w:rPr>
        <w:t>陈东博，高发电子有限公司年产300万套汽车电子换挡系统项目监理总监。2024年4月30日，区住建局对陈东博进行约谈。宁波金恒工程建设监理有限公司根据内部管理文件对陈东博作出责令思过反省、给予罚款5000元、扣掉年底绩效奖金、工资降档至总监代表级别的处理。</w:t>
      </w:r>
    </w:p>
    <w:p w14:paraId="3B87DDD8">
      <w:pPr>
        <w:pStyle w:val="14"/>
        <w:keepNext w:val="0"/>
        <w:keepLines w:val="0"/>
        <w:pageBreakBefore w:val="0"/>
        <w:widowControl w:val="0"/>
        <w:kinsoku/>
        <w:wordWrap/>
        <w:overflowPunct/>
        <w:topLinePunct w:val="0"/>
        <w:autoSpaceDE/>
        <w:autoSpaceDN/>
        <w:bidi w:val="0"/>
        <w:adjustRightInd/>
        <w:snapToGrid/>
        <w:spacing w:after="0" w:line="580" w:lineRule="exact"/>
        <w:ind w:left="0" w:leftChars="0" w:firstLine="640" w:firstLineChars="200"/>
        <w:jc w:val="both"/>
        <w:textAlignment w:val="auto"/>
        <w:rPr>
          <w:rFonts w:hint="default" w:ascii="Times New Roman" w:hAnsi="Times New Roman" w:eastAsia="黑体" w:cs="Times New Roman"/>
          <w:kern w:val="2"/>
          <w:sz w:val="32"/>
          <w:szCs w:val="32"/>
          <w:lang w:eastAsia="zh-CN" w:bidi="ar-SA"/>
        </w:rPr>
      </w:pPr>
      <w:r>
        <w:rPr>
          <w:rFonts w:hint="default" w:ascii="Times New Roman" w:hAnsi="Times New Roman" w:eastAsia="黑体" w:cs="Times New Roman"/>
          <w:kern w:val="2"/>
          <w:sz w:val="32"/>
          <w:szCs w:val="32"/>
          <w:lang w:eastAsia="zh-CN" w:bidi="ar-SA"/>
        </w:rPr>
        <w:t>三、事故整改和防范措施落实情况</w:t>
      </w:r>
    </w:p>
    <w:p w14:paraId="495990B7">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楷体_GB2312" w:cs="Times New Roman"/>
          <w:b w:val="0"/>
          <w:bCs w:val="0"/>
          <w:sz w:val="32"/>
          <w:szCs w:val="32"/>
          <w:lang w:val="en-US" w:eastAsia="zh-CN"/>
        </w:rPr>
        <w:t>（一）健全机制，筑牢安全生产生命底线。</w:t>
      </w:r>
      <w:r>
        <w:rPr>
          <w:rFonts w:hint="default" w:ascii="Times New Roman" w:hAnsi="Times New Roman" w:eastAsia="仿宋_GB2312" w:cs="Times New Roman"/>
          <w:b/>
          <w:bCs/>
          <w:sz w:val="32"/>
          <w:szCs w:val="32"/>
          <w:lang w:val="en-US" w:eastAsia="zh-CN"/>
        </w:rPr>
        <w:t>江北区人民政府</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b w:val="0"/>
          <w:bCs w:val="0"/>
          <w:color w:val="auto"/>
          <w:kern w:val="0"/>
          <w:sz w:val="32"/>
          <w:szCs w:val="32"/>
          <w:lang w:val="en-US" w:eastAsia="zh-CN" w:bidi="ar-SA"/>
        </w:rPr>
        <w:t>024年区委常委会5次、区政府常务会议6次专题研究安全生产工作，区委区政府主要领导带头“四不两直”开展安全检查，高位推动“四方责任”落实。2024年3月印发《关于调整区安委会、专委会成员单位及落</w:t>
      </w:r>
      <w:r>
        <w:rPr>
          <w:rFonts w:hint="default" w:ascii="Times New Roman" w:hAnsi="Times New Roman" w:eastAsia="仿宋_GB2312" w:cs="Times New Roman"/>
          <w:color w:val="auto"/>
          <w:sz w:val="32"/>
          <w:szCs w:val="32"/>
          <w:lang w:val="en-US" w:eastAsia="zh-CN"/>
        </w:rPr>
        <w:t>实新领域新业态安全监管责任的通知》，区安委会成员单位增至49家，明确直播平台等25类新领域新业态监管事项牵头单位、协同单位职责；2024年6月起建立新兴行业、领域安全监管事项常态梳理机制。2024年12月印发《关于整合设立江北区安全生产委员会（区防灾减灾救灾委员会）的通知》，进一步完善运转机制。成立区城市安全运行中心，依</w:t>
      </w:r>
      <w:r>
        <w:rPr>
          <w:rFonts w:hint="default" w:ascii="Times New Roman" w:hAnsi="Times New Roman" w:eastAsia="仿宋_GB2312" w:cs="Times New Roman"/>
          <w:b w:val="0"/>
          <w:bCs w:val="0"/>
          <w:sz w:val="32"/>
          <w:szCs w:val="32"/>
          <w:lang w:val="en-US" w:eastAsia="zh-CN"/>
        </w:rPr>
        <w:t>托“城市安全运行在线”平台做好预警信息转办、处置等工作，推动治理模式向事前转移。</w:t>
      </w:r>
      <w:r>
        <w:rPr>
          <w:rFonts w:hint="default" w:ascii="Times New Roman" w:hAnsi="Times New Roman" w:eastAsia="仿宋_GB2312" w:cs="Times New Roman"/>
          <w:b/>
          <w:bCs/>
          <w:sz w:val="32"/>
          <w:szCs w:val="32"/>
          <w:lang w:val="en-US" w:eastAsia="zh-CN"/>
        </w:rPr>
        <w:t>宁波众欣建筑劳务有限公司</w:t>
      </w:r>
      <w:r>
        <w:rPr>
          <w:rFonts w:hint="default" w:ascii="Times New Roman" w:hAnsi="Times New Roman" w:eastAsia="仿宋_GB2312" w:cs="Times New Roman"/>
          <w:b w:val="0"/>
          <w:bCs w:val="0"/>
          <w:sz w:val="32"/>
          <w:szCs w:val="32"/>
          <w:lang w:val="en-US" w:eastAsia="zh-CN"/>
        </w:rPr>
        <w:t>制定安全管理、安全操作规程、应急预案等制度文件并定期更新，明确各级管理人员和施工人员安全职责，确保符合最新法律法规和行业标准；成立专门的安全管理部门，足额配备专职安全管理人员，明确安全管理人员的职责和权限，确保其独立行使安全管理职能；实行“一岗双责”，明确项目经理、班组长、施工人员的安全责任，签订安全生产责任书，将安全责任落实到人。</w:t>
      </w:r>
      <w:r>
        <w:rPr>
          <w:rFonts w:hint="default" w:ascii="Times New Roman" w:hAnsi="Times New Roman" w:eastAsia="仿宋_GB2312" w:cs="Times New Roman"/>
          <w:b/>
          <w:bCs/>
          <w:sz w:val="32"/>
          <w:szCs w:val="32"/>
          <w:lang w:val="en-US" w:eastAsia="zh-CN"/>
        </w:rPr>
        <w:t>宁波金恒工程建设监理有限公司</w:t>
      </w:r>
      <w:r>
        <w:rPr>
          <w:rFonts w:hint="default" w:ascii="Times New Roman" w:hAnsi="Times New Roman" w:eastAsia="仿宋_GB2312" w:cs="Times New Roman"/>
          <w:b w:val="0"/>
          <w:bCs w:val="0"/>
          <w:sz w:val="32"/>
          <w:szCs w:val="32"/>
          <w:lang w:val="en-US" w:eastAsia="zh-CN"/>
        </w:rPr>
        <w:t>建立健全高处作业（吊篮）安全管理制度，明确作业流程、审批程序、防护措施等；制定应急预案，定期演练，确保紧急情况下能迅速有效响应；组织安全培训教育，向全体员工传达安全生产的重要性和相关法律法规要求；明确安全生产目标和责任制度，将责任细化到每个部门和岗位。</w:t>
      </w:r>
    </w:p>
    <w:p w14:paraId="59DFC8F1">
      <w:pPr>
        <w:pStyle w:val="14"/>
        <w:keepNext w:val="0"/>
        <w:keepLines w:val="0"/>
        <w:pageBreakBefore w:val="0"/>
        <w:widowControl w:val="0"/>
        <w:kinsoku/>
        <w:wordWrap/>
        <w:overflowPunct/>
        <w:topLinePunct w:val="0"/>
        <w:autoSpaceDE/>
        <w:autoSpaceDN/>
        <w:bidi w:val="0"/>
        <w:adjustRightInd/>
        <w:snapToGrid/>
        <w:spacing w:after="0" w:line="580" w:lineRule="exact"/>
        <w:ind w:left="0" w:leftChars="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b w:val="0"/>
          <w:bCs w:val="0"/>
          <w:sz w:val="32"/>
          <w:szCs w:val="32"/>
          <w:lang w:val="en-US" w:eastAsia="zh-CN"/>
        </w:rPr>
        <w:t>（二）举一反三，落实教育培训应急举措。</w:t>
      </w:r>
      <w:r>
        <w:rPr>
          <w:rFonts w:hint="default" w:ascii="Times New Roman" w:hAnsi="Times New Roman" w:eastAsia="仿宋_GB2312" w:cs="Times New Roman"/>
          <w:b/>
          <w:bCs/>
          <w:sz w:val="32"/>
          <w:szCs w:val="32"/>
          <w:lang w:val="en-US" w:eastAsia="zh-CN"/>
        </w:rPr>
        <w:t>江北区住建局</w:t>
      </w:r>
      <w:r>
        <w:rPr>
          <w:rFonts w:hint="default" w:ascii="Times New Roman" w:hAnsi="Times New Roman" w:eastAsia="仿宋_GB2312" w:cs="Times New Roman"/>
          <w:sz w:val="32"/>
          <w:szCs w:val="32"/>
          <w:lang w:val="en-US" w:eastAsia="zh-CN"/>
        </w:rPr>
        <w:t>依托“安全生产月”、消防安全月等活动，积极开展安全生产宣传教育活动；组织辖区在建项目负责人参加“区房屋市政工程领域防汛防台应急演练现场观摩会”、“区房屋建筑工程质量通病防治及安全文明施工现场观摩会”及专项演练，持续提升建筑工地员工安全生产和应急处置能力，着力营造“人人讲安全、个个会应急”的浓厚氛围。</w:t>
      </w:r>
      <w:r>
        <w:rPr>
          <w:rFonts w:hint="default" w:ascii="Times New Roman" w:hAnsi="Times New Roman" w:eastAsia="仿宋_GB2312" w:cs="Times New Roman"/>
          <w:b/>
          <w:bCs/>
          <w:snapToGrid w:val="0"/>
          <w:color w:val="auto"/>
          <w:kern w:val="0"/>
          <w:sz w:val="32"/>
          <w:szCs w:val="32"/>
          <w:lang w:eastAsia="zh-CN"/>
        </w:rPr>
        <w:t>浙江海致建设有限公司</w:t>
      </w:r>
      <w:r>
        <w:rPr>
          <w:rFonts w:hint="default" w:ascii="Times New Roman" w:hAnsi="Times New Roman" w:eastAsia="仿宋_GB2312" w:cs="Times New Roman"/>
          <w:snapToGrid w:val="0"/>
          <w:color w:val="auto"/>
          <w:kern w:val="0"/>
          <w:sz w:val="32"/>
          <w:szCs w:val="32"/>
          <w:lang w:val="en-US" w:eastAsia="zh-CN"/>
        </w:rPr>
        <w:t>优化“晨会制度”“四小”安全教育提醒制度，依托民工学校办学优势，加强教育警示，从根本上提升施工人员安全意识；先后承办“区房屋市政工程领域防汛防台应急演练现场观摩会”及“区房屋建筑工程质量通病防治及安全文明施工现场观摩会”，积极开展应急抢救、消防、抗洪等各类应急救援演练，进一步提升企业应急救援、事故防范的能力水平。</w:t>
      </w:r>
      <w:r>
        <w:rPr>
          <w:rFonts w:hint="default" w:ascii="Times New Roman" w:hAnsi="Times New Roman" w:eastAsia="仿宋_GB2312" w:cs="Times New Roman"/>
          <w:b/>
          <w:bCs/>
          <w:sz w:val="32"/>
          <w:szCs w:val="32"/>
          <w:lang w:val="en-US" w:eastAsia="zh-CN"/>
        </w:rPr>
        <w:t>宁波众欣建筑劳务有限公司</w:t>
      </w:r>
      <w:r>
        <w:rPr>
          <w:rFonts w:hint="default" w:ascii="Times New Roman" w:hAnsi="Times New Roman" w:eastAsia="仿宋_GB2312" w:cs="Times New Roman"/>
          <w:b w:val="0"/>
          <w:bCs w:val="0"/>
          <w:snapToGrid w:val="0"/>
          <w:kern w:val="0"/>
          <w:sz w:val="32"/>
          <w:szCs w:val="32"/>
          <w:lang w:val="en-US" w:eastAsia="zh-CN"/>
        </w:rPr>
        <w:t>对所有新入职员工进行安全培训，进行安全教育交底，培训结束后进行考核，合格后方可上岗；定期组织安全培训，针对特殊工种（如电工、焊工、架子工等）开展专项培训，强化员工安全意识；项目经理、安全员受省建设厅处罚，在公司内部安全会议上进行通报；通过案例分析、事故警示片等形式开展警示教育，让员工了解事故危害，增强防范意识。针对可能发生的事故（如高处坠落、物体打击等）制定应急预案，明确应急组织、救援流程和职责分工；定期组织应急演练，演练结束后总结复盘，持续完善预案，提高员工应急处理能力；在施工现场配备急救箱、灭火器等必备物资，定期检查完好性，确保随时可用。</w:t>
      </w:r>
    </w:p>
    <w:p w14:paraId="726AC511">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楷体_GB2312" w:cs="Times New Roman"/>
          <w:b w:val="0"/>
          <w:bCs w:val="0"/>
          <w:sz w:val="32"/>
          <w:szCs w:val="32"/>
          <w:lang w:val="en-US" w:eastAsia="zh-CN"/>
        </w:rPr>
        <w:t>（三）治本攻坚，强化常态化业务监管。</w:t>
      </w:r>
      <w:r>
        <w:rPr>
          <w:rFonts w:hint="default" w:ascii="Times New Roman" w:hAnsi="Times New Roman" w:eastAsia="仿宋_GB2312" w:cs="Times New Roman"/>
          <w:b/>
          <w:bCs/>
          <w:sz w:val="32"/>
          <w:szCs w:val="32"/>
          <w:lang w:val="en-US" w:eastAsia="zh-CN"/>
        </w:rPr>
        <w:t>江北区人民政府</w:t>
      </w:r>
      <w:r>
        <w:rPr>
          <w:rFonts w:hint="default" w:ascii="Times New Roman" w:hAnsi="Times New Roman" w:eastAsia="仿宋_GB2312" w:cs="Times New Roman"/>
          <w:color w:val="auto"/>
          <w:sz w:val="32"/>
          <w:szCs w:val="32"/>
          <w:lang w:val="en-US" w:eastAsia="zh-CN"/>
        </w:rPr>
        <w:t>2024年3月印发《江北区安全生产治本攻坚行动方案》及子方案，构建“1+8+18”治本攻坚行动总框架，住建、文广旅游</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消防等17个部门完成2024年度718条任务。</w:t>
      </w:r>
      <w:r>
        <w:rPr>
          <w:rFonts w:hint="default" w:ascii="Times New Roman" w:hAnsi="Times New Roman" w:eastAsia="仿宋_GB2312" w:cs="Times New Roman"/>
          <w:b/>
          <w:bCs/>
          <w:sz w:val="32"/>
          <w:szCs w:val="32"/>
          <w:lang w:val="en-US" w:eastAsia="zh-CN"/>
        </w:rPr>
        <w:t>江北区住建局</w:t>
      </w:r>
      <w:r>
        <w:rPr>
          <w:rFonts w:hint="default" w:ascii="Times New Roman" w:hAnsi="Times New Roman" w:eastAsia="仿宋_GB2312" w:cs="Times New Roman"/>
          <w:snapToGrid w:val="0"/>
          <w:kern w:val="0"/>
          <w:sz w:val="32"/>
          <w:szCs w:val="32"/>
          <w:shd w:val="clear" w:color="auto" w:fill="auto"/>
          <w:lang w:val="en-US" w:eastAsia="zh-CN"/>
        </w:rPr>
        <w:t>下发《江北区建设施领域岁末年初安全生产攻坚行动实施方案》和《关于开展全区在建工地吊篮专项检查的紧急通知》,督促指导相关部门及属地街道（镇）研究部署，细化工作方案，全力做好建设施工领域岁末年初安全保障。期间，分管副区长和局主要领导多次带队进行“四不两直”检查，</w:t>
      </w:r>
      <w:r>
        <w:rPr>
          <w:rFonts w:hint="default" w:ascii="Times New Roman" w:hAnsi="Times New Roman" w:eastAsia="仿宋_GB2312" w:cs="Times New Roman"/>
          <w:color w:val="auto"/>
          <w:sz w:val="32"/>
          <w:szCs w:val="32"/>
          <w:lang w:val="en-US" w:eastAsia="zh-CN"/>
        </w:rPr>
        <w:t>2024年累计出动974人次，下发整改通知书125份，涉及1500余条，完成1933台吊篮检查。通报批评5家问题较多项目，限制7家问题较多吊篮安拆单位和1家出具虚假报告检测单位承接业务3个月，责令6个问题较多项目暂停施工。</w:t>
      </w:r>
      <w:r>
        <w:rPr>
          <w:rFonts w:hint="default" w:ascii="Times New Roman" w:hAnsi="Times New Roman" w:eastAsia="仿宋_GB2312" w:cs="Times New Roman"/>
          <w:b/>
          <w:bCs/>
          <w:sz w:val="32"/>
          <w:szCs w:val="32"/>
          <w:lang w:val="en-US" w:eastAsia="zh-CN"/>
        </w:rPr>
        <w:t>浙江海致建设有限公司</w:t>
      </w:r>
      <w:r>
        <w:rPr>
          <w:rFonts w:hint="default" w:ascii="Times New Roman" w:hAnsi="Times New Roman" w:eastAsia="仿宋_GB2312" w:cs="Times New Roman"/>
          <w:b w:val="0"/>
          <w:bCs w:val="0"/>
          <w:sz w:val="32"/>
          <w:szCs w:val="32"/>
          <w:lang w:val="en-US" w:eastAsia="zh-CN"/>
        </w:rPr>
        <w:t>常态开展吊篮专项整治行动，吊篮工程从租赁、维保单位选用、合同协议签订、施工方案编制、设备进场检测等全过程把关，高处作业人员落实日常健康监测，吊篮操作人员须持证上岗且人证相符，落实施工人员安全交底、作业前检查设备，杜绝设备带病运行，对施工过程中使用、移位等进行地毯式排查，发现问题立即停用、整改或处罚；严格落实企业（项目）负责人安全带班、危大工程安全管控等制度，加强各项目管理人员到岗履职，提高日常安全管理在其绩效考核中的占比，绩效考核直接与提薪、晋升挂钩；严格落实劳务分包安全管理协议，监督劳务分包人员到岗履职；涉及高处作业、有限空间作业、动火作业等三种高风险作业，参照《危险性较大的分部分项工程安全管理规定》（住建部令第37号）管理，编制总体管控方案、专项作业细则并严格落实。</w:t>
      </w:r>
      <w:r>
        <w:rPr>
          <w:rFonts w:hint="default" w:ascii="Times New Roman" w:hAnsi="Times New Roman" w:eastAsia="仿宋_GB2312" w:cs="Times New Roman"/>
          <w:b/>
          <w:bCs/>
          <w:sz w:val="32"/>
          <w:szCs w:val="32"/>
          <w:lang w:val="en-US" w:eastAsia="zh-CN"/>
        </w:rPr>
        <w:t>宁波众欣建筑劳务有限公司</w:t>
      </w:r>
      <w:r>
        <w:rPr>
          <w:rFonts w:hint="default" w:ascii="Times New Roman" w:hAnsi="Times New Roman" w:eastAsia="仿宋_GB2312" w:cs="Times New Roman"/>
          <w:b w:val="0"/>
          <w:bCs w:val="0"/>
          <w:sz w:val="32"/>
          <w:szCs w:val="32"/>
          <w:lang w:val="en-US" w:eastAsia="zh-CN"/>
        </w:rPr>
        <w:t>对施工现场危险源进行辨识评估，制定安全管控措施，对高风险作业实行重点监控；建立隐患排查机制，定期开展安全检查，重点检查设备、工具、用电、消防等，发现并整改隐患，确保动态清零；定期检查特种设备和防护设施的完好性，及时修复或更换损坏设施，确保施工现场防护设施齐全；为施工人员配备劳动防护用品，监督正确使用；要求施工人员严格按照安全操作规程作业，杜绝违规操作；高处作业、登高作业等特种作业必须持证上岗，每日开展班前安全交底，强调安全注意事项。</w:t>
      </w:r>
    </w:p>
    <w:p w14:paraId="0F8BE025">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楷体_GB2312" w:cs="Times New Roman"/>
          <w:b w:val="0"/>
          <w:bCs w:val="0"/>
          <w:sz w:val="32"/>
          <w:szCs w:val="32"/>
          <w:lang w:val="en-US" w:eastAsia="zh-CN"/>
        </w:rPr>
        <w:t>（四）加强排查，规范安全生产管控措施。</w:t>
      </w:r>
      <w:r>
        <w:rPr>
          <w:rFonts w:hint="default" w:ascii="Times New Roman" w:hAnsi="Times New Roman" w:eastAsia="仿宋_GB2312" w:cs="Times New Roman"/>
          <w:b/>
          <w:bCs/>
          <w:color w:val="auto"/>
          <w:kern w:val="2"/>
          <w:sz w:val="32"/>
          <w:szCs w:val="32"/>
          <w:lang w:val="en-US" w:eastAsia="zh-CN" w:bidi="ar-SA"/>
        </w:rPr>
        <w:t>江北区人民政府</w:t>
      </w:r>
      <w:r>
        <w:rPr>
          <w:rFonts w:hint="default" w:ascii="Times New Roman" w:hAnsi="Times New Roman" w:eastAsia="仿宋_GB2312" w:cs="Times New Roman"/>
          <w:color w:val="auto"/>
          <w:sz w:val="32"/>
          <w:szCs w:val="32"/>
          <w:lang w:val="en-US" w:eastAsia="zh-CN"/>
        </w:rPr>
        <w:t>8个街镇完成应急消防站场所、运行机制等31项任务，全部通过市级验收。推行“小教员”培训，推动应急管理和消防工作深度融入“141”基层治理体系、整体嵌入“平安法治”模块，网格员助力开展安全生产和消防安全显见性隐患排查，形成政府、企业、社会齐抓共管的工作格局。开展执法监管人员能力提升专题培训，增配执法辅助人员，深入一线开展日常巡查检查，督促生产经营单位落实主体责任，及时消除风险隐患。</w:t>
      </w:r>
      <w:r>
        <w:rPr>
          <w:rFonts w:hint="default" w:ascii="Times New Roman" w:hAnsi="Times New Roman" w:eastAsia="仿宋_GB2312" w:cs="Times New Roman"/>
          <w:b/>
          <w:bCs/>
          <w:color w:val="auto"/>
          <w:kern w:val="2"/>
          <w:sz w:val="32"/>
          <w:szCs w:val="32"/>
          <w:lang w:val="en-US" w:eastAsia="zh-CN" w:bidi="ar-SA"/>
        </w:rPr>
        <w:t>江北区住建局</w:t>
      </w:r>
      <w:r>
        <w:rPr>
          <w:rFonts w:hint="default" w:ascii="Times New Roman" w:hAnsi="Times New Roman" w:eastAsia="仿宋_GB2312" w:cs="Times New Roman"/>
          <w:b w:val="0"/>
          <w:bCs w:val="0"/>
          <w:color w:val="auto"/>
          <w:kern w:val="2"/>
          <w:sz w:val="32"/>
          <w:szCs w:val="32"/>
          <w:lang w:val="en-US" w:eastAsia="zh-CN" w:bidi="ar-SA"/>
        </w:rPr>
        <w:t>事故发生当日，印发《关于立即开展“两会”期间建设工程安全生产大检查的紧急通知》，要求全区项目深入开展自查自纠，同步落实执法检查</w:t>
      </w:r>
      <w:r>
        <w:rPr>
          <w:rFonts w:hint="default" w:ascii="Times New Roman" w:hAnsi="Times New Roman" w:eastAsia="仿宋_GB2312" w:cs="Times New Roman"/>
          <w:color w:val="auto"/>
          <w:sz w:val="32"/>
          <w:szCs w:val="32"/>
          <w:lang w:val="en-US" w:eastAsia="zh-CN"/>
        </w:rPr>
        <w:t>。1月16日，完成全区124个在建工地自查自纠和监督检查，停工整改13个，信用扣分36个，约谈警示11个，处罚2起。1月23日，召开建设施工领域“岁末年初”安全生产部署会暨“1·6”事故警示会，要求企业再次自查自纠，监管部门和属地街道(镇)以“四不</w:t>
      </w:r>
      <w:r>
        <w:rPr>
          <w:rFonts w:hint="default" w:ascii="Times New Roman" w:hAnsi="Times New Roman" w:eastAsia="仿宋_GB2312" w:cs="Times New Roman"/>
          <w:b w:val="0"/>
          <w:bCs w:val="0"/>
          <w:color w:val="auto"/>
          <w:kern w:val="2"/>
          <w:sz w:val="32"/>
          <w:szCs w:val="32"/>
          <w:lang w:val="en-US" w:eastAsia="zh-CN" w:bidi="ar-SA"/>
        </w:rPr>
        <w:t>两直”方式核查，严抓四项制度落实，倒逼主体责任履行。</w:t>
      </w:r>
      <w:r>
        <w:rPr>
          <w:rFonts w:hint="default" w:ascii="Times New Roman" w:hAnsi="Times New Roman" w:eastAsia="仿宋_GB2312" w:cs="Times New Roman"/>
          <w:b/>
          <w:bCs/>
          <w:color w:val="auto"/>
          <w:kern w:val="2"/>
          <w:sz w:val="32"/>
          <w:szCs w:val="32"/>
          <w:lang w:val="en-US" w:eastAsia="zh-CN" w:bidi="ar-SA"/>
        </w:rPr>
        <w:t>浙江海致建设有限公司</w:t>
      </w:r>
      <w:r>
        <w:rPr>
          <w:rFonts w:hint="default" w:ascii="Times New Roman" w:hAnsi="Times New Roman" w:eastAsia="仿宋_GB2312" w:cs="Times New Roman"/>
          <w:b w:val="0"/>
          <w:bCs w:val="0"/>
          <w:color w:val="auto"/>
          <w:kern w:val="2"/>
          <w:sz w:val="32"/>
          <w:szCs w:val="32"/>
          <w:lang w:val="en-US" w:eastAsia="zh-CN" w:bidi="ar-SA"/>
        </w:rPr>
        <w:t>事故发生后，立即责令下属所有项目全面停工，由项目经理牵头，联合建设单位、监理及项目管理人员开展一次全面大检查，特别是危险性较大的分部分项工程的排查；次日，工程部对下属项目进行全面检查，下发整改通知单</w:t>
      </w:r>
      <w:r>
        <w:rPr>
          <w:rFonts w:hint="default" w:ascii="Times New Roman" w:hAnsi="Times New Roman" w:eastAsia="仿宋_GB2312" w:cs="Times New Roman"/>
          <w:color w:val="auto"/>
          <w:sz w:val="32"/>
          <w:szCs w:val="32"/>
          <w:lang w:val="en-US" w:eastAsia="zh-CN"/>
        </w:rPr>
        <w:t>，要求各项目部对存在问题立即落实整改责任、整改期限及整改措施；1月9日，企业安全负责人再次联合项目业主、监理对项目现场安全隐患进行查漏补缺；</w:t>
      </w:r>
      <w:r>
        <w:rPr>
          <w:rFonts w:hint="default" w:ascii="Times New Roman" w:hAnsi="Times New Roman" w:eastAsia="仿宋_GB2312" w:cs="Times New Roman"/>
          <w:b w:val="0"/>
          <w:bCs w:val="0"/>
          <w:color w:val="auto"/>
          <w:kern w:val="2"/>
          <w:sz w:val="32"/>
          <w:szCs w:val="32"/>
          <w:lang w:val="en-US" w:eastAsia="zh-CN" w:bidi="ar-SA"/>
        </w:rPr>
        <w:t>针对部分安全隐患较多的项目，派专职安全管理人员实施蹲点督促整改。</w:t>
      </w:r>
    </w:p>
    <w:p w14:paraId="19D6B29F">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四、存在的主要问题</w:t>
      </w:r>
    </w:p>
    <w:p w14:paraId="5665EBB1">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snapToGrid/>
          <w:kern w:val="2"/>
          <w:sz w:val="32"/>
          <w:szCs w:val="32"/>
          <w:shd w:val="clear" w:color="auto" w:fill="auto"/>
          <w:lang w:val="en-US" w:eastAsia="zh-CN" w:bidi="ar-SA"/>
        </w:rPr>
      </w:pPr>
      <w:r>
        <w:rPr>
          <w:rFonts w:hint="default" w:ascii="Times New Roman" w:hAnsi="Times New Roman" w:eastAsia="楷体_GB2312" w:cs="Times New Roman"/>
          <w:b w:val="0"/>
          <w:bCs w:val="0"/>
          <w:sz w:val="32"/>
          <w:szCs w:val="32"/>
          <w:lang w:val="en-US" w:eastAsia="zh-CN"/>
        </w:rPr>
        <w:t>（一）建筑施工领域各方主体责任需进一步落实。</w:t>
      </w:r>
      <w:r>
        <w:rPr>
          <w:rFonts w:hint="default" w:ascii="Times New Roman" w:hAnsi="Times New Roman" w:eastAsia="仿宋_GB2312" w:cs="Times New Roman"/>
          <w:color w:val="auto"/>
          <w:sz w:val="32"/>
          <w:szCs w:val="32"/>
          <w:lang w:val="en-US" w:eastAsia="zh-CN"/>
        </w:rPr>
        <w:t>“1·6”事故反</w:t>
      </w:r>
      <w:r>
        <w:rPr>
          <w:rFonts w:hint="default" w:ascii="Times New Roman" w:hAnsi="Times New Roman" w:eastAsia="仿宋_GB2312" w:cs="Times New Roman"/>
          <w:snapToGrid/>
          <w:kern w:val="2"/>
          <w:sz w:val="32"/>
          <w:szCs w:val="32"/>
          <w:shd w:val="clear" w:color="auto" w:fill="auto"/>
          <w:lang w:val="en-US" w:eastAsia="zh-CN"/>
        </w:rPr>
        <w:t>映出施工单位、监理单位、劳务公司未认真履行安全生产管理职责，安全生产主体责任落实不到位等问题。各方主体需进一步提升安全意识，明确安全职责，落实主体责任。</w:t>
      </w:r>
    </w:p>
    <w:p w14:paraId="013DFC8C">
      <w:pPr>
        <w:pStyle w:val="14"/>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cs="Times New Roman"/>
          <w:sz w:val="32"/>
          <w:szCs w:val="32"/>
          <w:lang w:val="en-US" w:eastAsia="zh-CN"/>
        </w:rPr>
      </w:pPr>
      <w:r>
        <w:rPr>
          <w:rFonts w:hint="default" w:ascii="Times New Roman" w:hAnsi="Times New Roman" w:eastAsia="楷体_GB2312" w:cs="Times New Roman"/>
          <w:b w:val="0"/>
          <w:bCs w:val="0"/>
          <w:sz w:val="32"/>
          <w:szCs w:val="32"/>
          <w:lang w:val="en-US" w:eastAsia="zh-CN"/>
        </w:rPr>
        <w:t>（二）监管队伍建设需进一步强化。</w:t>
      </w:r>
      <w:r>
        <w:rPr>
          <w:rFonts w:hint="default" w:ascii="Times New Roman" w:hAnsi="Times New Roman" w:eastAsia="仿宋_GB2312" w:cs="Times New Roman"/>
          <w:snapToGrid/>
          <w:kern w:val="2"/>
          <w:sz w:val="32"/>
          <w:szCs w:val="32"/>
          <w:shd w:val="clear" w:color="auto" w:fill="auto"/>
          <w:lang w:val="en-US" w:eastAsia="zh-CN" w:bidi="ar-SA"/>
        </w:rPr>
        <w:t>江北区建筑工地数量较多，</w:t>
      </w:r>
      <w:r>
        <w:rPr>
          <w:rFonts w:hint="default" w:ascii="Times New Roman" w:hAnsi="Times New Roman" w:eastAsia="仿宋_GB2312" w:cs="Times New Roman"/>
          <w:color w:val="auto"/>
          <w:kern w:val="2"/>
          <w:sz w:val="32"/>
          <w:szCs w:val="32"/>
          <w:lang w:val="en-US" w:eastAsia="zh-CN" w:bidi="ar-SA"/>
        </w:rPr>
        <w:t>监管难度较大。基层监管人员存在力量不平衡，业务能力不足等问题，监管部门需要进一步强化人员配备，提升业务能力，有效履行监管职责。</w:t>
      </w:r>
    </w:p>
    <w:p w14:paraId="62C82192">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五、工作建议</w:t>
      </w:r>
    </w:p>
    <w:p w14:paraId="3D141CBD">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b w:val="0"/>
          <w:bCs w:val="0"/>
          <w:sz w:val="32"/>
          <w:szCs w:val="32"/>
          <w:lang w:val="en-US" w:eastAsia="zh-CN"/>
        </w:rPr>
        <w:t>（一）</w:t>
      </w:r>
      <w:r>
        <w:rPr>
          <w:rFonts w:hint="default" w:ascii="Times New Roman" w:hAnsi="Times New Roman" w:eastAsia="楷体_GB2312" w:cs="Times New Roman"/>
          <w:b w:val="0"/>
          <w:bCs w:val="0"/>
          <w:i w:val="0"/>
          <w:caps w:val="0"/>
          <w:spacing w:val="0"/>
          <w:kern w:val="2"/>
          <w:sz w:val="32"/>
          <w:szCs w:val="32"/>
          <w:shd w:val="clear" w:color="auto" w:fill="auto"/>
          <w:lang w:val="en-US" w:eastAsia="zh-CN" w:bidi="ar"/>
        </w:rPr>
        <w:t>强化思想意识，筑牢底线思维</w:t>
      </w:r>
      <w:r>
        <w:rPr>
          <w:rFonts w:hint="default" w:ascii="Times New Roman" w:hAnsi="Times New Roman" w:eastAsia="楷体_GB2312" w:cs="Times New Roman"/>
          <w:b w:val="0"/>
          <w:bCs w:val="0"/>
          <w:sz w:val="32"/>
          <w:szCs w:val="32"/>
          <w:lang w:val="en-US" w:eastAsia="zh-CN"/>
        </w:rPr>
        <w:t>。</w:t>
      </w:r>
      <w:r>
        <w:rPr>
          <w:rFonts w:hint="default" w:ascii="Times New Roman" w:hAnsi="Times New Roman" w:eastAsia="仿宋_GB2312" w:cs="Times New Roman"/>
          <w:color w:val="auto"/>
          <w:kern w:val="2"/>
          <w:sz w:val="32"/>
          <w:szCs w:val="32"/>
          <w:lang w:val="en-US" w:eastAsia="zh-CN" w:bidi="ar-SA"/>
        </w:rPr>
        <w:t>江北区</w:t>
      </w:r>
      <w:r>
        <w:rPr>
          <w:rFonts w:hint="default" w:ascii="Times New Roman" w:hAnsi="Times New Roman" w:eastAsia="仿宋_GB2312" w:cs="Times New Roman"/>
          <w:b w:val="0"/>
          <w:bCs w:val="0"/>
          <w:snapToGrid w:val="0"/>
          <w:kern w:val="0"/>
          <w:sz w:val="32"/>
          <w:szCs w:val="32"/>
          <w:lang w:val="en-US" w:eastAsia="zh-CN"/>
        </w:rPr>
        <w:t>及属地有关部门</w:t>
      </w:r>
      <w:r>
        <w:rPr>
          <w:rFonts w:hint="default" w:ascii="Times New Roman" w:hAnsi="Times New Roman" w:eastAsia="仿宋_GB2312" w:cs="Times New Roman"/>
          <w:snapToGrid w:val="0"/>
          <w:kern w:val="0"/>
          <w:sz w:val="32"/>
          <w:szCs w:val="32"/>
          <w:lang w:eastAsia="zh-CN"/>
        </w:rPr>
        <w:t>要常态化组织学习习近平总书记以及省市关于应急管理、安全生产的系列讲话和法律法规、文件精神要求，牢固树立安全生产“红线”意识，</w:t>
      </w:r>
      <w:r>
        <w:rPr>
          <w:rFonts w:hint="default" w:ascii="Times New Roman" w:hAnsi="Times New Roman" w:eastAsia="仿宋_GB2312" w:cs="Times New Roman"/>
          <w:snapToGrid/>
          <w:kern w:val="2"/>
          <w:sz w:val="32"/>
          <w:szCs w:val="32"/>
          <w:lang w:eastAsia="zh-CN"/>
        </w:rPr>
        <w:t>抓发展不忘安全，始终坚持底线思维，绷紧安全之弦。</w:t>
      </w:r>
    </w:p>
    <w:p w14:paraId="6723AC68">
      <w:pPr>
        <w:keepNext w:val="0"/>
        <w:keepLines w:val="0"/>
        <w:pageBreakBefore w:val="0"/>
        <w:widowControl w:val="0"/>
        <w:kinsoku/>
        <w:wordWrap/>
        <w:overflowPunct/>
        <w:topLinePunct w:val="0"/>
        <w:autoSpaceDE/>
        <w:autoSpaceDN/>
        <w:bidi w:val="0"/>
        <w:adjustRightInd/>
        <w:snapToGrid/>
        <w:spacing w:line="580" w:lineRule="exact"/>
        <w:ind w:left="0" w:leftChars="0" w:firstLine="640"/>
        <w:jc w:val="both"/>
        <w:textAlignment w:val="auto"/>
        <w:rPr>
          <w:rFonts w:hint="default" w:ascii="Times New Roman" w:hAnsi="Times New Roman" w:eastAsia="仿宋_GB2312" w:cs="Times New Roman"/>
          <w:b w:val="0"/>
          <w:bCs w:val="0"/>
          <w:kern w:val="2"/>
          <w:sz w:val="32"/>
          <w:szCs w:val="32"/>
          <w:lang w:eastAsia="zh-CN"/>
        </w:rPr>
      </w:pPr>
      <w:r>
        <w:rPr>
          <w:rFonts w:hint="default" w:ascii="Times New Roman" w:hAnsi="Times New Roman" w:eastAsia="楷体_GB2312" w:cs="Times New Roman"/>
          <w:b w:val="0"/>
          <w:bCs w:val="0"/>
          <w:sz w:val="32"/>
          <w:szCs w:val="32"/>
          <w:lang w:val="en-US" w:eastAsia="zh-CN"/>
        </w:rPr>
        <w:t>（二）夯实主体责任，提升本质安全。</w:t>
      </w:r>
      <w:r>
        <w:rPr>
          <w:rFonts w:hint="default" w:ascii="Times New Roman" w:hAnsi="Times New Roman" w:eastAsia="仿宋_GB2312" w:cs="Times New Roman"/>
          <w:b w:val="0"/>
          <w:bCs w:val="0"/>
          <w:kern w:val="2"/>
          <w:sz w:val="32"/>
          <w:szCs w:val="32"/>
          <w:lang w:eastAsia="zh-CN"/>
        </w:rPr>
        <w:t>生产经营单位</w:t>
      </w:r>
      <w:r>
        <w:rPr>
          <w:rFonts w:hint="default" w:ascii="Times New Roman" w:hAnsi="Times New Roman" w:eastAsia="仿宋_GB2312" w:cs="Times New Roman"/>
          <w:snapToGrid/>
          <w:kern w:val="2"/>
          <w:sz w:val="32"/>
          <w:szCs w:val="32"/>
          <w:lang w:eastAsia="zh-CN"/>
        </w:rPr>
        <w:t>要切实加强安全生产主体责任意识，</w:t>
      </w:r>
      <w:r>
        <w:rPr>
          <w:rFonts w:hint="default" w:ascii="Times New Roman" w:hAnsi="Times New Roman" w:eastAsia="仿宋_GB2312" w:cs="Times New Roman"/>
          <w:b w:val="0"/>
          <w:bCs w:val="0"/>
          <w:sz w:val="32"/>
          <w:szCs w:val="32"/>
          <w:lang w:val="en-US" w:eastAsia="zh-CN"/>
        </w:rPr>
        <w:t>明确职责分工</w:t>
      </w:r>
      <w:r>
        <w:rPr>
          <w:rFonts w:hint="default" w:ascii="Times New Roman" w:hAnsi="Times New Roman" w:eastAsia="仿宋_GB2312" w:cs="Times New Roman"/>
          <w:snapToGrid/>
          <w:kern w:val="2"/>
          <w:sz w:val="32"/>
          <w:szCs w:val="32"/>
          <w:lang w:eastAsia="zh-CN"/>
        </w:rPr>
        <w:t>，落实隐患排查治理，强化从业人员</w:t>
      </w:r>
      <w:r>
        <w:rPr>
          <w:rFonts w:hint="default" w:ascii="Times New Roman" w:hAnsi="Times New Roman" w:eastAsia="仿宋_GB2312" w:cs="Times New Roman"/>
          <w:b w:val="0"/>
          <w:bCs w:val="0"/>
          <w:sz w:val="32"/>
          <w:szCs w:val="32"/>
          <w:lang w:val="en-US" w:eastAsia="zh-CN"/>
        </w:rPr>
        <w:t>的安全教育培训，提升应急处置技能，严防事故发生。</w:t>
      </w:r>
    </w:p>
    <w:p w14:paraId="3A845A29">
      <w:pPr>
        <w:keepNext w:val="0"/>
        <w:keepLines w:val="0"/>
        <w:pageBreakBefore w:val="0"/>
        <w:widowControl w:val="0"/>
        <w:kinsoku/>
        <w:wordWrap/>
        <w:overflowPunct/>
        <w:topLinePunct w:val="0"/>
        <w:autoSpaceDE/>
        <w:autoSpaceDN/>
        <w:bidi w:val="0"/>
        <w:adjustRightInd/>
        <w:snapToGrid/>
        <w:spacing w:line="580" w:lineRule="exact"/>
        <w:ind w:left="0" w:leftChars="0" w:firstLine="64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楷体_GB2312" w:cs="Times New Roman"/>
          <w:b w:val="0"/>
          <w:bCs w:val="0"/>
          <w:sz w:val="32"/>
          <w:szCs w:val="32"/>
          <w:lang w:val="en-US" w:eastAsia="zh-CN"/>
        </w:rPr>
        <w:t>（三）加强队伍建设，提升监管效能。</w:t>
      </w:r>
      <w:r>
        <w:rPr>
          <w:rFonts w:hint="default" w:ascii="Times New Roman" w:hAnsi="Times New Roman" w:eastAsia="仿宋_GB2312" w:cs="Times New Roman"/>
          <w:b w:val="0"/>
          <w:bCs w:val="0"/>
          <w:snapToGrid w:val="0"/>
          <w:kern w:val="0"/>
          <w:sz w:val="32"/>
          <w:szCs w:val="32"/>
          <w:lang w:val="en-US" w:eastAsia="zh-CN"/>
        </w:rPr>
        <w:t>江北区及属地有关部门要强化监管队伍建设，</w:t>
      </w:r>
      <w:r>
        <w:rPr>
          <w:rFonts w:hint="default" w:ascii="Times New Roman" w:hAnsi="Times New Roman" w:eastAsia="仿宋_GB2312" w:cs="Times New Roman"/>
          <w:sz w:val="32"/>
          <w:szCs w:val="32"/>
          <w:lang w:val="en-US" w:eastAsia="zh-CN"/>
        </w:rPr>
        <w:t>配齐配强人员力量。要加强监管人员的理论培训和实践锻炼，提升监管业务能力。</w:t>
      </w:r>
      <w:r>
        <w:rPr>
          <w:rFonts w:hint="default" w:ascii="Times New Roman" w:hAnsi="Times New Roman" w:eastAsia="仿宋_GB2312" w:cs="Times New Roman"/>
          <w:b w:val="0"/>
          <w:bCs w:val="0"/>
          <w:snapToGrid w:val="0"/>
          <w:kern w:val="0"/>
          <w:sz w:val="32"/>
          <w:szCs w:val="32"/>
          <w:lang w:val="en-US" w:eastAsia="zh-CN"/>
        </w:rPr>
        <w:t>通过完善制度、技术赋能、严格执法相结合，不断强化建筑施工领域重点人员的安全监管，及时查处违法行为，倒逼建筑施工相关单位提升安全管理水平。</w:t>
      </w:r>
    </w:p>
    <w:p w14:paraId="5DFED5E5">
      <w:pPr>
        <w:pStyle w:val="2"/>
        <w:keepNext w:val="0"/>
        <w:keepLines w:val="0"/>
        <w:pageBreakBefore w:val="0"/>
        <w:widowControl w:val="0"/>
        <w:kinsoku/>
        <w:wordWrap/>
        <w:overflowPunct/>
        <w:topLinePunct w:val="0"/>
        <w:autoSpaceDE/>
        <w:autoSpaceDN/>
        <w:bidi w:val="0"/>
        <w:adjustRightInd/>
        <w:snapToGrid/>
        <w:spacing w:line="580" w:lineRule="exact"/>
        <w:ind w:left="0" w:leftChars="0"/>
        <w:textAlignment w:val="auto"/>
        <w:rPr>
          <w:rFonts w:hint="default" w:ascii="Times New Roman" w:hAnsi="Times New Roman" w:eastAsia="仿宋_GB2312" w:cs="Times New Roman"/>
          <w:color w:val="000000"/>
          <w:sz w:val="32"/>
          <w:szCs w:val="32"/>
          <w:lang w:val="en-US" w:eastAsia="zh-CN"/>
        </w:rPr>
      </w:pPr>
    </w:p>
    <w:p w14:paraId="4595D36C">
      <w:pPr>
        <w:keepNext w:val="0"/>
        <w:keepLines w:val="0"/>
        <w:pageBreakBefore w:val="0"/>
        <w:widowControl w:val="0"/>
        <w:kinsoku/>
        <w:wordWrap/>
        <w:overflowPunct/>
        <w:topLinePunct w:val="0"/>
        <w:autoSpaceDE/>
        <w:autoSpaceDN/>
        <w:bidi w:val="0"/>
        <w:adjustRightInd/>
        <w:snapToGrid/>
        <w:spacing w:beforeAutospacing="0" w:afterAutospacing="0" w:line="580" w:lineRule="exact"/>
        <w:jc w:val="left"/>
        <w:textAlignment w:val="auto"/>
        <w:rPr>
          <w:rFonts w:hint="default" w:ascii="Times New Roman" w:hAnsi="Times New Roman" w:eastAsia="仿宋_GB2312" w:cs="Times New Roman"/>
          <w:color w:val="000000" w:themeColor="text1"/>
          <w:spacing w:val="-28"/>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spacing w:val="-28"/>
          <w:sz w:val="28"/>
          <w:szCs w:val="28"/>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1179830</wp:posOffset>
                </wp:positionH>
                <wp:positionV relativeFrom="paragraph">
                  <wp:posOffset>8823960</wp:posOffset>
                </wp:positionV>
                <wp:extent cx="5615940" cy="0"/>
                <wp:effectExtent l="0" t="6350" r="0" b="6350"/>
                <wp:wrapNone/>
                <wp:docPr id="6" name="直接连接符 6"/>
                <wp:cNvGraphicFramePr/>
                <a:graphic xmlns:a="http://schemas.openxmlformats.org/drawingml/2006/main">
                  <a:graphicData uri="http://schemas.microsoft.com/office/word/2010/wordprocessingShape">
                    <wps:wsp>
                      <wps:cNvCnPr/>
                      <wps:spPr>
                        <a:xfrm>
                          <a:off x="0" y="0"/>
                          <a:ext cx="5615940" cy="0"/>
                        </a:xfrm>
                        <a:prstGeom prst="line">
                          <a:avLst/>
                        </a:prstGeom>
                        <a:ln>
                          <a:headEnd type="none" w="med" len="med"/>
                          <a:tailEnd type="none" w="med" len="med"/>
                        </a:ln>
                      </wps:spPr>
                      <wps:style>
                        <a:lnRef idx="2">
                          <a:schemeClr val="accent1"/>
                        </a:lnRef>
                        <a:fillRef idx="0">
                          <a:srgbClr val="FFFFFF"/>
                        </a:fillRef>
                        <a:effectRef idx="0">
                          <a:srgbClr val="FFFFFF"/>
                        </a:effectRef>
                        <a:fontRef idx="minor">
                          <a:schemeClr val="tx1"/>
                        </a:fontRef>
                      </wps:style>
                      <wps:bodyPr upright="1"/>
                    </wps:wsp>
                  </a:graphicData>
                </a:graphic>
              </wp:anchor>
            </w:drawing>
          </mc:Choice>
          <mc:Fallback>
            <w:pict>
              <v:line id="_x0000_s1026" o:spid="_x0000_s1026" o:spt="20" style="position:absolute;left:0pt;margin-left:92.9pt;margin-top:694.8pt;height:0pt;width:442.2pt;z-index:251661312;mso-width-relative:page;mso-height-relative:page;" filled="f" stroked="t" coordsize="21600,21600" o:gfxdata="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H+abJ1gAAAA4BAAAPAAAAAAAAAAEA&#10;IAAAACIAAABkcnMvZG93bnJldi54bWxQSwECFAAUAAAACACHTuJAFnizKxECAAASBAAADgAAAAAA&#10;AAABACAAAAAlAQAAZHJzL2Uyb0RvYy54bWxQSwUGAAAAAAYABgBZAQAAqAUAAAAA&#10;">
                <v:fill on="f" focussize="0,0"/>
                <v:stroke weight="1pt" color="#5B9BD5 [3204]" miterlimit="8" joinstyle="miter"/>
                <v:imagedata o:title=""/>
                <o:lock v:ext="edit" aspectratio="f"/>
              </v:line>
            </w:pict>
          </mc:Fallback>
        </mc:AlternateContent>
      </w:r>
      <w:r>
        <w:rPr>
          <w:rFonts w:hint="default" w:ascii="Times New Roman" w:hAnsi="Times New Roman" w:eastAsia="仿宋_GB2312" w:cs="Times New Roman"/>
          <w:color w:val="000000" w:themeColor="text1"/>
          <w:spacing w:val="-28"/>
          <w:sz w:val="28"/>
          <w:szCs w:val="28"/>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1027430</wp:posOffset>
                </wp:positionH>
                <wp:positionV relativeFrom="paragraph">
                  <wp:posOffset>8671560</wp:posOffset>
                </wp:positionV>
                <wp:extent cx="5615940" cy="0"/>
                <wp:effectExtent l="0" t="6350" r="0" b="6350"/>
                <wp:wrapNone/>
                <wp:docPr id="14" name="直接连接符 14"/>
                <wp:cNvGraphicFramePr/>
                <a:graphic xmlns:a="http://schemas.openxmlformats.org/drawingml/2006/main">
                  <a:graphicData uri="http://schemas.microsoft.com/office/word/2010/wordprocessingShape">
                    <wps:wsp>
                      <wps:cNvCnPr/>
                      <wps:spPr>
                        <a:xfrm>
                          <a:off x="0" y="0"/>
                          <a:ext cx="5615940"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80.9pt;margin-top:682.8pt;height:0pt;width:442.2pt;z-index:251660288;mso-width-relative:page;mso-height-relative:page;" filled="f" stroked="t" coordsize="21600,21600" o:gfxdata="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llbwg9kAAAAOAQAADwAAAAAAAAABACAAAAAiAAAAZHJzL2Rvd25yZXYu&#10;eG1sUEsBAhQAFAAAAAgAh07iQFNHLh76AQAA9QMAAA4AAAAAAAAAAQAgAAAAKAEAAGRycy9lMm9E&#10;b2MueG1sUEsFBgAAAAAGAAYAWQEAAJQFAAAAAA==&#10;">
                <v:fill on="f" focussize="0,0"/>
                <v:stroke weight="1pt" color="#000000" joinstyle="round"/>
                <v:imagedata o:title=""/>
                <o:lock v:ext="edit" aspectratio="f"/>
              </v:line>
            </w:pict>
          </mc:Fallback>
        </mc:AlternateContent>
      </w:r>
    </w:p>
    <w:sectPr>
      <w:headerReference r:id="rId3" w:type="default"/>
      <w:footerReference r:id="rId4" w:type="default"/>
      <w:pgSz w:w="11906" w:h="16838"/>
      <w:pgMar w:top="2098" w:right="1474" w:bottom="1814" w:left="1587" w:header="851" w:footer="147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roman"/>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C2E53">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7C0D8E">
                          <w:pPr>
                            <w:pStyle w:val="10"/>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57C0D8E">
                    <w:pPr>
                      <w:pStyle w:val="10"/>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w:t>
                    </w:r>
                    <w:r>
                      <w:rPr>
                        <w:rFonts w:hint="default" w:ascii="Times New Roman" w:hAnsi="Times New Roman" w:cs="Times New Roman"/>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0D5B8">
    <w:pPr>
      <w:widowControl w:val="0"/>
      <w:pBdr>
        <w:bottom w:val="none" w:color="auto" w:sz="0" w:space="1"/>
      </w:pBdr>
      <w:snapToGrid w:val="0"/>
      <w:ind w:firstLine="420" w:firstLineChars="200"/>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43606E"/>
    <w:rsid w:val="00052104"/>
    <w:rsid w:val="00405C10"/>
    <w:rsid w:val="00537422"/>
    <w:rsid w:val="006030BF"/>
    <w:rsid w:val="007B5E23"/>
    <w:rsid w:val="008429D2"/>
    <w:rsid w:val="00977D4C"/>
    <w:rsid w:val="00A16FAC"/>
    <w:rsid w:val="00C97E69"/>
    <w:rsid w:val="00CA72BA"/>
    <w:rsid w:val="00D6219B"/>
    <w:rsid w:val="01255FA2"/>
    <w:rsid w:val="02355837"/>
    <w:rsid w:val="02C67C8E"/>
    <w:rsid w:val="03CB7B24"/>
    <w:rsid w:val="056703FD"/>
    <w:rsid w:val="07041C7C"/>
    <w:rsid w:val="07124399"/>
    <w:rsid w:val="08510EF1"/>
    <w:rsid w:val="08640C24"/>
    <w:rsid w:val="086B2998"/>
    <w:rsid w:val="08966904"/>
    <w:rsid w:val="08FB50CF"/>
    <w:rsid w:val="0A2611FD"/>
    <w:rsid w:val="0AE77137"/>
    <w:rsid w:val="0B1C7612"/>
    <w:rsid w:val="0B6D0789"/>
    <w:rsid w:val="0CAD246E"/>
    <w:rsid w:val="0CBB5755"/>
    <w:rsid w:val="0E7D5A1E"/>
    <w:rsid w:val="0FDF26EB"/>
    <w:rsid w:val="10352EA6"/>
    <w:rsid w:val="11B322D4"/>
    <w:rsid w:val="1330144B"/>
    <w:rsid w:val="14FD01A6"/>
    <w:rsid w:val="166444E5"/>
    <w:rsid w:val="16A79550"/>
    <w:rsid w:val="16D3794B"/>
    <w:rsid w:val="171818C5"/>
    <w:rsid w:val="17E2661A"/>
    <w:rsid w:val="18794C40"/>
    <w:rsid w:val="1882367C"/>
    <w:rsid w:val="18F02BC8"/>
    <w:rsid w:val="194B373A"/>
    <w:rsid w:val="196E6A79"/>
    <w:rsid w:val="19C84D8B"/>
    <w:rsid w:val="19CF0CCA"/>
    <w:rsid w:val="19FD982C"/>
    <w:rsid w:val="1BDD9690"/>
    <w:rsid w:val="1C4D23B6"/>
    <w:rsid w:val="1CE26164"/>
    <w:rsid w:val="1D9F1DC0"/>
    <w:rsid w:val="1F307B05"/>
    <w:rsid w:val="1F734152"/>
    <w:rsid w:val="1F9A7FD9"/>
    <w:rsid w:val="1FBA2313"/>
    <w:rsid w:val="1FDE4507"/>
    <w:rsid w:val="1FDE773E"/>
    <w:rsid w:val="20454D4C"/>
    <w:rsid w:val="213D1403"/>
    <w:rsid w:val="21406CC6"/>
    <w:rsid w:val="22164DD2"/>
    <w:rsid w:val="2274C5C7"/>
    <w:rsid w:val="22C5736B"/>
    <w:rsid w:val="237D07F5"/>
    <w:rsid w:val="245D3498"/>
    <w:rsid w:val="250B51FB"/>
    <w:rsid w:val="25327B6D"/>
    <w:rsid w:val="256C4DBF"/>
    <w:rsid w:val="25CD79B1"/>
    <w:rsid w:val="26191F48"/>
    <w:rsid w:val="26A75D55"/>
    <w:rsid w:val="275A1D0E"/>
    <w:rsid w:val="287B20DD"/>
    <w:rsid w:val="293B10D5"/>
    <w:rsid w:val="2AFD69E2"/>
    <w:rsid w:val="2B454F98"/>
    <w:rsid w:val="2B767634"/>
    <w:rsid w:val="2BD2E8C7"/>
    <w:rsid w:val="2BFF965C"/>
    <w:rsid w:val="2D777E20"/>
    <w:rsid w:val="2DEF5AE6"/>
    <w:rsid w:val="2E440A2C"/>
    <w:rsid w:val="2ED31DB0"/>
    <w:rsid w:val="2F9B1E9D"/>
    <w:rsid w:val="2FBF34E1"/>
    <w:rsid w:val="30230115"/>
    <w:rsid w:val="30872E52"/>
    <w:rsid w:val="30FF9AA0"/>
    <w:rsid w:val="31887A63"/>
    <w:rsid w:val="31B07F51"/>
    <w:rsid w:val="32405364"/>
    <w:rsid w:val="32EB3B6C"/>
    <w:rsid w:val="33107EE0"/>
    <w:rsid w:val="333A6730"/>
    <w:rsid w:val="33E13D3E"/>
    <w:rsid w:val="33F64577"/>
    <w:rsid w:val="33F8430E"/>
    <w:rsid w:val="340071A3"/>
    <w:rsid w:val="34234D80"/>
    <w:rsid w:val="34CC7642"/>
    <w:rsid w:val="35B662C9"/>
    <w:rsid w:val="35F05B84"/>
    <w:rsid w:val="36355259"/>
    <w:rsid w:val="36724178"/>
    <w:rsid w:val="3747333B"/>
    <w:rsid w:val="377D782B"/>
    <w:rsid w:val="37895702"/>
    <w:rsid w:val="380354B4"/>
    <w:rsid w:val="38500133"/>
    <w:rsid w:val="38ED12A5"/>
    <w:rsid w:val="392751D2"/>
    <w:rsid w:val="3AE01E03"/>
    <w:rsid w:val="3B2F81ED"/>
    <w:rsid w:val="3B54B81D"/>
    <w:rsid w:val="3BBF1081"/>
    <w:rsid w:val="3BFFFACE"/>
    <w:rsid w:val="3CB7E5CB"/>
    <w:rsid w:val="3CC02493"/>
    <w:rsid w:val="3CF52411"/>
    <w:rsid w:val="3DB5BAB8"/>
    <w:rsid w:val="3DFBB98F"/>
    <w:rsid w:val="3E607863"/>
    <w:rsid w:val="3F79EF85"/>
    <w:rsid w:val="3FFED035"/>
    <w:rsid w:val="401F30A7"/>
    <w:rsid w:val="404E74E8"/>
    <w:rsid w:val="419C2942"/>
    <w:rsid w:val="430F1FFA"/>
    <w:rsid w:val="43356BC6"/>
    <w:rsid w:val="43AB7936"/>
    <w:rsid w:val="44FA08B8"/>
    <w:rsid w:val="453F28E2"/>
    <w:rsid w:val="457222D0"/>
    <w:rsid w:val="4670164E"/>
    <w:rsid w:val="471C5444"/>
    <w:rsid w:val="475F55E0"/>
    <w:rsid w:val="47A83982"/>
    <w:rsid w:val="47D668C4"/>
    <w:rsid w:val="496B2EB9"/>
    <w:rsid w:val="49DB6AB5"/>
    <w:rsid w:val="4AE42F23"/>
    <w:rsid w:val="4BFD2134"/>
    <w:rsid w:val="4CB45615"/>
    <w:rsid w:val="4CFF4044"/>
    <w:rsid w:val="4D340F3B"/>
    <w:rsid w:val="4D3B39D4"/>
    <w:rsid w:val="4E230BDE"/>
    <w:rsid w:val="4E95610A"/>
    <w:rsid w:val="4ECD79B3"/>
    <w:rsid w:val="4F3F3416"/>
    <w:rsid w:val="50B61D10"/>
    <w:rsid w:val="50E1549D"/>
    <w:rsid w:val="511B34A7"/>
    <w:rsid w:val="51933984"/>
    <w:rsid w:val="519BA450"/>
    <w:rsid w:val="525D5869"/>
    <w:rsid w:val="52CC1B24"/>
    <w:rsid w:val="52EEA0CF"/>
    <w:rsid w:val="53161F29"/>
    <w:rsid w:val="537F62B6"/>
    <w:rsid w:val="547F2B0B"/>
    <w:rsid w:val="54821930"/>
    <w:rsid w:val="555F96C4"/>
    <w:rsid w:val="556E7205"/>
    <w:rsid w:val="56BF89D4"/>
    <w:rsid w:val="56CF1EEE"/>
    <w:rsid w:val="56CF2CD9"/>
    <w:rsid w:val="5726041F"/>
    <w:rsid w:val="577BEBE8"/>
    <w:rsid w:val="57EE71D8"/>
    <w:rsid w:val="58F7D5C5"/>
    <w:rsid w:val="59AB7EC1"/>
    <w:rsid w:val="59C36EBA"/>
    <w:rsid w:val="5A43606E"/>
    <w:rsid w:val="5A751DEA"/>
    <w:rsid w:val="5A8738CB"/>
    <w:rsid w:val="5AA7782C"/>
    <w:rsid w:val="5B341926"/>
    <w:rsid w:val="5BCF076E"/>
    <w:rsid w:val="5BD26EE6"/>
    <w:rsid w:val="5CA01995"/>
    <w:rsid w:val="5CC606DB"/>
    <w:rsid w:val="5DB3D4EE"/>
    <w:rsid w:val="5E96232F"/>
    <w:rsid w:val="5FBD604D"/>
    <w:rsid w:val="5FEF0DCE"/>
    <w:rsid w:val="5FFFDD4A"/>
    <w:rsid w:val="60204A0F"/>
    <w:rsid w:val="619C4100"/>
    <w:rsid w:val="63325E69"/>
    <w:rsid w:val="639FF03A"/>
    <w:rsid w:val="63DE27AE"/>
    <w:rsid w:val="63F417E6"/>
    <w:rsid w:val="65395446"/>
    <w:rsid w:val="65870C23"/>
    <w:rsid w:val="66A24433"/>
    <w:rsid w:val="6777710B"/>
    <w:rsid w:val="67DC3E39"/>
    <w:rsid w:val="67FF6781"/>
    <w:rsid w:val="68336E40"/>
    <w:rsid w:val="69F66377"/>
    <w:rsid w:val="6A2F4C0E"/>
    <w:rsid w:val="6A395C1E"/>
    <w:rsid w:val="6A9A31A7"/>
    <w:rsid w:val="6ABADEB6"/>
    <w:rsid w:val="6AFFA843"/>
    <w:rsid w:val="6B8672AD"/>
    <w:rsid w:val="6BD7F660"/>
    <w:rsid w:val="6C613F7C"/>
    <w:rsid w:val="6D766E5D"/>
    <w:rsid w:val="6FBFA14C"/>
    <w:rsid w:val="6FEFAAC9"/>
    <w:rsid w:val="700A0487"/>
    <w:rsid w:val="72B017B9"/>
    <w:rsid w:val="72F674B1"/>
    <w:rsid w:val="72FE1A7B"/>
    <w:rsid w:val="739E5AB6"/>
    <w:rsid w:val="73BB880B"/>
    <w:rsid w:val="73DD19AC"/>
    <w:rsid w:val="73ED7395"/>
    <w:rsid w:val="73F2211E"/>
    <w:rsid w:val="73FF2ADF"/>
    <w:rsid w:val="74207B04"/>
    <w:rsid w:val="746F0727"/>
    <w:rsid w:val="74B14DB3"/>
    <w:rsid w:val="74BEA495"/>
    <w:rsid w:val="74D474BB"/>
    <w:rsid w:val="74F6C0DA"/>
    <w:rsid w:val="75B225E7"/>
    <w:rsid w:val="763FA22F"/>
    <w:rsid w:val="765A823A"/>
    <w:rsid w:val="765F4A4A"/>
    <w:rsid w:val="766B5F33"/>
    <w:rsid w:val="766E56AF"/>
    <w:rsid w:val="767F7953"/>
    <w:rsid w:val="76857BC9"/>
    <w:rsid w:val="768D5435"/>
    <w:rsid w:val="76B17C28"/>
    <w:rsid w:val="775AEEE7"/>
    <w:rsid w:val="77748589"/>
    <w:rsid w:val="77B3E429"/>
    <w:rsid w:val="77DE03E3"/>
    <w:rsid w:val="77EE10D7"/>
    <w:rsid w:val="78AA70DF"/>
    <w:rsid w:val="78C36655"/>
    <w:rsid w:val="7A4E13B1"/>
    <w:rsid w:val="7A7C717A"/>
    <w:rsid w:val="7A8C6A34"/>
    <w:rsid w:val="7AFF18F4"/>
    <w:rsid w:val="7B0B4E2B"/>
    <w:rsid w:val="7B37AC6A"/>
    <w:rsid w:val="7B5B24DE"/>
    <w:rsid w:val="7B5F0655"/>
    <w:rsid w:val="7B65A6BB"/>
    <w:rsid w:val="7B7FCBC6"/>
    <w:rsid w:val="7BABE946"/>
    <w:rsid w:val="7BFE374A"/>
    <w:rsid w:val="7BFF7889"/>
    <w:rsid w:val="7C3DFBC7"/>
    <w:rsid w:val="7C834571"/>
    <w:rsid w:val="7CBB65F1"/>
    <w:rsid w:val="7CCF0B5F"/>
    <w:rsid w:val="7CEF7E22"/>
    <w:rsid w:val="7CFE6798"/>
    <w:rsid w:val="7D7D277A"/>
    <w:rsid w:val="7DAE2757"/>
    <w:rsid w:val="7DBF7276"/>
    <w:rsid w:val="7DCA25E7"/>
    <w:rsid w:val="7DE451FF"/>
    <w:rsid w:val="7E4C1F38"/>
    <w:rsid w:val="7E927338"/>
    <w:rsid w:val="7EDF1848"/>
    <w:rsid w:val="7EDF27B2"/>
    <w:rsid w:val="7EF99AEB"/>
    <w:rsid w:val="7EFBFC31"/>
    <w:rsid w:val="7F3F3F5C"/>
    <w:rsid w:val="7F573667"/>
    <w:rsid w:val="7F5C4001"/>
    <w:rsid w:val="7F5F242E"/>
    <w:rsid w:val="7F6D000C"/>
    <w:rsid w:val="7F7FA4D5"/>
    <w:rsid w:val="7FA5C079"/>
    <w:rsid w:val="7FD5E608"/>
    <w:rsid w:val="7FEF5A18"/>
    <w:rsid w:val="7FF72A04"/>
    <w:rsid w:val="7FF7DC8E"/>
    <w:rsid w:val="7FFB27A2"/>
    <w:rsid w:val="7FFB3F70"/>
    <w:rsid w:val="7FFD0680"/>
    <w:rsid w:val="7FFF342C"/>
    <w:rsid w:val="83952A06"/>
    <w:rsid w:val="8B3F21A0"/>
    <w:rsid w:val="8F83371F"/>
    <w:rsid w:val="9DFA58C2"/>
    <w:rsid w:val="9F4FDEB2"/>
    <w:rsid w:val="9FBD1A30"/>
    <w:rsid w:val="9FDC8D87"/>
    <w:rsid w:val="9FEA4184"/>
    <w:rsid w:val="9FFB46DF"/>
    <w:rsid w:val="9FFEE60E"/>
    <w:rsid w:val="9FFF5082"/>
    <w:rsid w:val="A1EF651D"/>
    <w:rsid w:val="A7F9AC30"/>
    <w:rsid w:val="A9E72024"/>
    <w:rsid w:val="AF6F2071"/>
    <w:rsid w:val="AFD7152E"/>
    <w:rsid w:val="B2FF7001"/>
    <w:rsid w:val="B3561359"/>
    <w:rsid w:val="B3C6C9E2"/>
    <w:rsid w:val="B6EDDA9C"/>
    <w:rsid w:val="B7DE6AD4"/>
    <w:rsid w:val="B7FB0844"/>
    <w:rsid w:val="B7FEA0D2"/>
    <w:rsid w:val="BB1D2E64"/>
    <w:rsid w:val="BE6C3691"/>
    <w:rsid w:val="BEA7A8D3"/>
    <w:rsid w:val="BF3D8A4D"/>
    <w:rsid w:val="BF5E7518"/>
    <w:rsid w:val="BF5F0247"/>
    <w:rsid w:val="BF7A26A8"/>
    <w:rsid w:val="BFB709DF"/>
    <w:rsid w:val="BFEBA88A"/>
    <w:rsid w:val="C7758364"/>
    <w:rsid w:val="C79D1024"/>
    <w:rsid w:val="C7EB8B12"/>
    <w:rsid w:val="C7FB59D5"/>
    <w:rsid w:val="CB7C8E9C"/>
    <w:rsid w:val="CB7F9446"/>
    <w:rsid w:val="CBB324F6"/>
    <w:rsid w:val="CBB7EB16"/>
    <w:rsid w:val="CFEDB10A"/>
    <w:rsid w:val="CFF7D19B"/>
    <w:rsid w:val="D36B27BE"/>
    <w:rsid w:val="D45E0396"/>
    <w:rsid w:val="D466D114"/>
    <w:rsid w:val="D9CE6127"/>
    <w:rsid w:val="D9E56694"/>
    <w:rsid w:val="DEDF66A5"/>
    <w:rsid w:val="DF1F5200"/>
    <w:rsid w:val="DF5EFFBE"/>
    <w:rsid w:val="DF6F8120"/>
    <w:rsid w:val="DF93FF4F"/>
    <w:rsid w:val="DFB1344E"/>
    <w:rsid w:val="DFC30D7A"/>
    <w:rsid w:val="DFCA3853"/>
    <w:rsid w:val="DFF06749"/>
    <w:rsid w:val="DFF300BA"/>
    <w:rsid w:val="DFF75C89"/>
    <w:rsid w:val="E6CF028E"/>
    <w:rsid w:val="E6D79DAA"/>
    <w:rsid w:val="E7EFC6E8"/>
    <w:rsid w:val="EDAFEC55"/>
    <w:rsid w:val="EE7C59EB"/>
    <w:rsid w:val="EEE35DDB"/>
    <w:rsid w:val="EEFF97EC"/>
    <w:rsid w:val="EF7FC846"/>
    <w:rsid w:val="EFFFD01C"/>
    <w:rsid w:val="F2A3DEC4"/>
    <w:rsid w:val="F36F4FC9"/>
    <w:rsid w:val="F3E97A0B"/>
    <w:rsid w:val="F49D3C88"/>
    <w:rsid w:val="F5BF29EC"/>
    <w:rsid w:val="F5BFB0E5"/>
    <w:rsid w:val="F5FE7512"/>
    <w:rsid w:val="F9EFA17F"/>
    <w:rsid w:val="FB2A2CD7"/>
    <w:rsid w:val="FB9727E3"/>
    <w:rsid w:val="FBFDD5E8"/>
    <w:rsid w:val="FBFE396E"/>
    <w:rsid w:val="FC8FE46C"/>
    <w:rsid w:val="FCDFEBFA"/>
    <w:rsid w:val="FCFFA97E"/>
    <w:rsid w:val="FD3DC22D"/>
    <w:rsid w:val="FD7AAE4D"/>
    <w:rsid w:val="FD7CB414"/>
    <w:rsid w:val="FE087290"/>
    <w:rsid w:val="FE7D6CAD"/>
    <w:rsid w:val="FEDFE7ED"/>
    <w:rsid w:val="FF437957"/>
    <w:rsid w:val="FF596ED3"/>
    <w:rsid w:val="FF5D5DFA"/>
    <w:rsid w:val="FF6FFE27"/>
    <w:rsid w:val="FF7D0B20"/>
    <w:rsid w:val="FF7D5515"/>
    <w:rsid w:val="FF7DB26C"/>
    <w:rsid w:val="FF9F56D5"/>
    <w:rsid w:val="FFAF1AE4"/>
    <w:rsid w:val="FFB519F7"/>
    <w:rsid w:val="FFB7D898"/>
    <w:rsid w:val="FFBB4C8E"/>
    <w:rsid w:val="FFBFA35C"/>
    <w:rsid w:val="FFD7E555"/>
    <w:rsid w:val="FFEB278D"/>
    <w:rsid w:val="FFF827B3"/>
    <w:rsid w:val="FFFB2BD7"/>
    <w:rsid w:val="FFFD8A9E"/>
    <w:rsid w:val="FFFF09A7"/>
    <w:rsid w:val="FFFFCA76"/>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5">
    <w:name w:val="heading 1"/>
    <w:basedOn w:val="1"/>
    <w:next w:val="1"/>
    <w:qFormat/>
    <w:uiPriority w:val="0"/>
    <w:pPr>
      <w:spacing w:before="100" w:beforeAutospacing="1" w:after="100" w:afterAutospacing="1"/>
      <w:jc w:val="left"/>
    </w:pPr>
    <w:rPr>
      <w:rFonts w:hint="eastAsia" w:ascii="宋体" w:hAnsi="宋体" w:eastAsia="宋体" w:cs="宋体"/>
      <w:b/>
      <w:kern w:val="44"/>
      <w:sz w:val="48"/>
      <w:szCs w:val="48"/>
      <w:lang w:val="en-US" w:eastAsia="zh-CN" w:bidi="ar"/>
    </w:rPr>
  </w:style>
  <w:style w:type="paragraph" w:styleId="6">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widowControl w:val="0"/>
      <w:ind w:firstLine="420" w:firstLineChars="200"/>
      <w:jc w:val="both"/>
    </w:pPr>
    <w:rPr>
      <w:rFonts w:ascii="Times New Roman" w:hAnsi="Times New Roman" w:eastAsia="仿宋_GB2312" w:cs="Times New Roman"/>
      <w:spacing w:val="-4"/>
      <w:kern w:val="2"/>
      <w:sz w:val="32"/>
      <w:szCs w:val="24"/>
      <w:lang w:val="en-US" w:eastAsia="zh-CN" w:bidi="ar-SA"/>
    </w:rPr>
  </w:style>
  <w:style w:type="paragraph" w:styleId="3">
    <w:name w:val="Body Text Indent"/>
    <w:basedOn w:val="1"/>
    <w:next w:val="4"/>
    <w:qFormat/>
    <w:uiPriority w:val="0"/>
    <w:pPr>
      <w:widowControl w:val="0"/>
      <w:ind w:firstLine="630"/>
      <w:jc w:val="both"/>
    </w:pPr>
    <w:rPr>
      <w:rFonts w:ascii="Times New Roman" w:hAnsi="Times New Roman" w:eastAsia="仿宋_GB2312" w:cs="Times New Roman"/>
      <w:spacing w:val="-4"/>
      <w:kern w:val="2"/>
      <w:sz w:val="32"/>
      <w:szCs w:val="24"/>
      <w:lang w:val="en-US" w:eastAsia="zh-CN" w:bidi="ar-SA"/>
    </w:rPr>
  </w:style>
  <w:style w:type="paragraph" w:styleId="4">
    <w:name w:val="Normal Indent"/>
    <w:basedOn w:val="1"/>
    <w:next w:val="1"/>
    <w:semiHidden/>
    <w:unhideWhenUsed/>
    <w:qFormat/>
    <w:uiPriority w:val="0"/>
    <w:pPr>
      <w:widowControl/>
      <w:ind w:firstLine="420" w:firstLineChars="0"/>
      <w:jc w:val="left"/>
    </w:pPr>
    <w:rPr>
      <w:rFonts w:ascii="Times New Roman" w:hAnsi="Times New Roman" w:eastAsiaTheme="minorEastAsia"/>
    </w:rPr>
  </w:style>
  <w:style w:type="paragraph" w:styleId="7">
    <w:name w:val="index 5"/>
    <w:basedOn w:val="1"/>
    <w:next w:val="1"/>
    <w:unhideWhenUsed/>
    <w:qFormat/>
    <w:uiPriority w:val="99"/>
    <w:pPr>
      <w:ind w:left="800" w:leftChars="800"/>
    </w:pPr>
  </w:style>
  <w:style w:type="paragraph" w:styleId="8">
    <w:name w:val="annotation text"/>
    <w:basedOn w:val="1"/>
    <w:qFormat/>
    <w:uiPriority w:val="0"/>
    <w:pPr>
      <w:jc w:val="left"/>
    </w:pPr>
  </w:style>
  <w:style w:type="paragraph" w:styleId="9">
    <w:name w:val="Body Text"/>
    <w:basedOn w:val="1"/>
    <w:next w:val="7"/>
    <w:qFormat/>
    <w:uiPriority w:val="0"/>
    <w:pPr>
      <w:spacing w:after="120"/>
    </w:p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spacing w:before="100" w:beforeAutospacing="1" w:after="100" w:afterAutospacing="1"/>
      <w:jc w:val="left"/>
    </w:pPr>
    <w:rPr>
      <w:kern w:val="0"/>
      <w:sz w:val="24"/>
    </w:rPr>
  </w:style>
  <w:style w:type="paragraph" w:styleId="13">
    <w:name w:val="Title"/>
    <w:basedOn w:val="1"/>
    <w:next w:val="1"/>
    <w:qFormat/>
    <w:uiPriority w:val="0"/>
    <w:pPr>
      <w:spacing w:before="240" w:after="60"/>
      <w:jc w:val="center"/>
      <w:outlineLvl w:val="0"/>
    </w:pPr>
    <w:rPr>
      <w:rFonts w:ascii="Calibri Light" w:hAnsi="Calibri Light" w:eastAsia="宋体" w:cs="Times New Roman"/>
      <w:b/>
      <w:bCs/>
      <w:sz w:val="32"/>
      <w:szCs w:val="32"/>
    </w:rPr>
  </w:style>
  <w:style w:type="paragraph" w:styleId="14">
    <w:name w:val="Body Text First Indent"/>
    <w:basedOn w:val="9"/>
    <w:next w:val="1"/>
    <w:unhideWhenUsed/>
    <w:qFormat/>
    <w:uiPriority w:val="99"/>
    <w:pPr>
      <w:widowControl w:val="0"/>
      <w:spacing w:after="0" w:line="500" w:lineRule="exact"/>
      <w:ind w:firstLine="420"/>
      <w:jc w:val="both"/>
    </w:pPr>
    <w:rPr>
      <w:rFonts w:ascii="宋体" w:hAnsi="宋体" w:eastAsia="宋体" w:cs="宋体"/>
      <w:kern w:val="2"/>
      <w:sz w:val="28"/>
      <w:szCs w:val="32"/>
      <w:lang w:val="zh-CN" w:eastAsia="zh-CN" w:bidi="zh-CN"/>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page number"/>
    <w:basedOn w:val="17"/>
    <w:qFormat/>
    <w:uiPriority w:val="0"/>
  </w:style>
  <w:style w:type="character" w:styleId="20">
    <w:name w:val="Hyperlink"/>
    <w:basedOn w:val="17"/>
    <w:qFormat/>
    <w:uiPriority w:val="0"/>
    <w:rPr>
      <w:color w:val="0000FF"/>
      <w:u w:val="single"/>
    </w:rPr>
  </w:style>
  <w:style w:type="paragraph" w:customStyle="1" w:styleId="21">
    <w:name w:val="正文-公1"/>
    <w:basedOn w:val="1"/>
    <w:next w:val="1"/>
    <w:qFormat/>
    <w:uiPriority w:val="0"/>
    <w:pPr>
      <w:ind w:firstLine="200" w:firstLineChars="200"/>
      <w:jc w:val="left"/>
    </w:pPr>
    <w:rPr>
      <w:rFonts w:eastAsia="仿宋_GB2312"/>
    </w:rPr>
  </w:style>
  <w:style w:type="paragraph" w:customStyle="1" w:styleId="22">
    <w:name w:val="Body Text First Indent1"/>
    <w:basedOn w:val="9"/>
    <w:qFormat/>
    <w:uiPriority w:val="0"/>
    <w:pPr>
      <w:ind w:firstLine="420" w:firstLineChars="100"/>
    </w:pPr>
    <w:rPr>
      <w:rFonts w:hint="eastAsia"/>
      <w:sz w:val="21"/>
      <w:szCs w:val="22"/>
    </w:rPr>
  </w:style>
  <w:style w:type="character" w:customStyle="1" w:styleId="23">
    <w:name w:val="页眉 Char"/>
    <w:basedOn w:val="17"/>
    <w:link w:val="11"/>
    <w:qFormat/>
    <w:uiPriority w:val="0"/>
    <w:rPr>
      <w:rFonts w:ascii="Calibri" w:hAnsi="Calibri"/>
      <w:kern w:val="2"/>
      <w:sz w:val="18"/>
      <w:szCs w:val="18"/>
    </w:rPr>
  </w:style>
  <w:style w:type="paragraph" w:customStyle="1" w:styleId="2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25">
    <w:name w:val="No Spacing"/>
    <w:qFormat/>
    <w:uiPriority w:val="1"/>
    <w:pPr>
      <w:widowControl w:val="0"/>
      <w:ind w:firstLine="200" w:firstLineChars="200"/>
      <w:jc w:val="both"/>
    </w:pPr>
    <w:rPr>
      <w:rFonts w:ascii="Calibri" w:hAnsi="Calibri" w:eastAsia="宋体" w:cs="Times New Roman"/>
      <w:kern w:val="2"/>
      <w:sz w:val="21"/>
      <w:szCs w:val="22"/>
      <w:lang w:val="en-US" w:eastAsia="zh-CN" w:bidi="ar-SA"/>
    </w:rPr>
  </w:style>
  <w:style w:type="paragraph" w:customStyle="1" w:styleId="26">
    <w:name w:val="p15"/>
    <w:basedOn w:val="1"/>
    <w:qFormat/>
    <w:uiPriority w:val="0"/>
    <w:rPr>
      <w:szCs w:val="21"/>
    </w:rPr>
  </w:style>
  <w:style w:type="paragraph" w:customStyle="1" w:styleId="27">
    <w:name w:val="TOC2"/>
    <w:basedOn w:val="1"/>
    <w:next w:val="1"/>
    <w:qFormat/>
    <w:uiPriority w:val="0"/>
    <w:pPr>
      <w:widowControl/>
      <w:spacing w:after="100" w:line="300" w:lineRule="auto"/>
      <w:ind w:left="567"/>
      <w:jc w:val="left"/>
      <w:textAlignment w:val="baseline"/>
    </w:pPr>
    <w:rPr>
      <w:rFonts w:ascii="Calibri" w:hAnsi="Calibri"/>
      <w:kern w:val="0"/>
      <w:sz w:val="22"/>
    </w:rPr>
  </w:style>
  <w:style w:type="character" w:customStyle="1" w:styleId="28">
    <w:name w:val="font101"/>
    <w:basedOn w:val="17"/>
    <w:qFormat/>
    <w:uiPriority w:val="0"/>
    <w:rPr>
      <w:rFonts w:hint="eastAsia" w:ascii="宋体" w:hAnsi="宋体" w:eastAsia="宋体" w:cs="宋体"/>
      <w:color w:val="000000"/>
      <w:sz w:val="20"/>
      <w:szCs w:val="20"/>
      <w:u w:val="none"/>
    </w:rPr>
  </w:style>
  <w:style w:type="character" w:customStyle="1" w:styleId="29">
    <w:name w:val="font71"/>
    <w:basedOn w:val="17"/>
    <w:qFormat/>
    <w:uiPriority w:val="0"/>
    <w:rPr>
      <w:rFonts w:ascii="黑体" w:hAnsi="宋体" w:eastAsia="黑体" w:cs="黑体"/>
      <w:b/>
      <w:bCs/>
      <w:color w:val="000000"/>
      <w:sz w:val="21"/>
      <w:szCs w:val="21"/>
      <w:u w:val="none"/>
    </w:rPr>
  </w:style>
  <w:style w:type="character" w:customStyle="1" w:styleId="30">
    <w:name w:val="font91"/>
    <w:basedOn w:val="17"/>
    <w:qFormat/>
    <w:uiPriority w:val="0"/>
    <w:rPr>
      <w:rFonts w:ascii="楷体_GB2312" w:eastAsia="楷体_GB2312" w:cs="楷体_GB2312"/>
      <w:b/>
      <w:bCs/>
      <w:color w:val="000000"/>
      <w:sz w:val="21"/>
      <w:szCs w:val="21"/>
      <w:u w:val="none"/>
    </w:rPr>
  </w:style>
  <w:style w:type="character" w:customStyle="1" w:styleId="31">
    <w:name w:val="font41"/>
    <w:basedOn w:val="17"/>
    <w:qFormat/>
    <w:uiPriority w:val="0"/>
    <w:rPr>
      <w:rFonts w:hint="default" w:ascii="Times New Roman" w:hAnsi="Times New Roman" w:cs="Times New Roman"/>
      <w:b/>
      <w:bCs/>
      <w:color w:val="000000"/>
      <w:sz w:val="21"/>
      <w:szCs w:val="21"/>
      <w:u w:val="none"/>
    </w:rPr>
  </w:style>
  <w:style w:type="character" w:customStyle="1" w:styleId="32">
    <w:name w:val="font11"/>
    <w:basedOn w:val="17"/>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Pages>
  <Words>6926</Words>
  <Characters>7285</Characters>
  <Lines>20</Lines>
  <Paragraphs>5</Paragraphs>
  <TotalTime>3</TotalTime>
  <ScaleCrop>false</ScaleCrop>
  <LinksUpToDate>false</LinksUpToDate>
  <CharactersWithSpaces>7290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2020-10-26T08:30:00Z</dcterms:created>
  <dc:creator>王挺</dc:creator>
  <cp:lastModifiedBy>左耳</cp:lastModifiedBy>
  <cp:lastPrinted>2025-04-03T09:12:00Z</cp:lastPrinted>
  <dcterms:modified xsi:type="dcterms:W3CDTF">2025-11-25T08:31:25Z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1727D3AA8728D379975EDA67E0BB5B84</vt:lpwstr>
  </property>
  <property fmtid="{D5CDD505-2E9C-101B-9397-08002B2CF9AE}" pid="4" name="KSOTemplateDocerSaveRecord">
    <vt:lpwstr>eyJoZGlkIjoiNTM5YTM2NGI4YjY2MTNmMDg0NWEzOWQxNzI1ZGJlZjMiLCJ1c2VySWQiOiI0NTE1MDYzMzYifQ==</vt:lpwstr>
  </property>
</Properties>
</file>