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上海龙之梦购物中心管理有限公司</w:t>
      </w:r>
    </w:p>
    <w:p>
      <w:pPr>
        <w:spacing w:line="620" w:lineRule="exact"/>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“11·22”高处坠落一般事故责任追究和</w:t>
      </w:r>
    </w:p>
    <w:p>
      <w:pPr>
        <w:spacing w:line="620" w:lineRule="exact"/>
        <w:jc w:val="center"/>
        <w:rPr>
          <w:rFonts w:hint="eastAsia" w:ascii="方正小标宋_GBK" w:hAnsi="宋体" w:eastAsia="方正小标宋_GBK"/>
          <w:snapToGrid w:val="0"/>
          <w:kern w:val="0"/>
          <w:sz w:val="48"/>
          <w:szCs w:val="48"/>
        </w:rPr>
      </w:pPr>
      <w:r>
        <w:rPr>
          <w:rFonts w:hint="eastAsia" w:ascii="方正小标宋_GBK" w:hAnsi="方正小标宋_GBK" w:eastAsia="方正小标宋_GBK" w:cs="方正小标宋_GBK"/>
          <w:sz w:val="44"/>
          <w:szCs w:val="44"/>
          <w:lang w:eastAsia="zh-CN"/>
        </w:rPr>
        <w:t>整改措施落实情况评估报告</w:t>
      </w:r>
    </w:p>
    <w:p>
      <w:pPr>
        <w:spacing w:line="620" w:lineRule="exact"/>
        <w:jc w:val="center"/>
        <w:rPr>
          <w:rFonts w:ascii="仿宋_GB2312" w:hAnsi="宋体" w:eastAsia="仿宋_GB2312"/>
          <w:snapToGrid w:val="0"/>
          <w:kern w:val="0"/>
          <w:szCs w:val="32"/>
        </w:rPr>
      </w:pP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val="en-US" w:eastAsia="zh-CN"/>
        </w:rPr>
        <w:t>依据</w:t>
      </w:r>
      <w:r>
        <w:rPr>
          <w:rFonts w:hint="eastAsia" w:ascii="仿宋_GB2312" w:hAnsi="Calibri" w:eastAsia="仿宋_GB2312"/>
          <w:snapToGrid w:val="0"/>
          <w:kern w:val="0"/>
          <w:szCs w:val="32"/>
        </w:rPr>
        <w:t>《国务院安委会办公室关于组织开展重大生产安全事故整改措施落实情况“回头看”工作的通知》和《上海市应急管理局关于生产安全事故后评估工作的指导意见》（沪应急统评〔2020〕82号）等的有关规定，区安委会办公室于202</w:t>
      </w:r>
      <w:r>
        <w:rPr>
          <w:rFonts w:hint="eastAsia" w:ascii="仿宋_GB2312" w:hAnsi="Calibri" w:eastAsia="仿宋_GB2312"/>
          <w:snapToGrid w:val="0"/>
          <w:kern w:val="0"/>
          <w:szCs w:val="32"/>
          <w:lang w:val="en-US" w:eastAsia="zh-CN"/>
        </w:rPr>
        <w:t>2</w:t>
      </w:r>
      <w:r>
        <w:rPr>
          <w:rFonts w:hint="eastAsia" w:ascii="仿宋_GB2312" w:hAnsi="Calibri" w:eastAsia="仿宋_GB2312"/>
          <w:snapToGrid w:val="0"/>
          <w:kern w:val="0"/>
          <w:szCs w:val="32"/>
        </w:rPr>
        <w:t>年</w:t>
      </w:r>
      <w:r>
        <w:rPr>
          <w:rFonts w:hint="eastAsia" w:ascii="仿宋_GB2312" w:hAnsi="Calibri" w:eastAsia="仿宋_GB2312"/>
          <w:snapToGrid w:val="0"/>
          <w:kern w:val="0"/>
          <w:szCs w:val="32"/>
          <w:lang w:val="en-US" w:eastAsia="zh-CN"/>
        </w:rPr>
        <w:t>12</w:t>
      </w:r>
      <w:r>
        <w:rPr>
          <w:rFonts w:hint="eastAsia" w:ascii="仿宋_GB2312" w:hAnsi="Calibri" w:eastAsia="仿宋_GB2312"/>
          <w:snapToGrid w:val="0"/>
          <w:kern w:val="0"/>
          <w:szCs w:val="32"/>
        </w:rPr>
        <w:t>月</w:t>
      </w:r>
      <w:r>
        <w:rPr>
          <w:rFonts w:hint="eastAsia" w:ascii="仿宋_GB2312" w:hAnsi="Calibri" w:eastAsia="仿宋_GB2312"/>
          <w:snapToGrid w:val="0"/>
          <w:kern w:val="0"/>
          <w:szCs w:val="32"/>
          <w:lang w:val="en-US" w:eastAsia="zh-CN"/>
        </w:rPr>
        <w:t>份</w:t>
      </w:r>
      <w:r>
        <w:rPr>
          <w:rFonts w:hint="eastAsia" w:ascii="仿宋_GB2312" w:hAnsi="Calibri" w:eastAsia="仿宋_GB2312"/>
          <w:snapToGrid w:val="0"/>
          <w:kern w:val="0"/>
          <w:szCs w:val="32"/>
        </w:rPr>
        <w:t>牵头组织成立上海龙之梦购物中心管理有限公司</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以下简称：</w:t>
      </w:r>
      <w:r>
        <w:rPr>
          <w:rFonts w:hint="eastAsia" w:ascii="仿宋_GB2312" w:hAnsi="Calibri" w:eastAsia="仿宋_GB2312"/>
          <w:snapToGrid w:val="0"/>
          <w:kern w:val="0"/>
          <w:szCs w:val="32"/>
        </w:rPr>
        <w:t>事故责任单位</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“11·22”高处坠落一般事故责任追究和整改措施落实情况评估</w:t>
      </w:r>
      <w:r>
        <w:rPr>
          <w:rFonts w:hint="eastAsia" w:ascii="仿宋_GB2312" w:hAnsi="Calibri" w:eastAsia="仿宋_GB2312"/>
          <w:snapToGrid w:val="0"/>
          <w:kern w:val="0"/>
          <w:szCs w:val="32"/>
          <w:lang w:val="en-US" w:eastAsia="zh-CN"/>
        </w:rPr>
        <w:t>小</w:t>
      </w:r>
      <w:r>
        <w:rPr>
          <w:rFonts w:hint="eastAsia" w:ascii="仿宋_GB2312" w:hAnsi="Calibri" w:eastAsia="仿宋_GB2312"/>
          <w:snapToGrid w:val="0"/>
          <w:kern w:val="0"/>
          <w:szCs w:val="32"/>
        </w:rPr>
        <w:t>组（以下简称“评估</w:t>
      </w:r>
      <w:r>
        <w:rPr>
          <w:rFonts w:hint="eastAsia" w:ascii="仿宋_GB2312" w:hAnsi="Calibri" w:eastAsia="仿宋_GB2312"/>
          <w:snapToGrid w:val="0"/>
          <w:kern w:val="0"/>
          <w:szCs w:val="32"/>
          <w:lang w:val="en-US" w:eastAsia="zh-CN"/>
        </w:rPr>
        <w:t>小</w:t>
      </w:r>
      <w:r>
        <w:rPr>
          <w:rFonts w:hint="eastAsia" w:ascii="仿宋_GB2312" w:hAnsi="Calibri" w:eastAsia="仿宋_GB2312"/>
          <w:snapToGrid w:val="0"/>
          <w:kern w:val="0"/>
          <w:szCs w:val="32"/>
        </w:rPr>
        <w:t>组”），</w:t>
      </w:r>
      <w:r>
        <w:rPr>
          <w:rFonts w:hint="eastAsia" w:ascii="仿宋_GB2312" w:hAnsi="Calibri" w:eastAsia="仿宋_GB2312"/>
          <w:snapToGrid w:val="0"/>
          <w:kern w:val="0"/>
          <w:szCs w:val="32"/>
          <w:lang w:eastAsia="zh-CN"/>
        </w:rPr>
        <w:t>评估小组</w:t>
      </w:r>
      <w:r>
        <w:rPr>
          <w:rFonts w:hint="eastAsia" w:ascii="仿宋_GB2312" w:hAnsi="Calibri" w:eastAsia="仿宋_GB2312"/>
          <w:snapToGrid w:val="0"/>
          <w:kern w:val="0"/>
          <w:szCs w:val="32"/>
        </w:rPr>
        <w:t>成员单位包括</w:t>
      </w:r>
      <w:r>
        <w:rPr>
          <w:rFonts w:hint="eastAsia" w:ascii="仿宋_GB2312" w:hAnsi="Calibri" w:eastAsia="仿宋_GB2312"/>
          <w:snapToGrid w:val="0"/>
          <w:color w:val="auto"/>
          <w:kern w:val="0"/>
          <w:szCs w:val="32"/>
          <w:highlight w:val="none"/>
        </w:rPr>
        <w:t>区应急</w:t>
      </w:r>
      <w:r>
        <w:rPr>
          <w:rFonts w:hint="eastAsia" w:ascii="仿宋_GB2312" w:hAnsi="Calibri" w:eastAsia="仿宋_GB2312"/>
          <w:snapToGrid w:val="0"/>
          <w:color w:val="auto"/>
          <w:kern w:val="0"/>
          <w:szCs w:val="32"/>
          <w:highlight w:val="none"/>
          <w:lang w:val="en-US" w:eastAsia="zh-CN"/>
        </w:rPr>
        <w:t>管理</w:t>
      </w:r>
      <w:r>
        <w:rPr>
          <w:rFonts w:hint="eastAsia" w:ascii="仿宋_GB2312" w:hAnsi="Calibri" w:eastAsia="仿宋_GB2312"/>
          <w:snapToGrid w:val="0"/>
          <w:color w:val="auto"/>
          <w:kern w:val="0"/>
          <w:szCs w:val="32"/>
          <w:highlight w:val="none"/>
        </w:rPr>
        <w:t>局、</w:t>
      </w:r>
      <w:r>
        <w:rPr>
          <w:rFonts w:hint="eastAsia" w:ascii="仿宋_GB2312" w:hAnsi="Calibri" w:eastAsia="仿宋_GB2312"/>
          <w:snapToGrid w:val="0"/>
          <w:color w:val="auto"/>
          <w:kern w:val="0"/>
          <w:szCs w:val="32"/>
          <w:highlight w:val="none"/>
          <w:lang w:eastAsia="zh-CN"/>
        </w:rPr>
        <w:t>区公安分局、区总工会、华阳路街道、</w:t>
      </w:r>
      <w:r>
        <w:rPr>
          <w:rFonts w:hint="eastAsia" w:ascii="仿宋_GB2312" w:hAnsi="Calibri" w:eastAsia="仿宋_GB2312"/>
          <w:snapToGrid w:val="0"/>
          <w:kern w:val="0"/>
          <w:szCs w:val="32"/>
          <w:lang w:val="en-US" w:eastAsia="zh-CN"/>
        </w:rPr>
        <w:t>上海</w:t>
      </w:r>
      <w:r>
        <w:rPr>
          <w:rFonts w:hint="eastAsia" w:ascii="仿宋_GB2312" w:hAnsi="Calibri" w:eastAsia="仿宋_GB2312"/>
          <w:snapToGrid w:val="0"/>
          <w:kern w:val="0"/>
          <w:szCs w:val="32"/>
        </w:rPr>
        <w:t>柏科</w:t>
      </w:r>
      <w:r>
        <w:rPr>
          <w:rFonts w:hint="eastAsia" w:ascii="仿宋_GB2312" w:hAnsi="Calibri" w:eastAsia="仿宋_GB2312"/>
          <w:snapToGrid w:val="0"/>
          <w:kern w:val="0"/>
          <w:szCs w:val="32"/>
          <w:lang w:val="en-US" w:eastAsia="zh-CN"/>
        </w:rPr>
        <w:t>管理咨询股份有限公司</w:t>
      </w:r>
      <w:r>
        <w:rPr>
          <w:rFonts w:hint="eastAsia" w:ascii="仿宋_GB2312" w:hAnsi="Calibri" w:eastAsia="仿宋_GB2312"/>
          <w:snapToGrid w:val="0"/>
          <w:kern w:val="0"/>
          <w:szCs w:val="32"/>
        </w:rPr>
        <w:t>（第三方）。</w:t>
      </w:r>
      <w:r>
        <w:rPr>
          <w:rFonts w:hint="eastAsia" w:ascii="仿宋_GB2312" w:hAnsi="Calibri" w:eastAsia="仿宋_GB2312"/>
          <w:snapToGrid w:val="0"/>
          <w:kern w:val="0"/>
          <w:szCs w:val="32"/>
          <w:lang w:eastAsia="zh-CN"/>
        </w:rPr>
        <w:t>评估小组</w:t>
      </w:r>
      <w:r>
        <w:rPr>
          <w:rFonts w:hint="eastAsia" w:ascii="仿宋_GB2312" w:hAnsi="Calibri" w:eastAsia="仿宋_GB2312"/>
          <w:snapToGrid w:val="0"/>
          <w:kern w:val="0"/>
          <w:szCs w:val="32"/>
        </w:rPr>
        <w:t>按要求对该起事故责任追究和整改措施落实情况进行了评估，现将有关情况报告如下：</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一、评估工作组织及开展情况</w:t>
      </w: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eastAsia="zh-CN"/>
        </w:rPr>
        <w:t>评估小组</w:t>
      </w:r>
      <w:r>
        <w:rPr>
          <w:rFonts w:hint="eastAsia" w:ascii="仿宋_GB2312" w:hAnsi="Calibri" w:eastAsia="仿宋_GB2312"/>
          <w:snapToGrid w:val="0"/>
          <w:kern w:val="0"/>
          <w:szCs w:val="32"/>
        </w:rPr>
        <w:t>以《事故调查报告》为依据，按照“四不放过”和科学严谨、依法依规、实事求是、注重实效的原则，制定了工作方案，</w:t>
      </w:r>
      <w:r>
        <w:rPr>
          <w:rFonts w:hint="eastAsia" w:ascii="仿宋_GB2312" w:hAnsi="Calibri" w:eastAsia="仿宋_GB2312"/>
          <w:snapToGrid w:val="0"/>
          <w:kern w:val="0"/>
          <w:szCs w:val="32"/>
          <w:lang w:val="en-US" w:eastAsia="zh-CN"/>
        </w:rPr>
        <w:t>确定了以事故</w:t>
      </w:r>
      <w:r>
        <w:rPr>
          <w:rFonts w:hint="eastAsia" w:ascii="仿宋_GB2312" w:hAnsi="Calibri" w:eastAsia="仿宋_GB2312"/>
          <w:snapToGrid w:val="0"/>
          <w:kern w:val="0"/>
          <w:szCs w:val="32"/>
        </w:rPr>
        <w:t>责任追究及整改措施</w:t>
      </w:r>
      <w:r>
        <w:rPr>
          <w:rFonts w:hint="eastAsia" w:ascii="仿宋_GB2312" w:hAnsi="Calibri" w:eastAsia="仿宋_GB2312"/>
          <w:snapToGrid w:val="0"/>
          <w:kern w:val="0"/>
          <w:szCs w:val="32"/>
          <w:lang w:val="en-US" w:eastAsia="zh-CN"/>
        </w:rPr>
        <w:t>落实为重点的</w:t>
      </w:r>
      <w:r>
        <w:rPr>
          <w:rFonts w:hint="eastAsia" w:ascii="仿宋_GB2312" w:hAnsi="Calibri" w:eastAsia="仿宋_GB2312"/>
          <w:snapToGrid w:val="0"/>
          <w:kern w:val="0"/>
          <w:szCs w:val="32"/>
        </w:rPr>
        <w:t>评估</w:t>
      </w:r>
      <w:r>
        <w:rPr>
          <w:rFonts w:hint="eastAsia" w:ascii="仿宋_GB2312" w:hAnsi="Calibri" w:eastAsia="仿宋_GB2312"/>
          <w:snapToGrid w:val="0"/>
          <w:kern w:val="0"/>
          <w:szCs w:val="32"/>
          <w:lang w:val="en-US" w:eastAsia="zh-CN"/>
        </w:rPr>
        <w:t>资料</w:t>
      </w:r>
      <w:r>
        <w:rPr>
          <w:rFonts w:hint="eastAsia" w:ascii="仿宋_GB2312" w:hAnsi="Calibri" w:eastAsia="仿宋_GB2312"/>
          <w:snapToGrid w:val="0"/>
          <w:kern w:val="0"/>
          <w:szCs w:val="32"/>
        </w:rPr>
        <w:t>清单。</w:t>
      </w:r>
      <w:r>
        <w:rPr>
          <w:rFonts w:hint="eastAsia" w:ascii="仿宋_GB2312" w:hAnsi="Calibri" w:eastAsia="仿宋_GB2312"/>
          <w:snapToGrid w:val="0"/>
          <w:kern w:val="0"/>
          <w:szCs w:val="32"/>
          <w:lang w:eastAsia="zh-CN"/>
        </w:rPr>
        <w:t>评估小组</w:t>
      </w:r>
      <w:r>
        <w:rPr>
          <w:rFonts w:hint="eastAsia" w:ascii="仿宋_GB2312" w:hAnsi="Calibri" w:eastAsia="仿宋_GB2312"/>
          <w:snapToGrid w:val="0"/>
          <w:kern w:val="0"/>
          <w:szCs w:val="32"/>
        </w:rPr>
        <w:t>听取了事故责任单位事故发生后的工作情况汇报，查看了安全生产责任制</w:t>
      </w:r>
      <w:r>
        <w:rPr>
          <w:rFonts w:hint="eastAsia" w:ascii="仿宋_GB2312" w:hAnsi="Calibri" w:eastAsia="仿宋_GB2312"/>
          <w:snapToGrid w:val="0"/>
          <w:kern w:val="0"/>
          <w:szCs w:val="32"/>
          <w:lang w:eastAsia="zh-CN"/>
        </w:rPr>
        <w:t>等</w:t>
      </w:r>
      <w:r>
        <w:rPr>
          <w:rFonts w:hint="eastAsia" w:ascii="仿宋_GB2312" w:hAnsi="Calibri" w:eastAsia="仿宋_GB2312"/>
          <w:snapToGrid w:val="0"/>
          <w:kern w:val="0"/>
          <w:szCs w:val="32"/>
        </w:rPr>
        <w:t>规章制度</w:t>
      </w:r>
      <w:r>
        <w:rPr>
          <w:rFonts w:hint="eastAsia" w:ascii="仿宋_GB2312" w:hAnsi="Calibri" w:eastAsia="仿宋_GB2312"/>
          <w:snapToGrid w:val="0"/>
          <w:kern w:val="0"/>
          <w:szCs w:val="32"/>
          <w:lang w:val="en-US" w:eastAsia="zh-CN"/>
        </w:rPr>
        <w:t>的建设情况</w:t>
      </w:r>
      <w:r>
        <w:rPr>
          <w:rFonts w:hint="eastAsia" w:ascii="仿宋_GB2312" w:hAnsi="Calibri" w:eastAsia="仿宋_GB2312"/>
          <w:snapToGrid w:val="0"/>
          <w:kern w:val="0"/>
          <w:szCs w:val="32"/>
        </w:rPr>
        <w:t>，向相关人员了解</w:t>
      </w:r>
      <w:r>
        <w:rPr>
          <w:rFonts w:hint="eastAsia" w:ascii="仿宋_GB2312" w:hAnsi="Calibri" w:eastAsia="仿宋_GB2312"/>
          <w:snapToGrid w:val="0"/>
          <w:kern w:val="0"/>
          <w:szCs w:val="32"/>
          <w:lang w:val="en-US" w:eastAsia="zh-CN"/>
        </w:rPr>
        <w:t>本起</w:t>
      </w:r>
      <w:r>
        <w:rPr>
          <w:rFonts w:hint="eastAsia" w:ascii="仿宋_GB2312" w:hAnsi="Calibri" w:eastAsia="仿宋_GB2312"/>
          <w:snapToGrid w:val="0"/>
          <w:kern w:val="0"/>
          <w:szCs w:val="32"/>
        </w:rPr>
        <w:t>事故</w:t>
      </w:r>
      <w:r>
        <w:rPr>
          <w:rFonts w:hint="eastAsia" w:ascii="仿宋_GB2312" w:hAnsi="Calibri" w:eastAsia="仿宋_GB2312"/>
          <w:snapToGrid w:val="0"/>
          <w:kern w:val="0"/>
          <w:szCs w:val="32"/>
          <w:lang w:val="en-US" w:eastAsia="zh-CN"/>
        </w:rPr>
        <w:t>处理措施落实情况、事故教训吸取和对策</w:t>
      </w:r>
      <w:r>
        <w:rPr>
          <w:rFonts w:hint="eastAsia" w:ascii="仿宋_GB2312" w:hAnsi="Calibri" w:eastAsia="仿宋_GB2312"/>
          <w:snapToGrid w:val="0"/>
          <w:kern w:val="0"/>
          <w:szCs w:val="32"/>
        </w:rPr>
        <w:t>措施</w:t>
      </w:r>
      <w:r>
        <w:rPr>
          <w:rFonts w:hint="eastAsia" w:ascii="仿宋_GB2312" w:hAnsi="Calibri" w:eastAsia="仿宋_GB2312"/>
          <w:snapToGrid w:val="0"/>
          <w:kern w:val="0"/>
          <w:szCs w:val="32"/>
          <w:lang w:val="en-US" w:eastAsia="zh-CN"/>
        </w:rPr>
        <w:t>的落实</w:t>
      </w:r>
      <w:r>
        <w:rPr>
          <w:rFonts w:hint="eastAsia" w:ascii="仿宋_GB2312" w:hAnsi="Calibri" w:eastAsia="仿宋_GB2312"/>
          <w:snapToGrid w:val="0"/>
          <w:kern w:val="0"/>
          <w:szCs w:val="32"/>
        </w:rPr>
        <w:t>情况，收集了相关资料，完成了评估工作。</w:t>
      </w: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rPr>
        <w:t>总体看，事故责任单位基本能按《事故调查报告》的要求，落实</w:t>
      </w:r>
      <w:r>
        <w:rPr>
          <w:rFonts w:hint="eastAsia" w:ascii="仿宋_GB2312" w:hAnsi="Calibri" w:eastAsia="仿宋_GB2312"/>
          <w:snapToGrid w:val="0"/>
          <w:kern w:val="0"/>
          <w:szCs w:val="32"/>
          <w:lang w:val="en-US" w:eastAsia="zh-CN"/>
        </w:rPr>
        <w:t>处理意见</w:t>
      </w:r>
      <w:r>
        <w:rPr>
          <w:rFonts w:hint="eastAsia" w:ascii="仿宋_GB2312" w:hAnsi="Calibri" w:eastAsia="仿宋_GB2312"/>
          <w:snapToGrid w:val="0"/>
          <w:kern w:val="0"/>
          <w:szCs w:val="32"/>
        </w:rPr>
        <w:t>与防范措施</w:t>
      </w:r>
      <w:r>
        <w:rPr>
          <w:rFonts w:hint="eastAsia" w:ascii="仿宋_GB2312" w:hAnsi="Calibri" w:eastAsia="仿宋_GB2312"/>
          <w:snapToGrid w:val="0"/>
          <w:kern w:val="0"/>
          <w:szCs w:val="32"/>
          <w:lang w:val="en-US" w:eastAsia="zh-CN"/>
        </w:rPr>
        <w:t>要求</w:t>
      </w:r>
      <w:r>
        <w:rPr>
          <w:rFonts w:hint="eastAsia" w:ascii="仿宋_GB2312" w:hAnsi="Calibri" w:eastAsia="仿宋_GB2312"/>
          <w:snapToGrid w:val="0"/>
          <w:kern w:val="0"/>
          <w:szCs w:val="32"/>
        </w:rPr>
        <w:t>，在事故</w:t>
      </w:r>
      <w:r>
        <w:rPr>
          <w:rFonts w:hint="eastAsia" w:ascii="仿宋_GB2312" w:hAnsi="Calibri" w:eastAsia="仿宋_GB2312"/>
          <w:snapToGrid w:val="0"/>
          <w:kern w:val="0"/>
          <w:szCs w:val="32"/>
          <w:lang w:eastAsia="zh-CN"/>
        </w:rPr>
        <w:t>责任</w:t>
      </w:r>
      <w:r>
        <w:rPr>
          <w:rFonts w:hint="eastAsia" w:ascii="仿宋_GB2312" w:hAnsi="Calibri" w:eastAsia="仿宋_GB2312"/>
          <w:snapToGrid w:val="0"/>
          <w:kern w:val="0"/>
          <w:szCs w:val="32"/>
        </w:rPr>
        <w:t>追究与教训吸取、安全生产主体责任和整改措施落实等方面</w:t>
      </w:r>
      <w:r>
        <w:rPr>
          <w:rFonts w:hint="eastAsia" w:ascii="仿宋_GB2312" w:hAnsi="Calibri" w:eastAsia="仿宋_GB2312"/>
          <w:snapToGrid w:val="0"/>
          <w:kern w:val="0"/>
          <w:szCs w:val="32"/>
          <w:lang w:val="en-US" w:eastAsia="zh-CN"/>
        </w:rPr>
        <w:t>情况</w:t>
      </w:r>
      <w:r>
        <w:rPr>
          <w:rFonts w:hint="eastAsia" w:ascii="仿宋_GB2312" w:hAnsi="Calibri" w:eastAsia="仿宋_GB2312"/>
          <w:snapToGrid w:val="0"/>
          <w:kern w:val="0"/>
          <w:szCs w:val="32"/>
        </w:rPr>
        <w:t>较好</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有效地</w:t>
      </w:r>
      <w:r>
        <w:rPr>
          <w:rFonts w:hint="eastAsia" w:ascii="仿宋_GB2312" w:hAnsi="Calibri" w:eastAsia="仿宋_GB2312"/>
          <w:snapToGrid w:val="0"/>
          <w:kern w:val="0"/>
          <w:szCs w:val="32"/>
          <w:lang w:val="en-US" w:eastAsia="zh-CN"/>
        </w:rPr>
        <w:t>防止</w:t>
      </w:r>
      <w:r>
        <w:rPr>
          <w:rFonts w:hint="eastAsia" w:ascii="仿宋_GB2312" w:hAnsi="Calibri" w:eastAsia="仿宋_GB2312"/>
          <w:snapToGrid w:val="0"/>
          <w:kern w:val="0"/>
          <w:szCs w:val="32"/>
        </w:rPr>
        <w:t>了事故的再发生。</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spacing w:line="620" w:lineRule="exact"/>
        <w:ind w:firstLine="640" w:firstLineChars="200"/>
        <w:jc w:val="left"/>
        <w:rPr>
          <w:rFonts w:hint="default" w:ascii="仿宋_GB2312" w:hAnsi="Calibri" w:eastAsia="仿宋_GB2312"/>
          <w:snapToGrid w:val="0"/>
          <w:color w:val="auto"/>
          <w:kern w:val="0"/>
          <w:szCs w:val="32"/>
          <w:lang w:val="en-US" w:eastAsia="zh-CN"/>
        </w:rPr>
      </w:pPr>
      <w:r>
        <w:rPr>
          <w:rFonts w:hint="eastAsia" w:ascii="仿宋_GB2312" w:hAnsi="Calibri" w:eastAsia="仿宋_GB2312"/>
          <w:snapToGrid w:val="0"/>
          <w:color w:val="auto"/>
          <w:kern w:val="0"/>
          <w:szCs w:val="32"/>
        </w:rPr>
        <w:t>20</w:t>
      </w:r>
      <w:r>
        <w:rPr>
          <w:rFonts w:hint="eastAsia" w:ascii="仿宋_GB2312" w:hAnsi="Calibri" w:eastAsia="仿宋_GB2312"/>
          <w:snapToGrid w:val="0"/>
          <w:color w:val="auto"/>
          <w:kern w:val="0"/>
          <w:szCs w:val="32"/>
          <w:lang w:val="en-US" w:eastAsia="zh-CN"/>
        </w:rPr>
        <w:t>22</w:t>
      </w:r>
      <w:r>
        <w:rPr>
          <w:rFonts w:hint="eastAsia" w:ascii="仿宋_GB2312" w:hAnsi="Calibri" w:eastAsia="仿宋_GB2312"/>
          <w:snapToGrid w:val="0"/>
          <w:color w:val="auto"/>
          <w:kern w:val="0"/>
          <w:szCs w:val="32"/>
        </w:rPr>
        <w:t>年</w:t>
      </w:r>
      <w:r>
        <w:rPr>
          <w:rFonts w:hint="eastAsia" w:ascii="仿宋_GB2312" w:hAnsi="Calibri" w:eastAsia="仿宋_GB2312"/>
          <w:snapToGrid w:val="0"/>
          <w:color w:val="auto"/>
          <w:kern w:val="0"/>
          <w:szCs w:val="32"/>
          <w:lang w:val="en-US" w:eastAsia="zh-CN"/>
        </w:rPr>
        <w:t>3</w:t>
      </w:r>
      <w:r>
        <w:rPr>
          <w:rFonts w:hint="eastAsia" w:ascii="仿宋_GB2312" w:hAnsi="Calibri" w:eastAsia="仿宋_GB2312"/>
          <w:snapToGrid w:val="0"/>
          <w:color w:val="auto"/>
          <w:kern w:val="0"/>
          <w:szCs w:val="32"/>
        </w:rPr>
        <w:t>月</w:t>
      </w:r>
      <w:r>
        <w:rPr>
          <w:rFonts w:hint="eastAsia" w:ascii="仿宋_GB2312" w:hAnsi="Calibri" w:eastAsia="仿宋_GB2312"/>
          <w:snapToGrid w:val="0"/>
          <w:color w:val="auto"/>
          <w:kern w:val="0"/>
          <w:szCs w:val="32"/>
          <w:lang w:val="en-US" w:eastAsia="zh-CN"/>
        </w:rPr>
        <w:t>16</w:t>
      </w:r>
      <w:r>
        <w:rPr>
          <w:rFonts w:hint="eastAsia" w:ascii="仿宋_GB2312" w:hAnsi="Calibri" w:eastAsia="仿宋_GB2312"/>
          <w:snapToGrid w:val="0"/>
          <w:color w:val="auto"/>
          <w:kern w:val="0"/>
          <w:szCs w:val="32"/>
        </w:rPr>
        <w:t>日，上海市长宁区</w:t>
      </w:r>
      <w:r>
        <w:rPr>
          <w:rFonts w:hint="eastAsia" w:ascii="仿宋_GB2312" w:hAnsi="Calibri" w:eastAsia="仿宋_GB2312"/>
          <w:snapToGrid w:val="0"/>
          <w:color w:val="auto"/>
          <w:kern w:val="0"/>
          <w:szCs w:val="32"/>
          <w:lang w:val="en-US" w:eastAsia="zh-CN"/>
        </w:rPr>
        <w:t>应急</w:t>
      </w:r>
      <w:r>
        <w:rPr>
          <w:rFonts w:hint="eastAsia" w:ascii="仿宋_GB2312" w:hAnsi="Calibri" w:eastAsia="仿宋_GB2312"/>
          <w:snapToGrid w:val="0"/>
          <w:color w:val="auto"/>
          <w:kern w:val="0"/>
          <w:szCs w:val="32"/>
        </w:rPr>
        <w:t>局对事故主要责任方上海龙之梦购物中心管理有限公司下达了“行政处罚决定书”</w:t>
      </w:r>
      <w:r>
        <w:rPr>
          <w:rFonts w:hint="eastAsia" w:ascii="微软雅黑" w:hAnsi="微软雅黑" w:eastAsia="微软雅黑"/>
          <w:snapToGrid w:val="0"/>
          <w:color w:val="auto"/>
          <w:kern w:val="0"/>
          <w:szCs w:val="32"/>
        </w:rPr>
        <w:t>【</w:t>
      </w:r>
      <w:r>
        <w:rPr>
          <w:rFonts w:hint="eastAsia" w:ascii="仿宋_GB2312" w:hAnsi="Calibri" w:eastAsia="仿宋_GB2312"/>
          <w:snapToGrid w:val="0"/>
          <w:color w:val="auto"/>
          <w:kern w:val="0"/>
          <w:szCs w:val="32"/>
        </w:rPr>
        <w:t>（长）</w:t>
      </w:r>
      <w:r>
        <w:rPr>
          <w:rFonts w:hint="eastAsia" w:ascii="仿宋_GB2312" w:hAnsi="Calibri" w:eastAsia="仿宋_GB2312"/>
          <w:snapToGrid w:val="0"/>
          <w:color w:val="auto"/>
          <w:kern w:val="0"/>
          <w:szCs w:val="32"/>
          <w:lang w:val="en-US" w:eastAsia="zh-CN"/>
        </w:rPr>
        <w:t>应急</w:t>
      </w:r>
      <w:r>
        <w:rPr>
          <w:rFonts w:hint="eastAsia" w:ascii="仿宋_GB2312" w:hAnsi="Calibri" w:eastAsia="仿宋_GB2312"/>
          <w:snapToGrid w:val="0"/>
          <w:color w:val="auto"/>
          <w:kern w:val="0"/>
          <w:szCs w:val="32"/>
        </w:rPr>
        <w:t>罚</w:t>
      </w:r>
      <w:r>
        <w:rPr>
          <w:rFonts w:hint="eastAsia" w:ascii="仿宋" w:hAnsi="仿宋" w:eastAsia="仿宋"/>
          <w:snapToGrid w:val="0"/>
          <w:color w:val="auto"/>
          <w:kern w:val="0"/>
          <w:szCs w:val="32"/>
        </w:rPr>
        <w:t>〔</w:t>
      </w:r>
      <w:r>
        <w:rPr>
          <w:rFonts w:hint="eastAsia" w:ascii="仿宋_GB2312" w:hAnsi="Calibri" w:eastAsia="仿宋_GB2312"/>
          <w:snapToGrid w:val="0"/>
          <w:color w:val="auto"/>
          <w:kern w:val="0"/>
          <w:szCs w:val="32"/>
        </w:rPr>
        <w:t>20</w:t>
      </w:r>
      <w:r>
        <w:rPr>
          <w:rFonts w:hint="eastAsia" w:ascii="仿宋_GB2312" w:hAnsi="Calibri" w:eastAsia="仿宋_GB2312"/>
          <w:snapToGrid w:val="0"/>
          <w:color w:val="auto"/>
          <w:kern w:val="0"/>
          <w:szCs w:val="32"/>
          <w:lang w:val="en-US" w:eastAsia="zh-CN"/>
        </w:rPr>
        <w:t>22</w:t>
      </w:r>
      <w:r>
        <w:rPr>
          <w:rFonts w:hint="eastAsia" w:ascii="仿宋" w:hAnsi="仿宋" w:eastAsia="仿宋"/>
          <w:snapToGrid w:val="0"/>
          <w:color w:val="auto"/>
          <w:kern w:val="0"/>
          <w:szCs w:val="32"/>
        </w:rPr>
        <w:t>〕</w:t>
      </w:r>
      <w:r>
        <w:rPr>
          <w:rFonts w:hint="eastAsia" w:ascii="仿宋_GB2312" w:hAnsi="Calibri" w:eastAsia="仿宋_GB2312"/>
          <w:snapToGrid w:val="0"/>
          <w:color w:val="auto"/>
          <w:kern w:val="0"/>
          <w:szCs w:val="32"/>
          <w:lang w:val="en-US" w:eastAsia="zh-CN"/>
        </w:rPr>
        <w:t>2120220001</w:t>
      </w:r>
      <w:r>
        <w:rPr>
          <w:rFonts w:hint="eastAsia" w:ascii="仿宋_GB2312" w:hAnsi="Calibri" w:eastAsia="仿宋_GB2312"/>
          <w:snapToGrid w:val="0"/>
          <w:color w:val="auto"/>
          <w:kern w:val="0"/>
          <w:szCs w:val="32"/>
        </w:rPr>
        <w:t>号</w:t>
      </w:r>
      <w:r>
        <w:rPr>
          <w:rFonts w:hint="eastAsia" w:ascii="微软雅黑" w:hAnsi="微软雅黑" w:eastAsia="微软雅黑"/>
          <w:snapToGrid w:val="0"/>
          <w:color w:val="auto"/>
          <w:kern w:val="0"/>
          <w:szCs w:val="32"/>
        </w:rPr>
        <w:t>】</w:t>
      </w:r>
      <w:r>
        <w:rPr>
          <w:rFonts w:hint="eastAsia" w:ascii="仿宋_GB2312" w:hAnsi="Calibri" w:eastAsia="仿宋_GB2312"/>
          <w:snapToGrid w:val="0"/>
          <w:color w:val="auto"/>
          <w:kern w:val="0"/>
          <w:szCs w:val="32"/>
        </w:rPr>
        <w:t>，对该</w:t>
      </w:r>
      <w:r>
        <w:rPr>
          <w:rFonts w:hint="eastAsia" w:ascii="仿宋_GB2312" w:hAnsi="Calibri" w:eastAsia="仿宋_GB2312"/>
          <w:snapToGrid w:val="0"/>
          <w:color w:val="auto"/>
          <w:kern w:val="0"/>
          <w:szCs w:val="32"/>
          <w:lang w:val="en-US" w:eastAsia="zh-CN"/>
        </w:rPr>
        <w:t>单位</w:t>
      </w:r>
      <w:r>
        <w:rPr>
          <w:rFonts w:hint="eastAsia" w:ascii="仿宋_GB2312" w:hAnsi="Calibri" w:eastAsia="仿宋_GB2312"/>
          <w:snapToGrid w:val="0"/>
          <w:color w:val="auto"/>
          <w:kern w:val="0"/>
          <w:szCs w:val="32"/>
        </w:rPr>
        <w:t>给予</w:t>
      </w:r>
      <w:r>
        <w:rPr>
          <w:rFonts w:hint="eastAsia" w:ascii="仿宋_GB2312" w:hAnsi="Calibri" w:eastAsia="仿宋_GB2312"/>
          <w:snapToGrid w:val="0"/>
          <w:color w:val="auto"/>
          <w:kern w:val="0"/>
          <w:szCs w:val="32"/>
          <w:lang w:val="en-US" w:eastAsia="zh-CN"/>
        </w:rPr>
        <w:t>60</w:t>
      </w:r>
      <w:r>
        <w:rPr>
          <w:rFonts w:hint="eastAsia" w:ascii="仿宋_GB2312" w:hAnsi="Calibri" w:eastAsia="仿宋_GB2312"/>
          <w:snapToGrid w:val="0"/>
          <w:color w:val="auto"/>
          <w:kern w:val="0"/>
          <w:szCs w:val="32"/>
        </w:rPr>
        <w:t>万元的行政处罚，罚没款执行到位</w:t>
      </w:r>
      <w:r>
        <w:rPr>
          <w:rFonts w:hint="eastAsia" w:ascii="仿宋_GB2312" w:hAnsi="Calibri" w:eastAsia="仿宋_GB2312"/>
          <w:snapToGrid w:val="0"/>
          <w:color w:val="auto"/>
          <w:kern w:val="0"/>
          <w:szCs w:val="32"/>
          <w:lang w:val="en-US" w:eastAsia="zh-CN"/>
        </w:rPr>
        <w:t>；</w:t>
      </w:r>
      <w:r>
        <w:rPr>
          <w:rFonts w:hint="eastAsia" w:ascii="仿宋_GB2312" w:hAnsi="Calibri" w:eastAsia="仿宋_GB2312"/>
          <w:snapToGrid w:val="0"/>
          <w:color w:val="auto"/>
          <w:kern w:val="0"/>
          <w:szCs w:val="32"/>
        </w:rPr>
        <w:t>给予上海龙之梦购物中心管理有限公司</w:t>
      </w:r>
      <w:r>
        <w:rPr>
          <w:rFonts w:hint="eastAsia" w:ascii="仿宋_GB2312" w:hAnsi="Calibri" w:eastAsia="仿宋_GB2312"/>
          <w:snapToGrid w:val="0"/>
          <w:color w:val="auto"/>
          <w:kern w:val="0"/>
          <w:szCs w:val="32"/>
          <w:lang w:val="en-US" w:eastAsia="zh-CN"/>
        </w:rPr>
        <w:t>总经理丁忠云</w:t>
      </w:r>
      <w:r>
        <w:rPr>
          <w:rFonts w:hint="eastAsia" w:ascii="仿宋_GB2312" w:hAnsi="Calibri" w:eastAsia="仿宋_GB2312"/>
          <w:snapToGrid w:val="0"/>
          <w:color w:val="auto"/>
          <w:kern w:val="0"/>
          <w:szCs w:val="32"/>
        </w:rPr>
        <w:t>罚款</w:t>
      </w:r>
      <w:r>
        <w:rPr>
          <w:rFonts w:hint="eastAsia" w:ascii="仿宋_GB2312" w:hAnsi="Calibri" w:eastAsia="仿宋_GB2312"/>
          <w:snapToGrid w:val="0"/>
          <w:color w:val="auto"/>
          <w:kern w:val="0"/>
          <w:szCs w:val="32"/>
          <w:lang w:val="en-US" w:eastAsia="zh-CN"/>
        </w:rPr>
        <w:t>104</w:t>
      </w:r>
      <w:r>
        <w:rPr>
          <w:rFonts w:hint="eastAsia" w:ascii="仿宋_GB2312" w:hAnsi="Calibri" w:eastAsia="仿宋_GB2312"/>
          <w:snapToGrid w:val="0"/>
          <w:color w:val="auto"/>
          <w:kern w:val="0"/>
          <w:szCs w:val="32"/>
        </w:rPr>
        <w:t>000元，罚没款执行到位。</w:t>
      </w:r>
      <w:r>
        <w:rPr>
          <w:rFonts w:hint="eastAsia" w:ascii="仿宋_GB2312" w:hAnsi="Calibri" w:eastAsia="仿宋_GB2312"/>
          <w:snapToGrid w:val="0"/>
          <w:color w:val="auto"/>
          <w:kern w:val="0"/>
          <w:szCs w:val="32"/>
          <w:highlight w:val="none"/>
        </w:rPr>
        <w:t>内部给予</w:t>
      </w:r>
      <w:r>
        <w:rPr>
          <w:rFonts w:hint="eastAsia" w:ascii="仿宋_GB2312" w:hAnsi="Calibri" w:eastAsia="仿宋_GB2312"/>
          <w:snapToGrid w:val="0"/>
          <w:color w:val="auto"/>
          <w:kern w:val="0"/>
          <w:szCs w:val="32"/>
          <w:highlight w:val="none"/>
          <w:lang w:val="en-US" w:eastAsia="zh-CN"/>
        </w:rPr>
        <w:t>事故死者直属领导工程部副总监童玉华10</w:t>
      </w:r>
      <w:r>
        <w:rPr>
          <w:rFonts w:hint="eastAsia" w:ascii="仿宋_GB2312" w:hAnsi="Calibri" w:eastAsia="仿宋_GB2312"/>
          <w:snapToGrid w:val="0"/>
          <w:color w:val="auto"/>
          <w:kern w:val="0"/>
          <w:szCs w:val="32"/>
          <w:highlight w:val="none"/>
        </w:rPr>
        <w:t>000元罚款</w:t>
      </w:r>
      <w:r>
        <w:rPr>
          <w:rFonts w:hint="eastAsia" w:ascii="仿宋_GB2312" w:hAnsi="Calibri" w:eastAsia="仿宋_GB2312"/>
          <w:snapToGrid w:val="0"/>
          <w:color w:val="auto"/>
          <w:kern w:val="0"/>
          <w:szCs w:val="32"/>
          <w:highlight w:val="none"/>
          <w:lang w:val="en-US" w:eastAsia="zh-CN"/>
        </w:rPr>
        <w:t>和</w:t>
      </w:r>
      <w:r>
        <w:rPr>
          <w:rFonts w:hint="eastAsia" w:ascii="仿宋_GB2312" w:hAnsi="Calibri" w:eastAsia="仿宋_GB2312"/>
          <w:snapToGrid w:val="0"/>
          <w:color w:val="auto"/>
          <w:kern w:val="0"/>
          <w:szCs w:val="32"/>
          <w:lang w:val="en-US" w:eastAsia="zh-CN"/>
        </w:rPr>
        <w:t>从副总监级别降为经理级别的处理</w:t>
      </w:r>
      <w:r>
        <w:rPr>
          <w:rFonts w:hint="eastAsia" w:ascii="仿宋_GB2312" w:hAnsi="Calibri" w:eastAsia="仿宋_GB2312"/>
          <w:snapToGrid w:val="0"/>
          <w:color w:val="auto"/>
          <w:kern w:val="0"/>
          <w:szCs w:val="32"/>
        </w:rPr>
        <w:t>。</w:t>
      </w:r>
      <w:r>
        <w:rPr>
          <w:rFonts w:hint="eastAsia" w:ascii="仿宋_GB2312" w:hAnsi="Calibri" w:eastAsia="仿宋_GB2312"/>
          <w:snapToGrid w:val="0"/>
          <w:color w:val="auto"/>
          <w:kern w:val="0"/>
          <w:szCs w:val="32"/>
          <w:lang w:val="en-US" w:eastAsia="zh-CN"/>
        </w:rPr>
        <w:t>对相关单位和人员的行政处罚符合本次</w:t>
      </w:r>
      <w:r>
        <w:rPr>
          <w:rFonts w:hint="eastAsia" w:ascii="仿宋_GB2312" w:hAnsi="Calibri" w:eastAsia="仿宋_GB2312"/>
          <w:snapToGrid w:val="0"/>
          <w:color w:val="auto"/>
          <w:kern w:val="0"/>
          <w:szCs w:val="32"/>
        </w:rPr>
        <w:t>《事故调查报告》</w:t>
      </w:r>
      <w:r>
        <w:rPr>
          <w:rFonts w:hint="eastAsia" w:ascii="仿宋_GB2312" w:hAnsi="Calibri" w:eastAsia="仿宋_GB2312"/>
          <w:snapToGrid w:val="0"/>
          <w:color w:val="auto"/>
          <w:kern w:val="0"/>
          <w:szCs w:val="32"/>
          <w:lang w:val="en-US" w:eastAsia="zh-CN"/>
        </w:rPr>
        <w:t>的要求。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三、事故防范和整改措施落实情况</w:t>
      </w:r>
    </w:p>
    <w:p>
      <w:pPr>
        <w:spacing w:line="620" w:lineRule="exact"/>
        <w:ind w:firstLine="640" w:firstLineChars="200"/>
        <w:jc w:val="left"/>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eastAsia="zh-CN"/>
        </w:rPr>
        <w:t>评估小组</w:t>
      </w:r>
      <w:r>
        <w:rPr>
          <w:rFonts w:hint="eastAsia" w:ascii="仿宋_GB2312" w:hAnsi="Calibri" w:eastAsia="仿宋_GB2312"/>
          <w:snapToGrid w:val="0"/>
          <w:kern w:val="0"/>
          <w:szCs w:val="32"/>
        </w:rPr>
        <w:t>通过资料审查，人员问询、现场</w:t>
      </w:r>
      <w:r>
        <w:rPr>
          <w:rFonts w:hint="eastAsia" w:ascii="仿宋_GB2312" w:hAnsi="Calibri" w:eastAsia="仿宋_GB2312"/>
          <w:snapToGrid w:val="0"/>
          <w:kern w:val="0"/>
          <w:szCs w:val="32"/>
          <w:lang w:val="en-US" w:eastAsia="zh-CN"/>
        </w:rPr>
        <w:t>走访与</w:t>
      </w:r>
      <w:r>
        <w:rPr>
          <w:rFonts w:hint="eastAsia" w:ascii="仿宋_GB2312" w:hAnsi="Calibri" w:eastAsia="仿宋_GB2312"/>
          <w:snapToGrid w:val="0"/>
          <w:kern w:val="0"/>
          <w:szCs w:val="32"/>
        </w:rPr>
        <w:t>核查等形式，对事故责任单位事故处理</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事故后</w:t>
      </w:r>
      <w:r>
        <w:rPr>
          <w:rFonts w:hint="eastAsia" w:ascii="仿宋_GB2312" w:hAnsi="Calibri" w:eastAsia="仿宋_GB2312"/>
          <w:snapToGrid w:val="0"/>
          <w:kern w:val="0"/>
          <w:szCs w:val="32"/>
          <w:lang w:val="en-US" w:eastAsia="zh-CN"/>
        </w:rPr>
        <w:t>续</w:t>
      </w:r>
      <w:r>
        <w:rPr>
          <w:rFonts w:hint="eastAsia" w:ascii="仿宋_GB2312" w:hAnsi="Calibri" w:eastAsia="仿宋_GB2312"/>
          <w:snapToGrid w:val="0"/>
          <w:kern w:val="0"/>
          <w:szCs w:val="32"/>
        </w:rPr>
        <w:t>整改措施落实</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事故预防长效机制等</w:t>
      </w:r>
      <w:r>
        <w:rPr>
          <w:rFonts w:hint="eastAsia" w:ascii="仿宋_GB2312" w:hAnsi="Calibri" w:eastAsia="仿宋_GB2312"/>
          <w:snapToGrid w:val="0"/>
          <w:kern w:val="0"/>
          <w:szCs w:val="32"/>
        </w:rPr>
        <w:t>情况进行了针对性检查评估</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结果如下</w:t>
      </w: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val="en-US" w:eastAsia="zh-CN"/>
        </w:rPr>
        <w:t>事故责任单位</w:t>
      </w:r>
      <w:r>
        <w:rPr>
          <w:rFonts w:hint="eastAsia" w:ascii="仿宋_GB2312" w:hAnsi="Calibri" w:eastAsia="仿宋_GB2312"/>
          <w:snapToGrid w:val="0"/>
          <w:kern w:val="0"/>
          <w:szCs w:val="32"/>
        </w:rPr>
        <w:t>基本能按照“四不放过”原则，查明原因，落实整改措施，排查现场安全隐患，堵塞安全生产漏洞，处理相关事故责任人员，吸取事故教训，进行</w:t>
      </w:r>
      <w:r>
        <w:rPr>
          <w:rFonts w:hint="eastAsia" w:ascii="仿宋_GB2312" w:hAnsi="Calibri" w:eastAsia="仿宋_GB2312"/>
          <w:snapToGrid w:val="0"/>
          <w:kern w:val="0"/>
          <w:szCs w:val="32"/>
          <w:lang w:val="en-US" w:eastAsia="zh-CN"/>
        </w:rPr>
        <w:t>从业人员、相关方（租户、服务外包方）</w:t>
      </w:r>
      <w:r>
        <w:rPr>
          <w:rFonts w:hint="eastAsia" w:ascii="仿宋_GB2312" w:hAnsi="Calibri" w:eastAsia="仿宋_GB2312"/>
          <w:snapToGrid w:val="0"/>
          <w:kern w:val="0"/>
          <w:szCs w:val="32"/>
        </w:rPr>
        <w:t>人员事故警示教育和培训，并从以下几个方面建立事故防范与整改措施落实长效机制：</w:t>
      </w:r>
    </w:p>
    <w:p>
      <w:pPr>
        <w:numPr>
          <w:ilvl w:val="0"/>
          <w:numId w:val="1"/>
        </w:numPr>
        <w:spacing w:line="620" w:lineRule="exact"/>
        <w:ind w:firstLine="640" w:firstLineChars="200"/>
        <w:jc w:val="left"/>
        <w:rPr>
          <w:rFonts w:hint="eastAsia" w:ascii="仿宋_GB2312" w:hAnsi="Calibri" w:eastAsia="仿宋_GB2312"/>
          <w:snapToGrid w:val="0"/>
          <w:kern w:val="0"/>
          <w:szCs w:val="32"/>
          <w:lang w:val="en-US" w:eastAsia="zh-CN"/>
        </w:rPr>
      </w:pPr>
      <w:r>
        <w:rPr>
          <w:rFonts w:hint="eastAsia" w:ascii="仿宋_GB2312" w:hAnsi="Calibri" w:eastAsia="仿宋_GB2312"/>
          <w:snapToGrid w:val="0"/>
          <w:color w:val="auto"/>
          <w:kern w:val="0"/>
          <w:szCs w:val="32"/>
          <w:highlight w:val="none"/>
          <w:lang w:val="en-US" w:eastAsia="zh-CN"/>
        </w:rPr>
        <w:t>进一步完善了</w:t>
      </w:r>
      <w:bookmarkStart w:id="0" w:name="_GoBack"/>
      <w:bookmarkEnd w:id="0"/>
      <w:r>
        <w:rPr>
          <w:rFonts w:hint="eastAsia" w:ascii="仿宋_GB2312" w:hAnsi="Calibri" w:eastAsia="仿宋_GB2312"/>
          <w:snapToGrid w:val="0"/>
          <w:color w:val="auto"/>
          <w:kern w:val="0"/>
          <w:szCs w:val="32"/>
          <w:highlight w:val="none"/>
          <w:lang w:val="en-US" w:eastAsia="zh-CN"/>
        </w:rPr>
        <w:t>安全生产制度体系</w:t>
      </w:r>
      <w:r>
        <w:rPr>
          <w:rFonts w:hint="eastAsia" w:ascii="仿宋_GB2312" w:hAnsi="Calibri" w:eastAsia="仿宋_GB2312"/>
          <w:snapToGrid w:val="0"/>
          <w:color w:val="auto"/>
          <w:kern w:val="0"/>
          <w:szCs w:val="32"/>
          <w:highlight w:val="none"/>
        </w:rPr>
        <w:t>。</w:t>
      </w:r>
      <w:r>
        <w:rPr>
          <w:rFonts w:ascii="仿宋_GB2312" w:hAnsi="Calibri" w:eastAsia="仿宋_GB2312"/>
          <w:snapToGrid w:val="0"/>
          <w:kern w:val="0"/>
          <w:szCs w:val="32"/>
        </w:rPr>
        <w:t>建立</w:t>
      </w:r>
      <w:r>
        <w:rPr>
          <w:rFonts w:hint="eastAsia" w:ascii="仿宋_GB2312" w:hAnsi="Calibri" w:eastAsia="仿宋_GB2312"/>
          <w:snapToGrid w:val="0"/>
          <w:kern w:val="0"/>
          <w:szCs w:val="32"/>
        </w:rPr>
        <w:t>了较为</w:t>
      </w:r>
      <w:r>
        <w:rPr>
          <w:rFonts w:ascii="仿宋_GB2312" w:hAnsi="Calibri" w:eastAsia="仿宋_GB2312"/>
          <w:snapToGrid w:val="0"/>
          <w:kern w:val="0"/>
          <w:szCs w:val="32"/>
        </w:rPr>
        <w:t>健全</w:t>
      </w:r>
      <w:r>
        <w:rPr>
          <w:rFonts w:hint="eastAsia" w:ascii="仿宋_GB2312" w:hAnsi="Calibri" w:eastAsia="仿宋_GB2312"/>
          <w:snapToGrid w:val="0"/>
          <w:kern w:val="0"/>
          <w:szCs w:val="32"/>
        </w:rPr>
        <w:t>的</w:t>
      </w:r>
      <w:r>
        <w:rPr>
          <w:rFonts w:ascii="仿宋_GB2312" w:hAnsi="Calibri" w:eastAsia="仿宋_GB2312"/>
          <w:snapToGrid w:val="0"/>
          <w:kern w:val="0"/>
          <w:szCs w:val="32"/>
        </w:rPr>
        <w:t>安全安全管理规章制度</w:t>
      </w:r>
      <w:r>
        <w:rPr>
          <w:rFonts w:hint="eastAsia" w:ascii="仿宋_GB2312" w:hAnsi="Calibri" w:eastAsia="仿宋_GB2312"/>
          <w:snapToGrid w:val="0"/>
          <w:kern w:val="0"/>
          <w:szCs w:val="32"/>
          <w:lang w:val="en-US" w:eastAsia="zh-CN"/>
        </w:rPr>
        <w:t>和安全操作规程制度体系</w:t>
      </w:r>
      <w:r>
        <w:rPr>
          <w:rFonts w:hint="eastAsia" w:ascii="仿宋_GB2312" w:hAnsi="Calibri" w:eastAsia="仿宋_GB2312"/>
          <w:snapToGrid w:val="0"/>
          <w:kern w:val="0"/>
          <w:szCs w:val="32"/>
        </w:rPr>
        <w:t>，</w:t>
      </w:r>
      <w:r>
        <w:rPr>
          <w:rFonts w:hint="eastAsia" w:ascii="仿宋_GB2312" w:hAnsi="Calibri" w:eastAsia="仿宋_GB2312"/>
          <w:snapToGrid w:val="0"/>
          <w:kern w:val="0"/>
          <w:szCs w:val="32"/>
          <w:lang w:val="en-US" w:eastAsia="zh-CN"/>
        </w:rPr>
        <w:t>包括风险评估与控制管理制度、安全检查及隐患排查治理制度、作业安全管理制度、安全教育培训制度等，具体见制度规程清单。</w:t>
      </w:r>
    </w:p>
    <w:p>
      <w:pPr>
        <w:numPr>
          <w:ilvl w:val="0"/>
          <w:numId w:val="1"/>
        </w:num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val="en-US" w:eastAsia="zh-CN"/>
        </w:rPr>
        <w:t>建立了单位安全生产管理组织架构、配备了安全管理人员</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特种作业人员持证上岗，特别是招聘了注册安全工程师加入本单位的安全管理团队，持证人员包括：安全负责人、安全生产管理人员、注册安全工程师、注册消防工程师、消防管理员、高低压电工、锅炉操作等</w:t>
      </w:r>
      <w:r>
        <w:rPr>
          <w:rFonts w:hint="eastAsia" w:ascii="仿宋_GB2312" w:hAnsi="Calibri" w:eastAsia="仿宋_GB2312"/>
          <w:snapToGrid w:val="0"/>
          <w:kern w:val="0"/>
          <w:szCs w:val="32"/>
        </w:rPr>
        <w:t>。</w:t>
      </w:r>
    </w:p>
    <w:p>
      <w:pPr>
        <w:numPr>
          <w:ilvl w:val="0"/>
          <w:numId w:val="1"/>
        </w:num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val="en-US" w:eastAsia="zh-CN"/>
        </w:rPr>
        <w:t>建立了安全生产双预防体系，编制了“安全风险分级管控方案”，比较全面的识别了单位安全风险，并确定了单位的重点风险点，编制了有重点安全风险源清单及风险管理“四色图”。落实了隐患排查制度，编制了年度隐患排查方案，安全检查和隐患排查记录、台账，以及相关的问题整改资料。</w:t>
      </w:r>
    </w:p>
    <w:p>
      <w:pPr>
        <w:spacing w:line="620" w:lineRule="exact"/>
        <w:ind w:firstLine="640" w:firstLineChars="200"/>
        <w:jc w:val="left"/>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4</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落实安全教育培训、危险作业审批管理制度</w:t>
      </w:r>
      <w:r>
        <w:rPr>
          <w:rFonts w:hint="eastAsia" w:ascii="仿宋_GB2312" w:hAnsi="Calibri" w:eastAsia="仿宋_GB2312"/>
          <w:snapToGrid w:val="0"/>
          <w:kern w:val="0"/>
          <w:szCs w:val="32"/>
        </w:rPr>
        <w:t>。</w:t>
      </w:r>
      <w:r>
        <w:rPr>
          <w:rFonts w:hint="eastAsia" w:ascii="仿宋_GB2312" w:hAnsi="Calibri" w:eastAsia="仿宋_GB2312"/>
          <w:snapToGrid w:val="0"/>
          <w:kern w:val="0"/>
          <w:szCs w:val="32"/>
          <w:lang w:val="en-US" w:eastAsia="zh-CN"/>
        </w:rPr>
        <w:t>对从业人员进行入职三级安全教育、</w:t>
      </w:r>
      <w:r>
        <w:rPr>
          <w:rFonts w:hint="eastAsia" w:ascii="仿宋_GB2312" w:hAnsi="Calibri" w:eastAsia="仿宋_GB2312"/>
          <w:snapToGrid w:val="0"/>
          <w:kern w:val="0"/>
          <w:szCs w:val="32"/>
        </w:rPr>
        <w:t>事故警示教育</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安全</w:t>
      </w:r>
      <w:r>
        <w:rPr>
          <w:rFonts w:hint="eastAsia" w:ascii="仿宋_GB2312" w:hAnsi="Calibri" w:eastAsia="仿宋_GB2312"/>
          <w:snapToGrid w:val="0"/>
          <w:kern w:val="0"/>
          <w:szCs w:val="32"/>
          <w:lang w:val="en-US" w:eastAsia="zh-CN"/>
        </w:rPr>
        <w:t>持续再</w:t>
      </w:r>
      <w:r>
        <w:rPr>
          <w:rFonts w:hint="eastAsia" w:ascii="仿宋_GB2312" w:hAnsi="Calibri" w:eastAsia="仿宋_GB2312"/>
          <w:snapToGrid w:val="0"/>
          <w:kern w:val="0"/>
          <w:szCs w:val="32"/>
        </w:rPr>
        <w:t>教育，</w:t>
      </w:r>
      <w:r>
        <w:rPr>
          <w:rFonts w:hint="eastAsia" w:ascii="仿宋_GB2312" w:hAnsi="Calibri" w:eastAsia="仿宋_GB2312"/>
          <w:snapToGrid w:val="0"/>
          <w:kern w:val="0"/>
          <w:szCs w:val="32"/>
          <w:lang w:val="en-US" w:eastAsia="zh-CN"/>
        </w:rPr>
        <w:t>规范了危险作业审批许可程序</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查见了相关培训台账资料和危险作业审批许可手续。</w:t>
      </w:r>
    </w:p>
    <w:p>
      <w:pPr>
        <w:spacing w:line="620" w:lineRule="exact"/>
        <w:ind w:firstLine="640" w:firstLineChars="200"/>
        <w:jc w:val="left"/>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5、组织开展应急演练，包括火灾疏散演练、电梯困人事故演练、防台防汛演练、燃气泄漏事故演练等，查见了相关演练方案、演练报告、照片和签到记录。</w:t>
      </w:r>
    </w:p>
    <w:p>
      <w:pPr>
        <w:spacing w:line="620" w:lineRule="exact"/>
        <w:ind w:firstLine="640" w:firstLineChars="200"/>
        <w:jc w:val="left"/>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6、强化相关方的安全监管。严格入驻商户、服务外包方资格准入审查、加强商户和服务外包单位的安全监管。查见相关方安全协议、相关方参与应急演练记录，以及对相关方日常安全监督检查记录等。</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四、存在问题及措施建议</w:t>
      </w: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eastAsia="zh-CN"/>
        </w:rPr>
        <w:t>（一）评估小组</w:t>
      </w:r>
      <w:r>
        <w:rPr>
          <w:rFonts w:hint="eastAsia" w:ascii="仿宋_GB2312" w:hAnsi="Calibri" w:eastAsia="仿宋_GB2312"/>
          <w:snapToGrid w:val="0"/>
          <w:kern w:val="0"/>
          <w:szCs w:val="32"/>
        </w:rPr>
        <w:t>通过评估</w:t>
      </w:r>
      <w:r>
        <w:rPr>
          <w:rFonts w:hint="eastAsia" w:ascii="仿宋_GB2312" w:hAnsi="Calibri" w:eastAsia="仿宋_GB2312"/>
          <w:snapToGrid w:val="0"/>
          <w:kern w:val="0"/>
          <w:szCs w:val="32"/>
          <w:lang w:val="en-US" w:eastAsia="zh-CN"/>
        </w:rPr>
        <w:t>认为</w:t>
      </w:r>
      <w:r>
        <w:rPr>
          <w:rFonts w:hint="eastAsia" w:ascii="仿宋_GB2312" w:hAnsi="Calibri" w:eastAsia="仿宋_GB2312"/>
          <w:snapToGrid w:val="0"/>
          <w:kern w:val="0"/>
          <w:szCs w:val="32"/>
        </w:rPr>
        <w:t>，事故责任单位在事故整改与措施落实方面仍存在如下不足：</w:t>
      </w:r>
    </w:p>
    <w:p>
      <w:pPr>
        <w:spacing w:line="620" w:lineRule="exact"/>
        <w:ind w:firstLine="640" w:firstLineChars="200"/>
        <w:jc w:val="left"/>
        <w:rPr>
          <w:rFonts w:hint="eastAsia" w:ascii="仿宋_GB2312" w:hAnsi="Calibri" w:eastAsia="仿宋_GB2312"/>
          <w:snapToGrid w:val="0"/>
          <w:kern w:val="0"/>
          <w:szCs w:val="32"/>
          <w:lang w:val="en-US" w:eastAsia="zh-CN"/>
        </w:rPr>
      </w:pPr>
      <w:r>
        <w:rPr>
          <w:rFonts w:hint="eastAsia" w:ascii="仿宋_GB2312" w:hAnsi="Calibri" w:eastAsia="仿宋_GB2312"/>
          <w:snapToGrid w:val="0"/>
          <w:kern w:val="0"/>
          <w:szCs w:val="32"/>
        </w:rPr>
        <w:t>1</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事故责任单位安全生产主体责任</w:t>
      </w:r>
      <w:r>
        <w:rPr>
          <w:rFonts w:hint="eastAsia" w:ascii="仿宋_GB2312" w:hAnsi="Calibri" w:eastAsia="仿宋_GB2312"/>
          <w:snapToGrid w:val="0"/>
          <w:kern w:val="0"/>
          <w:szCs w:val="32"/>
          <w:lang w:val="en-US" w:eastAsia="zh-CN"/>
        </w:rPr>
        <w:t>落实方面</w:t>
      </w:r>
      <w:r>
        <w:rPr>
          <w:rFonts w:hint="eastAsia" w:ascii="仿宋_GB2312" w:hAnsi="Calibri" w:eastAsia="仿宋_GB2312"/>
          <w:snapToGrid w:val="0"/>
          <w:kern w:val="0"/>
          <w:szCs w:val="32"/>
        </w:rPr>
        <w:t>仍</w:t>
      </w:r>
      <w:r>
        <w:rPr>
          <w:rFonts w:hint="eastAsia" w:ascii="仿宋_GB2312" w:hAnsi="Calibri" w:eastAsia="仿宋_GB2312"/>
          <w:snapToGrid w:val="0"/>
          <w:kern w:val="0"/>
          <w:szCs w:val="32"/>
          <w:lang w:val="en-US" w:eastAsia="zh-CN"/>
        </w:rPr>
        <w:t>有不足</w:t>
      </w:r>
      <w:r>
        <w:rPr>
          <w:rFonts w:hint="eastAsia" w:ascii="仿宋_GB2312" w:hAnsi="Calibri" w:eastAsia="仿宋_GB2312"/>
          <w:snapToGrid w:val="0"/>
          <w:kern w:val="0"/>
          <w:szCs w:val="32"/>
        </w:rPr>
        <w:t>，</w:t>
      </w:r>
      <w:r>
        <w:rPr>
          <w:rFonts w:hint="eastAsia" w:ascii="仿宋_GB2312" w:hAnsi="Calibri" w:eastAsia="仿宋_GB2312"/>
          <w:snapToGrid w:val="0"/>
          <w:kern w:val="0"/>
          <w:szCs w:val="32"/>
          <w:lang w:val="en-US" w:eastAsia="zh-CN"/>
        </w:rPr>
        <w:t>主要</w:t>
      </w:r>
      <w:r>
        <w:rPr>
          <w:rFonts w:hint="eastAsia" w:ascii="仿宋_GB2312" w:hAnsi="Calibri" w:eastAsia="仿宋_GB2312"/>
          <w:snapToGrid w:val="0"/>
          <w:kern w:val="0"/>
          <w:szCs w:val="32"/>
        </w:rPr>
        <w:t>负责人</w:t>
      </w:r>
      <w:r>
        <w:rPr>
          <w:rFonts w:hint="eastAsia" w:ascii="仿宋_GB2312" w:hAnsi="Calibri" w:eastAsia="仿宋_GB2312"/>
          <w:snapToGrid w:val="0"/>
          <w:kern w:val="0"/>
          <w:szCs w:val="32"/>
          <w:lang w:val="en-US" w:eastAsia="zh-CN"/>
        </w:rPr>
        <w:t>参与单位安全检查和隐患排查的力度还不够。</w:t>
      </w:r>
    </w:p>
    <w:p>
      <w:pPr>
        <w:spacing w:line="620" w:lineRule="exact"/>
        <w:ind w:firstLine="640" w:firstLineChars="200"/>
        <w:jc w:val="left"/>
        <w:rPr>
          <w:rFonts w:hint="eastAsia" w:ascii="仿宋_GB2312" w:hAnsi="Calibri" w:eastAsia="仿宋_GB2312"/>
          <w:snapToGrid w:val="0"/>
          <w:kern w:val="0"/>
          <w:szCs w:val="32"/>
        </w:rPr>
      </w:pPr>
      <w:r>
        <w:rPr>
          <w:rFonts w:hint="eastAsia" w:ascii="仿宋_GB2312" w:hAnsi="Calibri" w:eastAsia="仿宋_GB2312"/>
          <w:snapToGrid w:val="0"/>
          <w:kern w:val="0"/>
          <w:szCs w:val="32"/>
          <w:lang w:val="en-US" w:eastAsia="zh-CN"/>
        </w:rPr>
        <w:t>2、安全</w:t>
      </w:r>
      <w:r>
        <w:rPr>
          <w:rFonts w:hint="eastAsia" w:ascii="仿宋_GB2312" w:hAnsi="Calibri" w:eastAsia="仿宋_GB2312"/>
          <w:snapToGrid w:val="0"/>
          <w:kern w:val="0"/>
          <w:szCs w:val="32"/>
        </w:rPr>
        <w:t>管理人员和检查人员</w:t>
      </w:r>
      <w:r>
        <w:rPr>
          <w:rFonts w:hint="eastAsia" w:ascii="仿宋_GB2312" w:hAnsi="Calibri" w:eastAsia="仿宋_GB2312"/>
          <w:snapToGrid w:val="0"/>
          <w:kern w:val="0"/>
          <w:szCs w:val="32"/>
          <w:lang w:val="en-US" w:eastAsia="zh-CN"/>
        </w:rPr>
        <w:t>现场隐患的排查</w:t>
      </w:r>
      <w:r>
        <w:rPr>
          <w:rFonts w:hint="eastAsia" w:ascii="仿宋_GB2312" w:hAnsi="Calibri" w:eastAsia="仿宋_GB2312"/>
          <w:snapToGrid w:val="0"/>
          <w:kern w:val="0"/>
          <w:szCs w:val="32"/>
        </w:rPr>
        <w:t>能力仍</w:t>
      </w:r>
      <w:r>
        <w:rPr>
          <w:rFonts w:hint="eastAsia" w:ascii="仿宋_GB2312" w:hAnsi="Calibri" w:eastAsia="仿宋_GB2312"/>
          <w:snapToGrid w:val="0"/>
          <w:kern w:val="0"/>
          <w:szCs w:val="32"/>
          <w:lang w:val="en-US" w:eastAsia="zh-CN"/>
        </w:rPr>
        <w:t>有待提升，如现场仍有未排查出的隐患</w:t>
      </w:r>
      <w:r>
        <w:rPr>
          <w:rFonts w:hint="eastAsia" w:ascii="仿宋_GB2312" w:hAnsi="Calibri" w:eastAsia="仿宋_GB2312"/>
          <w:snapToGrid w:val="0"/>
          <w:kern w:val="0"/>
          <w:szCs w:val="32"/>
        </w:rPr>
        <w:t>。</w:t>
      </w:r>
    </w:p>
    <w:p>
      <w:pPr>
        <w:spacing w:line="620" w:lineRule="exact"/>
        <w:ind w:firstLine="640" w:firstLineChars="200"/>
        <w:jc w:val="left"/>
        <w:rPr>
          <w:rFonts w:hint="eastAsia" w:ascii="仿宋_GB2312" w:hAnsi="Calibri" w:eastAsia="仿宋_GB2312"/>
          <w:snapToGrid w:val="0"/>
          <w:kern w:val="0"/>
          <w:szCs w:val="32"/>
          <w:lang w:eastAsia="zh-CN"/>
        </w:rPr>
      </w:pPr>
      <w:r>
        <w:rPr>
          <w:rFonts w:hint="eastAsia" w:ascii="仿宋_GB2312" w:hAnsi="Calibri" w:eastAsia="仿宋_GB2312"/>
          <w:snapToGrid w:val="0"/>
          <w:kern w:val="0"/>
          <w:szCs w:val="32"/>
          <w:lang w:val="en-US" w:eastAsia="zh-CN"/>
        </w:rPr>
        <w:t>3</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安全生产制度体系</w:t>
      </w:r>
      <w:r>
        <w:rPr>
          <w:rFonts w:hint="eastAsia" w:ascii="仿宋_GB2312" w:hAnsi="Calibri" w:eastAsia="仿宋_GB2312"/>
          <w:snapToGrid w:val="0"/>
          <w:kern w:val="0"/>
          <w:szCs w:val="32"/>
          <w:lang w:val="en-US" w:eastAsia="zh-CN"/>
        </w:rPr>
        <w:t>还有待完善</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全员</w:t>
      </w:r>
      <w:r>
        <w:rPr>
          <w:rFonts w:hint="eastAsia" w:ascii="仿宋_GB2312" w:hAnsi="Calibri" w:eastAsia="仿宋_GB2312"/>
          <w:snapToGrid w:val="0"/>
          <w:kern w:val="0"/>
          <w:szCs w:val="32"/>
        </w:rPr>
        <w:t>安全生产责任</w:t>
      </w:r>
      <w:r>
        <w:rPr>
          <w:rFonts w:hint="eastAsia" w:ascii="仿宋_GB2312" w:hAnsi="Calibri" w:eastAsia="仿宋_GB2312"/>
          <w:snapToGrid w:val="0"/>
          <w:kern w:val="0"/>
          <w:szCs w:val="32"/>
          <w:lang w:val="en-US" w:eastAsia="zh-CN"/>
        </w:rPr>
        <w:t>制还需要补充修订</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安全生产管理</w:t>
      </w:r>
      <w:r>
        <w:rPr>
          <w:rFonts w:hint="eastAsia" w:ascii="仿宋_GB2312" w:hAnsi="Calibri" w:eastAsia="仿宋_GB2312"/>
          <w:snapToGrid w:val="0"/>
          <w:kern w:val="0"/>
          <w:szCs w:val="32"/>
        </w:rPr>
        <w:t>制度</w:t>
      </w:r>
      <w:r>
        <w:rPr>
          <w:rFonts w:hint="eastAsia" w:ascii="仿宋_GB2312" w:hAnsi="Calibri" w:eastAsia="仿宋_GB2312"/>
          <w:snapToGrid w:val="0"/>
          <w:kern w:val="0"/>
          <w:szCs w:val="32"/>
          <w:lang w:val="en-US" w:eastAsia="zh-CN"/>
        </w:rPr>
        <w:t>与安全生产作业规程的落地与</w:t>
      </w:r>
      <w:r>
        <w:rPr>
          <w:rFonts w:hint="eastAsia" w:ascii="仿宋_GB2312" w:hAnsi="Calibri" w:eastAsia="仿宋_GB2312"/>
          <w:snapToGrid w:val="0"/>
          <w:kern w:val="0"/>
          <w:szCs w:val="32"/>
        </w:rPr>
        <w:t>实施</w:t>
      </w:r>
      <w:r>
        <w:rPr>
          <w:rFonts w:hint="eastAsia" w:ascii="仿宋_GB2312" w:hAnsi="Calibri" w:eastAsia="仿宋_GB2312"/>
          <w:snapToGrid w:val="0"/>
          <w:kern w:val="0"/>
          <w:szCs w:val="32"/>
          <w:lang w:val="en-US" w:eastAsia="zh-CN"/>
        </w:rPr>
        <w:t>还需要加强</w:t>
      </w:r>
      <w:r>
        <w:rPr>
          <w:rFonts w:hint="eastAsia" w:ascii="仿宋_GB2312" w:hAnsi="Calibri" w:eastAsia="仿宋_GB2312"/>
          <w:snapToGrid w:val="0"/>
          <w:kern w:val="0"/>
          <w:szCs w:val="32"/>
          <w:lang w:eastAsia="zh-CN"/>
        </w:rPr>
        <w:t>。</w:t>
      </w:r>
    </w:p>
    <w:p>
      <w:pPr>
        <w:spacing w:line="620" w:lineRule="exact"/>
        <w:ind w:firstLine="640" w:firstLineChars="200"/>
        <w:jc w:val="left"/>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4</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对商户和服务外包方的监管仍需加强</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现场仍存在相关方登高作业不规范现象。</w:t>
      </w: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eastAsia="zh-CN"/>
        </w:rPr>
        <w:t>（二）评估小组</w:t>
      </w:r>
      <w:r>
        <w:rPr>
          <w:rFonts w:hint="eastAsia" w:ascii="仿宋_GB2312" w:hAnsi="Calibri" w:eastAsia="仿宋_GB2312"/>
          <w:snapToGrid w:val="0"/>
          <w:kern w:val="0"/>
          <w:szCs w:val="32"/>
        </w:rPr>
        <w:t>就以上不足，提出如下改进建议：</w:t>
      </w:r>
    </w:p>
    <w:p>
      <w:pPr>
        <w:spacing w:line="620" w:lineRule="exact"/>
        <w:ind w:firstLine="640" w:firstLineChars="200"/>
        <w:jc w:val="left"/>
        <w:rPr>
          <w:rFonts w:hint="eastAsia" w:ascii="仿宋_GB2312" w:hAnsi="Calibri" w:eastAsia="仿宋_GB2312"/>
          <w:snapToGrid w:val="0"/>
          <w:kern w:val="0"/>
          <w:szCs w:val="32"/>
          <w:lang w:eastAsia="zh-CN"/>
        </w:rPr>
      </w:pPr>
      <w:r>
        <w:rPr>
          <w:rFonts w:hint="eastAsia" w:ascii="仿宋_GB2312" w:hAnsi="Calibri" w:eastAsia="仿宋_GB2312"/>
          <w:snapToGrid w:val="0"/>
          <w:kern w:val="0"/>
          <w:szCs w:val="32"/>
        </w:rPr>
        <w:t>1</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进一步压实</w:t>
      </w:r>
      <w:r>
        <w:rPr>
          <w:rFonts w:hint="eastAsia" w:ascii="仿宋_GB2312" w:hAnsi="Calibri" w:eastAsia="仿宋_GB2312"/>
          <w:snapToGrid w:val="0"/>
          <w:kern w:val="0"/>
          <w:szCs w:val="32"/>
          <w:lang w:val="en-US" w:eastAsia="zh-CN"/>
        </w:rPr>
        <w:t>单位</w:t>
      </w:r>
      <w:r>
        <w:rPr>
          <w:rFonts w:hint="eastAsia" w:ascii="仿宋_GB2312" w:hAnsi="Calibri" w:eastAsia="仿宋_GB2312"/>
          <w:snapToGrid w:val="0"/>
          <w:kern w:val="0"/>
          <w:szCs w:val="32"/>
        </w:rPr>
        <w:t>安全生产主体责任，</w:t>
      </w:r>
      <w:r>
        <w:rPr>
          <w:rFonts w:hint="eastAsia" w:ascii="仿宋_GB2312" w:hAnsi="Calibri" w:eastAsia="仿宋_GB2312"/>
          <w:snapToGrid w:val="0"/>
          <w:kern w:val="0"/>
          <w:szCs w:val="32"/>
          <w:lang w:val="en-US" w:eastAsia="zh-CN"/>
        </w:rPr>
        <w:t>完善全员安全生产责任体系</w:t>
      </w:r>
      <w:r>
        <w:rPr>
          <w:rFonts w:hint="eastAsia" w:ascii="仿宋_GB2312" w:hAnsi="Calibri" w:eastAsia="仿宋_GB2312"/>
          <w:snapToGrid w:val="0"/>
          <w:kern w:val="0"/>
          <w:szCs w:val="32"/>
        </w:rPr>
        <w:t>，</w:t>
      </w:r>
      <w:r>
        <w:rPr>
          <w:rFonts w:hint="eastAsia" w:ascii="仿宋_GB2312" w:hAnsi="Calibri" w:eastAsia="仿宋_GB2312"/>
          <w:snapToGrid w:val="0"/>
          <w:kern w:val="0"/>
          <w:szCs w:val="32"/>
          <w:lang w:val="en-US" w:eastAsia="zh-CN"/>
        </w:rPr>
        <w:t>健全安全生产规章制度和安全作业规程</w:t>
      </w:r>
      <w:r>
        <w:rPr>
          <w:rFonts w:hint="eastAsia" w:ascii="仿宋_GB2312" w:hAnsi="Calibri" w:eastAsia="仿宋_GB2312"/>
          <w:snapToGrid w:val="0"/>
          <w:kern w:val="0"/>
          <w:szCs w:val="32"/>
          <w:lang w:eastAsia="zh-CN"/>
        </w:rPr>
        <w:t>。</w:t>
      </w:r>
    </w:p>
    <w:p>
      <w:pPr>
        <w:spacing w:line="620" w:lineRule="exact"/>
        <w:ind w:firstLine="640" w:firstLineChars="200"/>
        <w:jc w:val="left"/>
        <w:rPr>
          <w:rFonts w:hint="eastAsia" w:ascii="仿宋_GB2312" w:hAnsi="Calibri" w:eastAsia="仿宋_GB2312"/>
          <w:snapToGrid w:val="0"/>
          <w:kern w:val="0"/>
          <w:szCs w:val="32"/>
          <w:lang w:eastAsia="zh-CN"/>
        </w:rPr>
      </w:pPr>
      <w:r>
        <w:rPr>
          <w:rFonts w:hint="eastAsia" w:ascii="仿宋_GB2312" w:hAnsi="Calibri" w:eastAsia="仿宋_GB2312"/>
          <w:snapToGrid w:val="0"/>
          <w:kern w:val="0"/>
          <w:szCs w:val="32"/>
        </w:rPr>
        <w:t>2</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强化对安全管理</w:t>
      </w:r>
      <w:r>
        <w:rPr>
          <w:rFonts w:hint="eastAsia" w:ascii="仿宋_GB2312" w:hAnsi="Calibri" w:eastAsia="仿宋_GB2312"/>
          <w:snapToGrid w:val="0"/>
          <w:kern w:val="0"/>
          <w:szCs w:val="32"/>
          <w:lang w:val="en-US" w:eastAsia="zh-CN"/>
        </w:rPr>
        <w:t>人员</w:t>
      </w:r>
      <w:r>
        <w:rPr>
          <w:rFonts w:hint="eastAsia" w:ascii="仿宋_GB2312" w:hAnsi="Calibri" w:eastAsia="仿宋_GB2312"/>
          <w:snapToGrid w:val="0"/>
          <w:kern w:val="0"/>
          <w:szCs w:val="32"/>
        </w:rPr>
        <w:t>和安全检查人员能力的培养，以提升</w:t>
      </w:r>
      <w:r>
        <w:rPr>
          <w:rFonts w:hint="eastAsia" w:ascii="仿宋_GB2312" w:hAnsi="Calibri" w:eastAsia="仿宋_GB2312"/>
          <w:snapToGrid w:val="0"/>
          <w:kern w:val="0"/>
          <w:szCs w:val="32"/>
          <w:lang w:val="en-US" w:eastAsia="zh-CN"/>
        </w:rPr>
        <w:t>他们尽职履职</w:t>
      </w:r>
      <w:r>
        <w:rPr>
          <w:rFonts w:hint="eastAsia" w:ascii="仿宋_GB2312" w:hAnsi="Calibri" w:eastAsia="仿宋_GB2312"/>
          <w:snapToGrid w:val="0"/>
          <w:kern w:val="0"/>
          <w:szCs w:val="32"/>
        </w:rPr>
        <w:t>能力，从源头上管控风险，消除事故隐患</w:t>
      </w:r>
      <w:r>
        <w:rPr>
          <w:rFonts w:hint="eastAsia" w:ascii="仿宋_GB2312" w:hAnsi="Calibri" w:eastAsia="仿宋_GB2312"/>
          <w:snapToGrid w:val="0"/>
          <w:kern w:val="0"/>
          <w:szCs w:val="32"/>
          <w:lang w:eastAsia="zh-CN"/>
        </w:rPr>
        <w:t>。</w:t>
      </w:r>
    </w:p>
    <w:p>
      <w:pPr>
        <w:spacing w:line="620" w:lineRule="exact"/>
        <w:ind w:firstLine="640" w:firstLineChars="200"/>
        <w:jc w:val="left"/>
        <w:rPr>
          <w:rFonts w:hint="eastAsia" w:ascii="仿宋_GB2312" w:hAnsi="Calibri" w:eastAsia="仿宋_GB2312"/>
          <w:snapToGrid w:val="0"/>
          <w:kern w:val="0"/>
          <w:szCs w:val="32"/>
        </w:rPr>
      </w:pPr>
      <w:r>
        <w:rPr>
          <w:rFonts w:hint="eastAsia" w:ascii="仿宋_GB2312" w:hAnsi="Calibri" w:eastAsia="仿宋_GB2312"/>
          <w:snapToGrid w:val="0"/>
          <w:kern w:val="0"/>
          <w:szCs w:val="32"/>
          <w:lang w:val="en-US" w:eastAsia="zh-CN"/>
        </w:rPr>
        <w:t>3、加大现场隐患排查与安全检查力度，特别是要加强商户和服务外包单位的</w:t>
      </w:r>
      <w:r>
        <w:rPr>
          <w:rFonts w:hint="eastAsia" w:ascii="仿宋_GB2312" w:hAnsi="Calibri" w:eastAsia="仿宋_GB2312"/>
          <w:snapToGrid w:val="0"/>
          <w:kern w:val="0"/>
          <w:szCs w:val="32"/>
        </w:rPr>
        <w:t>登高</w:t>
      </w:r>
      <w:r>
        <w:rPr>
          <w:rFonts w:hint="eastAsia" w:ascii="仿宋_GB2312" w:hAnsi="Calibri" w:eastAsia="仿宋_GB2312"/>
          <w:snapToGrid w:val="0"/>
          <w:kern w:val="0"/>
          <w:szCs w:val="32"/>
          <w:lang w:val="en-US" w:eastAsia="zh-CN"/>
        </w:rPr>
        <w:t>作业</w:t>
      </w:r>
      <w:r>
        <w:rPr>
          <w:rFonts w:hint="eastAsia" w:ascii="仿宋_GB2312" w:hAnsi="Calibri" w:eastAsia="仿宋_GB2312"/>
          <w:snapToGrid w:val="0"/>
          <w:kern w:val="0"/>
          <w:szCs w:val="32"/>
        </w:rPr>
        <w:t>、受限空间</w:t>
      </w:r>
      <w:r>
        <w:rPr>
          <w:rFonts w:hint="eastAsia" w:ascii="仿宋_GB2312" w:hAnsi="Calibri" w:eastAsia="仿宋_GB2312"/>
          <w:snapToGrid w:val="0"/>
          <w:kern w:val="0"/>
          <w:szCs w:val="32"/>
          <w:lang w:val="en-US" w:eastAsia="zh-CN"/>
        </w:rPr>
        <w:t>作业</w:t>
      </w:r>
      <w:r>
        <w:rPr>
          <w:rFonts w:hint="eastAsia" w:ascii="仿宋_GB2312" w:hAnsi="Calibri" w:eastAsia="仿宋_GB2312"/>
          <w:snapToGrid w:val="0"/>
          <w:kern w:val="0"/>
          <w:szCs w:val="32"/>
        </w:rPr>
        <w:t>、动火</w:t>
      </w:r>
      <w:r>
        <w:rPr>
          <w:rFonts w:hint="eastAsia" w:ascii="仿宋_GB2312" w:hAnsi="Calibri" w:eastAsia="仿宋_GB2312"/>
          <w:snapToGrid w:val="0"/>
          <w:kern w:val="0"/>
          <w:szCs w:val="32"/>
          <w:lang w:val="en-US" w:eastAsia="zh-CN"/>
        </w:rPr>
        <w:t>作业</w:t>
      </w:r>
      <w:r>
        <w:rPr>
          <w:rFonts w:hint="eastAsia" w:ascii="仿宋_GB2312" w:hAnsi="Calibri" w:eastAsia="仿宋_GB2312"/>
          <w:snapToGrid w:val="0"/>
          <w:kern w:val="0"/>
          <w:szCs w:val="32"/>
        </w:rPr>
        <w:t>等</w:t>
      </w:r>
      <w:r>
        <w:rPr>
          <w:rFonts w:hint="eastAsia" w:ascii="仿宋_GB2312" w:hAnsi="Calibri" w:eastAsia="仿宋_GB2312"/>
          <w:snapToGrid w:val="0"/>
          <w:kern w:val="0"/>
          <w:szCs w:val="32"/>
          <w:lang w:val="en-US" w:eastAsia="zh-CN"/>
        </w:rPr>
        <w:t>的现场监督与</w:t>
      </w:r>
      <w:r>
        <w:rPr>
          <w:rFonts w:hint="eastAsia" w:ascii="仿宋_GB2312" w:hAnsi="Calibri" w:eastAsia="仿宋_GB2312"/>
          <w:snapToGrid w:val="0"/>
          <w:kern w:val="0"/>
          <w:szCs w:val="32"/>
        </w:rPr>
        <w:t>管理</w:t>
      </w:r>
      <w:r>
        <w:rPr>
          <w:rFonts w:hint="eastAsia" w:ascii="仿宋_GB2312" w:hAnsi="Calibri" w:eastAsia="仿宋_GB2312"/>
          <w:snapToGrid w:val="0"/>
          <w:kern w:val="0"/>
          <w:szCs w:val="32"/>
          <w:lang w:eastAsia="zh-CN"/>
        </w:rPr>
        <w:t>，确保按危险作业要求操作</w:t>
      </w:r>
      <w:r>
        <w:rPr>
          <w:rFonts w:hint="eastAsia" w:ascii="仿宋_GB2312" w:hAnsi="Calibri" w:eastAsia="仿宋_GB2312"/>
          <w:snapToGrid w:val="0"/>
          <w:kern w:val="0"/>
          <w:szCs w:val="32"/>
        </w:rPr>
        <w:t>。</w:t>
      </w:r>
    </w:p>
    <w:p>
      <w:pPr>
        <w:spacing w:line="620" w:lineRule="exact"/>
        <w:ind w:firstLine="640" w:firstLineChars="200"/>
        <w:jc w:val="left"/>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4、日常安全管理建议重点关注综合体内的消防安全、特种设备运行安全（特别是中庭区的自动扶梯）、燃气安全、中庭区高楼层防护栏安全等，加大上述高风险点巡查检查力度，积极落实问题整改，保留检查与整改记录台账。</w:t>
      </w:r>
    </w:p>
    <w:p>
      <w:pPr>
        <w:spacing w:line="620" w:lineRule="exact"/>
        <w:ind w:firstLine="640" w:firstLineChars="200"/>
        <w:jc w:val="left"/>
        <w:rPr>
          <w:rFonts w:hint="eastAsia"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4、加强综合体内的应急演练，特别是火灾疏散演练，要增加演练频次、尽量覆盖到全员。</w:t>
      </w:r>
    </w:p>
    <w:p>
      <w:pPr>
        <w:spacing w:line="620" w:lineRule="exact"/>
        <w:ind w:firstLine="640" w:firstLineChars="200"/>
        <w:jc w:val="left"/>
        <w:rPr>
          <w:rFonts w:hint="default" w:ascii="仿宋_GB2312" w:hAnsi="Calibri" w:eastAsia="仿宋_GB2312"/>
          <w:snapToGrid w:val="0"/>
          <w:kern w:val="0"/>
          <w:szCs w:val="32"/>
          <w:lang w:val="en-US" w:eastAsia="zh-CN"/>
        </w:rPr>
      </w:pPr>
      <w:r>
        <w:rPr>
          <w:rFonts w:hint="eastAsia" w:ascii="仿宋_GB2312" w:hAnsi="Calibri" w:eastAsia="仿宋_GB2312"/>
          <w:snapToGrid w:val="0"/>
          <w:kern w:val="0"/>
          <w:szCs w:val="32"/>
          <w:lang w:val="en-US" w:eastAsia="zh-CN"/>
        </w:rPr>
        <w:t>5、积极落实整改评估过程发现的隐患，增加中庭区各楼层防护栏安全警示标志。</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五、</w:t>
      </w:r>
      <w:r>
        <w:rPr>
          <w:rFonts w:hint="eastAsia" w:ascii="黑体" w:hAnsi="黑体" w:eastAsia="黑体"/>
          <w:snapToGrid w:val="0"/>
          <w:kern w:val="0"/>
          <w:szCs w:val="32"/>
          <w:lang w:eastAsia="zh-CN"/>
        </w:rPr>
        <w:t>评估小组</w:t>
      </w:r>
      <w:r>
        <w:rPr>
          <w:rFonts w:hint="eastAsia" w:ascii="黑体" w:hAnsi="黑体" w:eastAsia="黑体"/>
          <w:snapToGrid w:val="0"/>
          <w:kern w:val="0"/>
          <w:szCs w:val="32"/>
        </w:rPr>
        <w:t>评估意见</w:t>
      </w: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lang w:eastAsia="zh-CN"/>
        </w:rPr>
        <w:t>评估小组</w:t>
      </w:r>
      <w:r>
        <w:rPr>
          <w:rFonts w:hint="eastAsia" w:ascii="仿宋_GB2312" w:hAnsi="Calibri" w:eastAsia="仿宋_GB2312"/>
          <w:snapToGrid w:val="0"/>
          <w:kern w:val="0"/>
          <w:szCs w:val="32"/>
        </w:rPr>
        <w:t>经综合评估后一致认为，</w:t>
      </w:r>
      <w:r>
        <w:rPr>
          <w:rFonts w:hint="eastAsia" w:ascii="仿宋_GB2312" w:hAnsi="Calibri" w:eastAsia="仿宋_GB2312"/>
          <w:snapToGrid w:val="0"/>
          <w:kern w:val="0"/>
          <w:szCs w:val="32"/>
          <w:lang w:val="en-US" w:eastAsia="zh-CN"/>
        </w:rPr>
        <w:t>相关部门和</w:t>
      </w:r>
      <w:r>
        <w:rPr>
          <w:rFonts w:hint="eastAsia" w:ascii="仿宋_GB2312" w:hAnsi="Calibri" w:eastAsia="仿宋_GB2312"/>
          <w:snapToGrid w:val="0"/>
          <w:kern w:val="0"/>
          <w:szCs w:val="32"/>
        </w:rPr>
        <w:t>单位均能按照《事故调查报告》要求，对</w:t>
      </w:r>
      <w:r>
        <w:rPr>
          <w:rFonts w:hint="eastAsia" w:ascii="仿宋_GB2312" w:hAnsi="Calibri" w:eastAsia="仿宋_GB2312"/>
          <w:snapToGrid w:val="0"/>
          <w:kern w:val="0"/>
          <w:szCs w:val="32"/>
          <w:lang w:val="en-US" w:eastAsia="zh-CN"/>
        </w:rPr>
        <w:t>事故</w:t>
      </w:r>
      <w:r>
        <w:rPr>
          <w:rFonts w:hint="eastAsia" w:ascii="仿宋_GB2312" w:hAnsi="Calibri" w:eastAsia="仿宋_GB2312"/>
          <w:snapToGrid w:val="0"/>
          <w:kern w:val="0"/>
          <w:szCs w:val="32"/>
        </w:rPr>
        <w:t>责任单位及责任人员做出相应处理</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处理程序合法合规</w:t>
      </w:r>
      <w:r>
        <w:rPr>
          <w:rFonts w:hint="eastAsia" w:ascii="仿宋_GB2312" w:hAnsi="Calibri" w:eastAsia="仿宋_GB2312"/>
          <w:snapToGrid w:val="0"/>
          <w:kern w:val="0"/>
          <w:szCs w:val="32"/>
        </w:rPr>
        <w:t>；事故责任单位能认真吸取事故教训，按照事故调查报告的要求</w:t>
      </w:r>
      <w:r>
        <w:rPr>
          <w:rFonts w:hint="eastAsia" w:ascii="仿宋_GB2312" w:hAnsi="Calibri" w:eastAsia="仿宋_GB2312"/>
          <w:snapToGrid w:val="0"/>
          <w:kern w:val="0"/>
          <w:szCs w:val="32"/>
          <w:lang w:val="en-US" w:eastAsia="zh-CN"/>
        </w:rPr>
        <w:t>完善内部安全管理制度流程</w:t>
      </w:r>
      <w:r>
        <w:rPr>
          <w:rFonts w:hint="eastAsia" w:ascii="仿宋_GB2312" w:hAnsi="Calibri" w:eastAsia="仿宋_GB2312"/>
          <w:snapToGrid w:val="0"/>
          <w:kern w:val="0"/>
          <w:szCs w:val="32"/>
        </w:rPr>
        <w:t>，</w:t>
      </w:r>
      <w:r>
        <w:rPr>
          <w:rFonts w:hint="eastAsia" w:ascii="仿宋_GB2312" w:hAnsi="Calibri" w:eastAsia="仿宋_GB2312"/>
          <w:snapToGrid w:val="0"/>
          <w:kern w:val="0"/>
          <w:szCs w:val="32"/>
          <w:lang w:val="en-US" w:eastAsia="zh-CN"/>
        </w:rPr>
        <w:t>加强人员事故警示教育，加大</w:t>
      </w:r>
      <w:r>
        <w:rPr>
          <w:rFonts w:hint="eastAsia" w:ascii="仿宋_GB2312" w:hAnsi="Calibri" w:eastAsia="仿宋_GB2312"/>
          <w:snapToGrid w:val="0"/>
          <w:kern w:val="0"/>
          <w:szCs w:val="32"/>
        </w:rPr>
        <w:t>事故隐患排查和落实问题整改。</w:t>
      </w:r>
    </w:p>
    <w:p>
      <w:pPr>
        <w:spacing w:line="620" w:lineRule="exact"/>
        <w:ind w:firstLine="640" w:firstLineChars="200"/>
        <w:jc w:val="left"/>
        <w:rPr>
          <w:rFonts w:ascii="仿宋_GB2312" w:hAnsi="Calibri" w:eastAsia="仿宋_GB2312"/>
          <w:snapToGrid w:val="0"/>
          <w:kern w:val="0"/>
          <w:szCs w:val="32"/>
        </w:rPr>
      </w:pPr>
      <w:r>
        <w:rPr>
          <w:rFonts w:hint="eastAsia" w:ascii="仿宋_GB2312" w:hAnsi="Calibri" w:eastAsia="仿宋_GB2312"/>
          <w:snapToGrid w:val="0"/>
          <w:kern w:val="0"/>
          <w:szCs w:val="32"/>
        </w:rPr>
        <w:t>综合资料审查</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rPr>
        <w:t>人员问询、现场</w:t>
      </w:r>
      <w:r>
        <w:rPr>
          <w:rFonts w:hint="eastAsia" w:ascii="仿宋_GB2312" w:hAnsi="Calibri" w:eastAsia="仿宋_GB2312"/>
          <w:snapToGrid w:val="0"/>
          <w:kern w:val="0"/>
          <w:szCs w:val="32"/>
          <w:lang w:val="en-US" w:eastAsia="zh-CN"/>
        </w:rPr>
        <w:t>走访核查</w:t>
      </w:r>
      <w:r>
        <w:rPr>
          <w:rFonts w:hint="eastAsia" w:ascii="仿宋_GB2312" w:hAnsi="Calibri" w:eastAsia="仿宋_GB2312"/>
          <w:snapToGrid w:val="0"/>
          <w:kern w:val="0"/>
          <w:szCs w:val="32"/>
        </w:rPr>
        <w:t>结果，</w:t>
      </w:r>
      <w:r>
        <w:rPr>
          <w:rFonts w:hint="eastAsia" w:ascii="仿宋_GB2312" w:hAnsi="Calibri" w:eastAsia="仿宋_GB2312"/>
          <w:snapToGrid w:val="0"/>
          <w:kern w:val="0"/>
          <w:szCs w:val="32"/>
          <w:lang w:eastAsia="zh-CN"/>
        </w:rPr>
        <w:t>评估小组</w:t>
      </w:r>
      <w:r>
        <w:rPr>
          <w:rFonts w:hint="eastAsia" w:ascii="仿宋_GB2312" w:hAnsi="Calibri" w:eastAsia="仿宋_GB2312"/>
          <w:snapToGrid w:val="0"/>
          <w:kern w:val="0"/>
          <w:szCs w:val="32"/>
        </w:rPr>
        <w:t>认为</w:t>
      </w:r>
      <w:r>
        <w:rPr>
          <w:rFonts w:hint="eastAsia" w:ascii="仿宋_GB2312" w:hAnsi="Calibri" w:eastAsia="仿宋_GB2312"/>
          <w:snapToGrid w:val="0"/>
          <w:kern w:val="0"/>
          <w:szCs w:val="32"/>
          <w:lang w:val="en-US" w:eastAsia="zh-CN"/>
        </w:rPr>
        <w:t>此次事故处理、</w:t>
      </w:r>
      <w:r>
        <w:rPr>
          <w:rFonts w:hint="eastAsia" w:ascii="仿宋_GB2312" w:hAnsi="Calibri" w:eastAsia="仿宋_GB2312"/>
          <w:snapToGrid w:val="0"/>
          <w:kern w:val="0"/>
          <w:szCs w:val="32"/>
        </w:rPr>
        <w:t>责任追究</w:t>
      </w:r>
      <w:r>
        <w:rPr>
          <w:rFonts w:hint="eastAsia" w:ascii="仿宋_GB2312" w:hAnsi="Calibri" w:eastAsia="仿宋_GB2312"/>
          <w:snapToGrid w:val="0"/>
          <w:kern w:val="0"/>
          <w:szCs w:val="32"/>
          <w:lang w:val="en-US" w:eastAsia="zh-CN"/>
        </w:rPr>
        <w:t>符合</w:t>
      </w:r>
      <w:r>
        <w:rPr>
          <w:rFonts w:hint="eastAsia" w:ascii="仿宋_GB2312" w:hAnsi="Calibri" w:eastAsia="仿宋_GB2312"/>
          <w:snapToGrid w:val="0"/>
          <w:kern w:val="0"/>
          <w:szCs w:val="32"/>
        </w:rPr>
        <w:t>《事故调查报告》</w:t>
      </w:r>
      <w:r>
        <w:rPr>
          <w:rFonts w:hint="eastAsia" w:ascii="仿宋_GB2312" w:hAnsi="Calibri" w:eastAsia="仿宋_GB2312"/>
          <w:snapToGrid w:val="0"/>
          <w:kern w:val="0"/>
          <w:szCs w:val="32"/>
          <w:lang w:eastAsia="zh-CN"/>
        </w:rPr>
        <w:t>，</w:t>
      </w:r>
      <w:r>
        <w:rPr>
          <w:rFonts w:hint="eastAsia" w:ascii="仿宋_GB2312" w:hAnsi="Calibri" w:eastAsia="仿宋_GB2312"/>
          <w:snapToGrid w:val="0"/>
          <w:kern w:val="0"/>
          <w:szCs w:val="32"/>
          <w:lang w:val="en-US" w:eastAsia="zh-CN"/>
        </w:rPr>
        <w:t>后续整改措施落实且有效</w:t>
      </w:r>
      <w:r>
        <w:rPr>
          <w:rFonts w:hint="eastAsia" w:ascii="仿宋_GB2312" w:hAnsi="Calibri" w:eastAsia="仿宋_GB2312"/>
          <w:snapToGrid w:val="0"/>
          <w:kern w:val="0"/>
          <w:szCs w:val="32"/>
        </w:rPr>
        <w:t>。</w:t>
      </w:r>
    </w:p>
    <w:p>
      <w:pPr>
        <w:spacing w:line="620" w:lineRule="exact"/>
      </w:pPr>
    </w:p>
    <w:p>
      <w:pPr>
        <w:spacing w:line="620" w:lineRule="exact"/>
        <w:rPr>
          <w:rFonts w:ascii="仿宋_GB2312" w:hAnsi="Calibri" w:eastAsia="仿宋_GB2312"/>
          <w:snapToGrid w:val="0"/>
          <w:kern w:val="0"/>
          <w:szCs w:val="32"/>
        </w:rPr>
      </w:pPr>
      <w:r>
        <w:rPr>
          <w:rFonts w:hint="eastAsia" w:ascii="仿宋_GB2312" w:hAnsi="Calibri" w:eastAsia="仿宋_GB2312"/>
          <w:snapToGrid w:val="0"/>
          <w:kern w:val="0"/>
          <w:szCs w:val="32"/>
        </w:rPr>
        <w:t>附件：</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1、安全管理机构设立文件</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2、安全管理人员名册及证书复印件</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3、全员安全生产责任制文件及责任制培训记录</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4、全员安全责任书签约记录</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5、安全管理规章制度清单</w:t>
      </w:r>
    </w:p>
    <w:p>
      <w:pPr>
        <w:spacing w:line="620" w:lineRule="exact"/>
        <w:rPr>
          <w:rFonts w:hint="default"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6、安全生产双预防体系建设资料</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7、安全隐患排查记录及隐患台账</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8、安全生产会议记录</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9、安全生产费用提取和使用记录</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10、安全生产培训记录（如三级安全教育、日常的安全教育等）</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11、危险作业审批许可记录</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12、相关方安全协议及安全培训</w:t>
      </w:r>
    </w:p>
    <w:p>
      <w:pPr>
        <w:spacing w:line="620" w:lineRule="exact"/>
        <w:rPr>
          <w:rFonts w:hint="eastAsia" w:ascii="仿宋_GB2312" w:hAnsi="Calibri" w:eastAsia="仿宋_GB2312"/>
          <w:snapToGrid w:val="0"/>
          <w:color w:val="auto"/>
          <w:kern w:val="0"/>
          <w:sz w:val="30"/>
          <w:szCs w:val="30"/>
          <w:lang w:val="en-US" w:eastAsia="zh-CN"/>
        </w:rPr>
      </w:pPr>
      <w:r>
        <w:rPr>
          <w:rFonts w:hint="eastAsia" w:ascii="仿宋_GB2312" w:hAnsi="Calibri" w:eastAsia="仿宋_GB2312"/>
          <w:snapToGrid w:val="0"/>
          <w:color w:val="auto"/>
          <w:kern w:val="0"/>
          <w:sz w:val="30"/>
          <w:szCs w:val="30"/>
          <w:lang w:val="en-US" w:eastAsia="zh-CN"/>
        </w:rPr>
        <w:t>13、应急演练相关记录等</w:t>
      </w:r>
    </w:p>
    <w:p>
      <w:pPr>
        <w:spacing w:line="620" w:lineRule="exact"/>
        <w:jc w:val="right"/>
        <w:rPr>
          <w:rFonts w:ascii="仿宋_GB2312" w:hAnsi="Calibri" w:eastAsia="仿宋_GB2312"/>
          <w:b/>
          <w:snapToGrid w:val="0"/>
          <w:kern w:val="0"/>
          <w:szCs w:val="32"/>
        </w:rPr>
      </w:pPr>
      <w:r>
        <w:rPr>
          <w:rFonts w:hint="eastAsia" w:ascii="仿宋_GB2312" w:hAnsi="Calibri" w:eastAsia="仿宋_GB2312"/>
          <w:b/>
          <w:snapToGrid w:val="0"/>
          <w:kern w:val="0"/>
          <w:szCs w:val="32"/>
        </w:rPr>
        <w:t>长宁区安全生产委会员办公室</w:t>
      </w:r>
    </w:p>
    <w:p>
      <w:pPr>
        <w:spacing w:line="620" w:lineRule="exact"/>
        <w:ind w:right="640"/>
        <w:jc w:val="right"/>
        <w:rPr>
          <w:rFonts w:ascii="仿宋_GB2312" w:hAnsi="Calibri" w:eastAsia="仿宋_GB2312"/>
          <w:b/>
          <w:snapToGrid w:val="0"/>
          <w:kern w:val="0"/>
          <w:szCs w:val="32"/>
        </w:rPr>
      </w:pPr>
      <w:r>
        <w:rPr>
          <w:rFonts w:hint="eastAsia" w:ascii="仿宋_GB2312" w:hAnsi="Calibri" w:eastAsia="仿宋_GB2312"/>
          <w:b/>
          <w:snapToGrid w:val="0"/>
          <w:kern w:val="0"/>
          <w:szCs w:val="32"/>
        </w:rPr>
        <w:t>202</w:t>
      </w:r>
      <w:r>
        <w:rPr>
          <w:rFonts w:hint="eastAsia" w:ascii="仿宋_GB2312" w:hAnsi="Calibri" w:eastAsia="仿宋_GB2312"/>
          <w:b/>
          <w:snapToGrid w:val="0"/>
          <w:kern w:val="0"/>
          <w:szCs w:val="32"/>
          <w:lang w:val="en-US" w:eastAsia="zh-CN"/>
        </w:rPr>
        <w:t>2</w:t>
      </w:r>
      <w:r>
        <w:rPr>
          <w:rFonts w:hint="eastAsia" w:ascii="仿宋_GB2312" w:hAnsi="Calibri" w:eastAsia="仿宋_GB2312"/>
          <w:b/>
          <w:snapToGrid w:val="0"/>
          <w:kern w:val="0"/>
          <w:szCs w:val="32"/>
        </w:rPr>
        <w:t>年</w:t>
      </w:r>
      <w:r>
        <w:rPr>
          <w:rFonts w:hint="eastAsia" w:ascii="仿宋_GB2312" w:hAnsi="Calibri" w:eastAsia="仿宋_GB2312"/>
          <w:b/>
          <w:snapToGrid w:val="0"/>
          <w:kern w:val="0"/>
          <w:szCs w:val="32"/>
          <w:lang w:val="en-US" w:eastAsia="zh-CN"/>
        </w:rPr>
        <w:t>12</w:t>
      </w:r>
      <w:r>
        <w:rPr>
          <w:rFonts w:hint="eastAsia" w:ascii="仿宋_GB2312" w:hAnsi="Calibri" w:eastAsia="仿宋_GB2312"/>
          <w:b/>
          <w:snapToGrid w:val="0"/>
          <w:kern w:val="0"/>
          <w:szCs w:val="32"/>
        </w:rPr>
        <w:t>月</w:t>
      </w:r>
      <w:r>
        <w:rPr>
          <w:rFonts w:hint="eastAsia" w:ascii="仿宋_GB2312" w:hAnsi="Calibri" w:eastAsia="仿宋_GB2312"/>
          <w:b/>
          <w:snapToGrid w:val="0"/>
          <w:kern w:val="0"/>
          <w:szCs w:val="32"/>
          <w:lang w:val="en-US" w:eastAsia="zh-CN"/>
        </w:rPr>
        <w:t>15</w:t>
      </w:r>
      <w:r>
        <w:rPr>
          <w:rFonts w:hint="eastAsia" w:ascii="仿宋_GB2312" w:hAnsi="Calibri" w:eastAsia="仿宋_GB2312"/>
          <w:b/>
          <w:snapToGrid w:val="0"/>
          <w:kern w:val="0"/>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黑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a Sans">
    <w:altName w:val="PakType Naskh Basic"/>
    <w:panose1 w:val="00000000000000000000"/>
    <w:charset w:val="00"/>
    <w:family w:val="auto"/>
    <w:pitch w:val="default"/>
    <w:sig w:usb0="00000000" w:usb1="00000000" w:usb2="00000000" w:usb3="00000000" w:csb0="00000000" w:csb1="00000000"/>
  </w:font>
  <w:font w:name="PakType Naskh Basic">
    <w:panose1 w:val="00000400000000000000"/>
    <w:charset w:val="00"/>
    <w:family w:val="auto"/>
    <w:pitch w:val="default"/>
    <w:sig w:usb0="80006003" w:usb1="8000000A"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s0lY7tAAAAAF&#10;AQAADwAAAAAAAAABACAAAAA4AAAAZHJzL2Rvd25yZXYueG1sUEsBAhQAFAAAAAgAh07iQPpO5poO&#10;AgAABwQAAA4AAAAAAAAAAQAgAAAANQEAAGRycy9lMm9Eb2MueG1sUEsFBgAAAAAGAAYAWQEAALUF&#10;A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E33B2"/>
    <w:multiLevelType w:val="singleLevel"/>
    <w:tmpl w:val="7C4E33B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1373256D"/>
    <w:rsid w:val="175514A2"/>
    <w:rsid w:val="17C45868"/>
    <w:rsid w:val="17FBE8D8"/>
    <w:rsid w:val="1E765F50"/>
    <w:rsid w:val="2782275D"/>
    <w:rsid w:val="2B0D78A5"/>
    <w:rsid w:val="3DBA0C7B"/>
    <w:rsid w:val="3DE9465E"/>
    <w:rsid w:val="3EE338FA"/>
    <w:rsid w:val="48BE4B9A"/>
    <w:rsid w:val="48FD1513"/>
    <w:rsid w:val="4AF11E5F"/>
    <w:rsid w:val="57DB0FE8"/>
    <w:rsid w:val="5AD93B85"/>
    <w:rsid w:val="5BD451EC"/>
    <w:rsid w:val="5EBDEF7B"/>
    <w:rsid w:val="5F39B20B"/>
    <w:rsid w:val="5F582E1B"/>
    <w:rsid w:val="67131EDF"/>
    <w:rsid w:val="6FF2019B"/>
    <w:rsid w:val="77C7E2CA"/>
    <w:rsid w:val="78CA90EC"/>
    <w:rsid w:val="79FF681C"/>
    <w:rsid w:val="7AEFED13"/>
    <w:rsid w:val="7BCB0BF9"/>
    <w:rsid w:val="7EFD3964"/>
    <w:rsid w:val="7F733F80"/>
    <w:rsid w:val="7FBF8646"/>
    <w:rsid w:val="B3DA92A4"/>
    <w:rsid w:val="BBD628CC"/>
    <w:rsid w:val="BD3BE8A9"/>
    <w:rsid w:val="BF4FF59A"/>
    <w:rsid w:val="BF6FE6AA"/>
    <w:rsid w:val="C7BE4CA6"/>
    <w:rsid w:val="DCFD18E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4"/>
    <w:link w:val="3"/>
    <w:qFormat/>
    <w:uiPriority w:val="99"/>
    <w:rPr>
      <w:sz w:val="18"/>
      <w:szCs w:val="18"/>
    </w:rPr>
  </w:style>
  <w:style w:type="character" w:customStyle="1" w:styleId="7">
    <w:name w:val="页脚 Char"/>
    <w:basedOn w:val="4"/>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2591</Words>
  <Characters>2634</Characters>
  <Lines>39</Lines>
  <Paragraphs>11</Paragraphs>
  <TotalTime>2</TotalTime>
  <ScaleCrop>false</ScaleCrop>
  <LinksUpToDate>false</LinksUpToDate>
  <CharactersWithSpaces>2634</CharactersWithSpaces>
  <Application>WPS Office_10.1.0.7526_F1E327BC-269C-435d-A152-05C5408002CA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2021-03-31T13:34:00Z</dcterms:created>
  <dc:creator>陈满松</dc:creator>
  <cp:lastModifiedBy>user</cp:lastModifiedBy>
  <cp:lastPrinted>2022-12-17T01:55:00Z</cp:lastPrinted>
  <dcterms:modified xsi:type="dcterms:W3CDTF">2022-12-14T11:24:16Z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2052-10.1.0.7526</vt:lpwstr>
  </property>
  <property fmtid="{D5CDD505-2E9C-101B-9397-08002B2CF9AE}" pid="3" name="ICV">
    <vt:lpwstr>5800EFB2CDC5429FA3EB9D2C111D64F8</vt:lpwstr>
  </property>
</Properties>
</file>