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59EC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36"/>
          <w:szCs w:val="36"/>
          <w:shd w:val="clear" w:color="auto" w:fill="FFFFFF"/>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静安曹家渡上海舜磊建设发展有限公司</w:t>
      </w:r>
    </w:p>
    <w:p w14:paraId="3244CCE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36"/>
          <w:szCs w:val="36"/>
          <w:shd w:val="clear" w:color="auto" w:fill="FFFFFF"/>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“9.6”一般物体打击事故整改和防范措施</w:t>
      </w:r>
    </w:p>
    <w:p w14:paraId="76E2DBD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方正小标宋简体" w:cs="黑体"/>
          <w:bCs/>
          <w:sz w:val="36"/>
          <w:szCs w:val="36"/>
          <w:lang w:eastAsia="zh-CN"/>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落实情况评估</w:t>
      </w:r>
      <w:r>
        <w:rPr>
          <w:rFonts w:hint="eastAsia" w:ascii="方正小标宋简体" w:hAnsi="方正小标宋简体" w:eastAsia="方正小标宋简体" w:cs="方正小标宋简体"/>
          <w:i w:val="0"/>
          <w:iCs w:val="0"/>
          <w:caps w:val="0"/>
          <w:color w:val="auto"/>
          <w:spacing w:val="0"/>
          <w:sz w:val="36"/>
          <w:szCs w:val="36"/>
          <w:shd w:val="clear" w:color="auto" w:fill="FFFFFF"/>
          <w:lang w:eastAsia="zh-CN"/>
        </w:rPr>
        <w:t>报告</w:t>
      </w:r>
      <w:bookmarkStart w:id="7" w:name="_GoBack"/>
      <w:bookmarkEnd w:id="7"/>
    </w:p>
    <w:p w14:paraId="60E142E1">
      <w:pPr>
        <w:keepNext w:val="0"/>
        <w:keepLines w:val="0"/>
        <w:pageBreakBefore w:val="0"/>
        <w:widowControl w:val="0"/>
        <w:kinsoku/>
        <w:overflowPunct/>
        <w:topLinePunct w:val="0"/>
        <w:autoSpaceDE/>
        <w:autoSpaceDN/>
        <w:bidi w:val="0"/>
        <w:adjustRightInd/>
        <w:spacing w:line="560" w:lineRule="exact"/>
        <w:jc w:val="center"/>
        <w:textAlignment w:val="auto"/>
        <w:rPr>
          <w:rFonts w:ascii="黑体" w:hAnsi="华文中宋" w:eastAsia="黑体"/>
          <w:bCs/>
          <w:sz w:val="36"/>
          <w:szCs w:val="36"/>
        </w:rPr>
      </w:pPr>
    </w:p>
    <w:p w14:paraId="498343CB">
      <w:pPr>
        <w:keepNext w:val="0"/>
        <w:keepLines w:val="0"/>
        <w:pageBreakBefore w:val="0"/>
        <w:widowControl w:val="0"/>
        <w:kinsoku/>
        <w:overflowPunct/>
        <w:topLinePunct w:val="0"/>
        <w:autoSpaceDE/>
        <w:autoSpaceDN/>
        <w:bidi w:val="0"/>
        <w:adjustRightInd/>
        <w:spacing w:line="560" w:lineRule="exact"/>
        <w:ind w:firstLine="600" w:firstLineChars="200"/>
        <w:textAlignment w:val="auto"/>
        <w:rPr>
          <w:rFonts w:hint="eastAsia" w:ascii="仿宋_GB2312" w:hAnsi="仿宋_GB2312" w:eastAsia="仿宋_GB2312" w:cs="仿宋_GB2312"/>
          <w:bCs/>
          <w:sz w:val="30"/>
          <w:szCs w:val="30"/>
        </w:rPr>
      </w:pPr>
      <w:r>
        <w:rPr>
          <w:rFonts w:hint="eastAsia" w:ascii="黑体" w:hAnsi="黑体" w:eastAsia="黑体" w:cs="黑体"/>
          <w:b w:val="0"/>
          <w:bCs/>
          <w:sz w:val="30"/>
          <w:szCs w:val="30"/>
          <w:lang w:eastAsia="zh-CN"/>
        </w:rPr>
        <w:t>一、基本情况</w:t>
      </w:r>
    </w:p>
    <w:p w14:paraId="01E1807E">
      <w:pPr>
        <w:spacing w:line="560" w:lineRule="exact"/>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2023年9月6日中午12时40分许，静安区“曹家渡街道康定路949号厨卫及相关设施改造工程”施工现场发生一起一般物体打击事故，事故造成一人死亡。事故发生后，依据相关法律法规，静安区应急管理局会同相关部门组织事故调查组展开调查。静安区人民政府于2023年</w:t>
      </w:r>
      <w:r>
        <w:rPr>
          <w:rFonts w:hint="eastAsia" w:ascii="仿宋_GB2312" w:hAnsi="仿宋_GB2312" w:eastAsia="仿宋_GB2312" w:cs="仿宋_GB2312"/>
          <w:sz w:val="30"/>
          <w:szCs w:val="30"/>
          <w:lang w:val="en-US" w:eastAsia="zh-CN"/>
        </w:rPr>
        <w:t>11月7日</w:t>
      </w:r>
      <w:r>
        <w:rPr>
          <w:rFonts w:hint="eastAsia" w:ascii="仿宋_GB2312" w:hAnsi="仿宋_GB2312" w:eastAsia="仿宋_GB2312" w:cs="仿宋_GB2312"/>
          <w:sz w:val="30"/>
          <w:szCs w:val="30"/>
        </w:rPr>
        <w:t>批复同意事故</w:t>
      </w:r>
      <w:r>
        <w:rPr>
          <w:rFonts w:hint="eastAsia" w:ascii="仿宋_GB2312" w:hAnsi="仿宋_GB2312" w:eastAsia="仿宋_GB2312" w:cs="仿宋_GB2312"/>
          <w:sz w:val="30"/>
          <w:szCs w:val="30"/>
          <w:lang w:eastAsia="zh-CN"/>
        </w:rPr>
        <w:t>调查组提交的《静安曹家渡上海舜磊建设发展有限公司“9.6”一般物体打击事故调查报告》。</w:t>
      </w:r>
    </w:p>
    <w:p w14:paraId="764C193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按照《中华人民共和国安全生产法》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《生产安全事故防范和整改措施落实情况评估办法》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《上海市生产安全事故整改和防范措施落实情况评估办法》等相关法律法规和规范性文件要求，</w:t>
      </w:r>
      <w:r>
        <w:rPr>
          <w:rFonts w:hint="eastAsia" w:ascii="仿宋_GB2312" w:hAnsi="仿宋_GB2312" w:eastAsia="仿宋_GB2312" w:cs="仿宋_GB2312"/>
          <w:sz w:val="30"/>
          <w:szCs w:val="30"/>
          <w:lang w:eastAsia="zh-CN"/>
        </w:rPr>
        <w:t>静安</w:t>
      </w:r>
      <w:r>
        <w:rPr>
          <w:rFonts w:hint="eastAsia" w:ascii="仿宋_GB2312" w:hAnsi="仿宋_GB2312" w:eastAsia="仿宋_GB2312" w:cs="仿宋_GB2312"/>
          <w:sz w:val="30"/>
          <w:szCs w:val="30"/>
        </w:rPr>
        <w:t>区应急局</w:t>
      </w:r>
      <w:r>
        <w:rPr>
          <w:rFonts w:hint="eastAsia" w:ascii="仿宋_GB2312" w:hAnsi="仿宋_GB2312" w:eastAsia="仿宋_GB2312" w:cs="仿宋_GB2312"/>
          <w:sz w:val="30"/>
          <w:szCs w:val="30"/>
          <w:lang w:eastAsia="zh-CN"/>
        </w:rPr>
        <w:t>牵头召集</w:t>
      </w:r>
      <w:r>
        <w:rPr>
          <w:rFonts w:hint="eastAsia" w:ascii="仿宋_GB2312" w:hAnsi="仿宋_GB2312" w:eastAsia="仿宋_GB2312" w:cs="仿宋_GB2312"/>
          <w:sz w:val="30"/>
          <w:szCs w:val="30"/>
        </w:rPr>
        <w:t>区公安分局、区总工会等部门</w:t>
      </w:r>
      <w:r>
        <w:rPr>
          <w:rFonts w:hint="eastAsia" w:ascii="仿宋_GB2312" w:hAnsi="仿宋_GB2312" w:eastAsia="仿宋_GB2312" w:cs="仿宋_GB2312"/>
          <w:sz w:val="30"/>
          <w:szCs w:val="30"/>
          <w:lang w:eastAsia="zh-CN"/>
        </w:rPr>
        <w:t>于</w:t>
      </w:r>
      <w:r>
        <w:rPr>
          <w:rFonts w:hint="eastAsia" w:ascii="仿宋_GB2312" w:hAnsi="仿宋_GB2312" w:eastAsia="仿宋_GB2312" w:cs="仿宋_GB2312"/>
          <w:sz w:val="30"/>
          <w:szCs w:val="30"/>
          <w:lang w:val="en-US" w:eastAsia="zh-CN"/>
        </w:rPr>
        <w:t>2024年9月2日</w:t>
      </w:r>
      <w:r>
        <w:rPr>
          <w:rFonts w:hint="eastAsia" w:ascii="仿宋_GB2312" w:hAnsi="仿宋_GB2312" w:eastAsia="仿宋_GB2312" w:cs="仿宋_GB2312"/>
          <w:sz w:val="30"/>
          <w:szCs w:val="30"/>
        </w:rPr>
        <w:t>组成</w:t>
      </w:r>
      <w:r>
        <w:rPr>
          <w:rFonts w:hint="eastAsia" w:ascii="仿宋_GB2312" w:hAnsi="仿宋_GB2312" w:eastAsia="仿宋_GB2312" w:cs="仿宋_GB2312"/>
          <w:sz w:val="30"/>
          <w:szCs w:val="30"/>
          <w:lang w:eastAsia="zh-CN"/>
        </w:rPr>
        <w:t>静安曹家渡上海舜磊建设发展有限公司“9.6”一般物体打击事故</w:t>
      </w:r>
      <w:r>
        <w:rPr>
          <w:rFonts w:hint="eastAsia" w:ascii="仿宋_GB2312" w:hAnsi="仿宋_GB2312" w:eastAsia="仿宋_GB2312" w:cs="仿宋_GB2312"/>
          <w:sz w:val="30"/>
          <w:szCs w:val="30"/>
        </w:rPr>
        <w:t>评估组（以下简称评估组），</w:t>
      </w:r>
      <w:r>
        <w:rPr>
          <w:rFonts w:hint="eastAsia" w:ascii="仿宋_GB2312" w:hAnsi="仿宋_GB2312" w:eastAsia="仿宋_GB2312" w:cs="仿宋_GB2312"/>
          <w:sz w:val="30"/>
          <w:szCs w:val="30"/>
          <w:lang w:eastAsia="zh-CN"/>
        </w:rPr>
        <w:t>同时</w:t>
      </w:r>
      <w:r>
        <w:rPr>
          <w:rFonts w:hint="eastAsia" w:ascii="仿宋_GB2312" w:hAnsi="仿宋_GB2312" w:eastAsia="仿宋_GB2312" w:cs="仿宋_GB2312"/>
          <w:sz w:val="30"/>
          <w:szCs w:val="30"/>
        </w:rPr>
        <w:t>邀请</w:t>
      </w:r>
      <w:r>
        <w:rPr>
          <w:rFonts w:hint="eastAsia" w:ascii="仿宋_GB2312" w:hAnsi="仿宋_GB2312" w:eastAsia="仿宋_GB2312" w:cs="仿宋_GB2312"/>
          <w:sz w:val="30"/>
          <w:szCs w:val="30"/>
          <w:lang w:eastAsia="zh-CN"/>
        </w:rPr>
        <w:t>区纪委监委、上海森特企业管理服务有限公司（第三方服务机构）</w:t>
      </w:r>
      <w:r>
        <w:rPr>
          <w:rFonts w:hint="eastAsia" w:ascii="仿宋_GB2312" w:hAnsi="仿宋_GB2312" w:eastAsia="仿宋_GB2312" w:cs="仿宋_GB2312"/>
          <w:sz w:val="30"/>
          <w:szCs w:val="30"/>
        </w:rPr>
        <w:t>参加</w:t>
      </w:r>
      <w:r>
        <w:rPr>
          <w:rFonts w:hint="eastAsia" w:ascii="仿宋_GB2312" w:hAnsi="仿宋_GB2312" w:eastAsia="仿宋_GB2312" w:cs="仿宋_GB2312"/>
          <w:sz w:val="30"/>
          <w:szCs w:val="30"/>
          <w:lang w:eastAsia="zh-CN"/>
        </w:rPr>
        <w:t>本次评估</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通过</w:t>
      </w:r>
      <w:r>
        <w:rPr>
          <w:rFonts w:hint="eastAsia" w:ascii="仿宋_GB2312" w:hAnsi="仿宋_GB2312" w:eastAsia="仿宋_GB2312" w:cs="仿宋_GB2312"/>
          <w:sz w:val="30"/>
          <w:szCs w:val="30"/>
        </w:rPr>
        <w:t>资料审查、座谈问询、查阅文件、走访核查</w:t>
      </w:r>
      <w:r>
        <w:rPr>
          <w:rFonts w:hint="eastAsia" w:ascii="仿宋_GB2312" w:hAnsi="仿宋_GB2312" w:eastAsia="仿宋_GB2312" w:cs="仿宋_GB2312"/>
          <w:sz w:val="30"/>
          <w:szCs w:val="30"/>
          <w:lang w:eastAsia="zh-CN"/>
        </w:rPr>
        <w:t>，第三方服务机构通过资料审查、现场核查、专业评查等方式</w:t>
      </w:r>
      <w:r>
        <w:rPr>
          <w:rFonts w:hint="eastAsia" w:ascii="仿宋_GB2312" w:hAnsi="仿宋_GB2312" w:eastAsia="仿宋_GB2312" w:cs="仿宋_GB2312"/>
          <w:sz w:val="30"/>
          <w:szCs w:val="30"/>
        </w:rPr>
        <w:t>，对</w:t>
      </w:r>
      <w:r>
        <w:rPr>
          <w:rFonts w:hint="eastAsia" w:ascii="仿宋_GB2312" w:hAnsi="仿宋_GB2312" w:eastAsia="仿宋_GB2312" w:cs="仿宋_GB2312"/>
          <w:sz w:val="30"/>
          <w:szCs w:val="30"/>
          <w:lang w:eastAsia="zh-CN"/>
        </w:rPr>
        <w:t>静安曹家渡上海舜磊建设发展有限公司“9.6”一般物体打击事故的责任追究、</w:t>
      </w:r>
      <w:r>
        <w:rPr>
          <w:rFonts w:hint="eastAsia" w:ascii="仿宋_GB2312" w:hAnsi="仿宋_GB2312" w:eastAsia="仿宋_GB2312" w:cs="仿宋_GB2312"/>
          <w:sz w:val="30"/>
          <w:szCs w:val="30"/>
        </w:rPr>
        <w:t>整改和防范措施落实情况评估</w:t>
      </w:r>
      <w:r>
        <w:rPr>
          <w:rFonts w:hint="eastAsia" w:ascii="仿宋_GB2312" w:hAnsi="仿宋_GB2312" w:eastAsia="仿宋_GB2312" w:cs="仿宋_GB2312"/>
          <w:sz w:val="30"/>
          <w:szCs w:val="30"/>
          <w:lang w:eastAsia="zh-CN"/>
        </w:rPr>
        <w:t>如下：</w:t>
      </w:r>
    </w:p>
    <w:p w14:paraId="39B99549">
      <w:pPr>
        <w:keepNext w:val="0"/>
        <w:keepLines w:val="0"/>
        <w:pageBreakBefore w:val="0"/>
        <w:widowControl w:val="0"/>
        <w:kinsoku/>
        <w:overflowPunct/>
        <w:topLinePunct w:val="0"/>
        <w:autoSpaceDE/>
        <w:autoSpaceDN/>
        <w:bidi w:val="0"/>
        <w:adjustRightInd/>
        <w:spacing w:line="560" w:lineRule="exact"/>
        <w:ind w:firstLine="600" w:firstLineChars="200"/>
        <w:textAlignment w:val="auto"/>
        <w:rPr>
          <w:rFonts w:hint="eastAsia" w:ascii="黑体" w:hAnsi="黑体" w:eastAsia="黑体" w:cs="黑体"/>
          <w:b w:val="0"/>
          <w:bCs/>
          <w:sz w:val="30"/>
          <w:szCs w:val="30"/>
          <w:lang w:eastAsia="zh-CN"/>
        </w:rPr>
      </w:pPr>
      <w:bookmarkStart w:id="0" w:name="_Toc19355"/>
      <w:r>
        <w:rPr>
          <w:rFonts w:hint="eastAsia" w:ascii="黑体" w:hAnsi="黑体" w:eastAsia="黑体" w:cs="黑体"/>
          <w:b w:val="0"/>
          <w:bCs/>
          <w:sz w:val="30"/>
          <w:szCs w:val="30"/>
          <w:lang w:eastAsia="zh-CN"/>
        </w:rPr>
        <w:t>二、事故处理落实情况</w:t>
      </w:r>
      <w:bookmarkEnd w:id="0"/>
    </w:p>
    <w:p w14:paraId="35A35F34">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eastAsia="zh-CN"/>
        </w:rPr>
      </w:pPr>
      <w:r>
        <w:rPr>
          <w:rFonts w:hint="eastAsia" w:ascii="楷体_GB2312" w:hAnsi="楷体_GB2312" w:eastAsia="楷体_GB2312" w:cs="楷体_GB2312"/>
          <w:b/>
          <w:bCs w:val="0"/>
          <w:sz w:val="30"/>
          <w:szCs w:val="30"/>
          <w:lang w:eastAsia="zh-CN"/>
        </w:rPr>
        <w:t>（一）事故责任单位的行政处罚落实情况</w:t>
      </w:r>
    </w:p>
    <w:p w14:paraId="7F19803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针对事故调查报告的处理建议，经</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核实，本</w:t>
      </w:r>
      <w:r>
        <w:rPr>
          <w:rFonts w:hint="eastAsia" w:ascii="仿宋_GB2312" w:hAnsi="仿宋_GB2312" w:eastAsia="仿宋_GB2312" w:cs="仿宋_GB2312"/>
          <w:sz w:val="30"/>
          <w:szCs w:val="30"/>
        </w:rPr>
        <w:t>事故</w:t>
      </w:r>
      <w:r>
        <w:rPr>
          <w:rFonts w:hint="eastAsia" w:ascii="仿宋_GB2312" w:hAnsi="仿宋_GB2312" w:eastAsia="仿宋_GB2312" w:cs="仿宋_GB2312"/>
          <w:sz w:val="30"/>
          <w:szCs w:val="30"/>
          <w:lang w:eastAsia="zh-CN"/>
        </w:rPr>
        <w:t>中</w:t>
      </w:r>
      <w:r>
        <w:rPr>
          <w:rFonts w:hint="eastAsia" w:ascii="仿宋_GB2312" w:hAnsi="仿宋_GB2312" w:eastAsia="仿宋_GB2312" w:cs="仿宋_GB2312"/>
          <w:sz w:val="30"/>
          <w:szCs w:val="30"/>
        </w:rPr>
        <w:t>责任单位</w:t>
      </w:r>
      <w:r>
        <w:rPr>
          <w:rFonts w:hint="eastAsia" w:ascii="仿宋_GB2312" w:hAnsi="仿宋_GB2312" w:eastAsia="仿宋_GB2312" w:cs="仿宋_GB2312"/>
          <w:sz w:val="30"/>
          <w:szCs w:val="30"/>
          <w:lang w:eastAsia="zh-CN"/>
        </w:rPr>
        <w:t>的行政</w:t>
      </w:r>
      <w:r>
        <w:rPr>
          <w:rFonts w:hint="eastAsia" w:ascii="仿宋_GB2312" w:hAnsi="仿宋_GB2312" w:eastAsia="仿宋_GB2312" w:cs="仿宋_GB2312"/>
          <w:sz w:val="30"/>
          <w:szCs w:val="30"/>
        </w:rPr>
        <w:t>处罚</w:t>
      </w:r>
      <w:r>
        <w:rPr>
          <w:rFonts w:hint="eastAsia" w:ascii="仿宋_GB2312" w:hAnsi="仿宋_GB2312" w:eastAsia="仿宋_GB2312" w:cs="仿宋_GB2312"/>
          <w:sz w:val="30"/>
          <w:szCs w:val="30"/>
          <w:lang w:eastAsia="zh-CN"/>
        </w:rPr>
        <w:t>落实情况</w:t>
      </w:r>
      <w:r>
        <w:rPr>
          <w:rFonts w:hint="eastAsia" w:ascii="仿宋_GB2312" w:hAnsi="仿宋_GB2312" w:eastAsia="仿宋_GB2312" w:cs="仿宋_GB2312"/>
          <w:sz w:val="30"/>
          <w:szCs w:val="30"/>
        </w:rPr>
        <w:t>如下：</w:t>
      </w:r>
    </w:p>
    <w:p w14:paraId="55E74E0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上海舜磊建设发展有限公司</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31</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17</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上海舜磊建设发展有限公司</w:t>
      </w:r>
      <w:r>
        <w:rPr>
          <w:rFonts w:hint="eastAsia" w:ascii="仿宋_GB2312" w:hAnsi="仿宋_GB2312" w:eastAsia="仿宋_GB2312" w:cs="仿宋_GB2312"/>
          <w:sz w:val="30"/>
          <w:szCs w:val="30"/>
          <w:lang w:eastAsia="zh-CN"/>
        </w:rPr>
        <w:t>已于20</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27</w:t>
      </w:r>
      <w:r>
        <w:rPr>
          <w:rFonts w:hint="eastAsia" w:ascii="仿宋_GB2312" w:hAnsi="仿宋_GB2312" w:eastAsia="仿宋_GB2312" w:cs="仿宋_GB2312"/>
          <w:sz w:val="30"/>
          <w:szCs w:val="30"/>
          <w:lang w:eastAsia="zh-CN"/>
        </w:rPr>
        <w:t>日缴纳全部</w:t>
      </w:r>
      <w:r>
        <w:rPr>
          <w:rFonts w:hint="eastAsia" w:ascii="仿宋_GB2312" w:hAnsi="仿宋_GB2312" w:eastAsia="仿宋_GB2312" w:cs="仿宋_GB2312"/>
          <w:sz w:val="30"/>
          <w:szCs w:val="30"/>
        </w:rPr>
        <w:t>罚款。</w:t>
      </w:r>
    </w:p>
    <w:p w14:paraId="034F129C">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ascii="仿宋_GB2312" w:hAnsi="仿宋_GB2312" w:eastAsia="仿宋_GB2312" w:cs="仿宋_GB2312"/>
          <w:bCs/>
          <w:sz w:val="30"/>
          <w:szCs w:val="30"/>
        </w:rPr>
      </w:pPr>
      <w:r>
        <w:rPr>
          <w:rFonts w:hint="eastAsia" w:ascii="楷体_GB2312" w:hAnsi="楷体_GB2312" w:eastAsia="楷体_GB2312" w:cs="楷体_GB2312"/>
          <w:b/>
          <w:bCs w:val="0"/>
          <w:sz w:val="30"/>
          <w:szCs w:val="30"/>
          <w:lang w:eastAsia="zh-CN"/>
        </w:rPr>
        <w:t>（二）事故责任人员的行政处罚落实情况</w:t>
      </w:r>
    </w:p>
    <w:p w14:paraId="096D380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针对事故调查报告的处理建议，经</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核实，本</w:t>
      </w:r>
      <w:r>
        <w:rPr>
          <w:rFonts w:hint="eastAsia" w:ascii="仿宋_GB2312" w:hAnsi="仿宋_GB2312" w:eastAsia="仿宋_GB2312" w:cs="仿宋_GB2312"/>
          <w:sz w:val="30"/>
          <w:szCs w:val="30"/>
        </w:rPr>
        <w:t>事故</w:t>
      </w:r>
      <w:r>
        <w:rPr>
          <w:rFonts w:hint="eastAsia" w:ascii="仿宋_GB2312" w:hAnsi="仿宋_GB2312" w:eastAsia="仿宋_GB2312" w:cs="仿宋_GB2312"/>
          <w:sz w:val="30"/>
          <w:szCs w:val="30"/>
          <w:lang w:eastAsia="zh-CN"/>
        </w:rPr>
        <w:t>中</w:t>
      </w:r>
      <w:r>
        <w:rPr>
          <w:rFonts w:hint="eastAsia" w:ascii="仿宋_GB2312" w:hAnsi="仿宋_GB2312" w:eastAsia="仿宋_GB2312" w:cs="仿宋_GB2312"/>
          <w:sz w:val="30"/>
          <w:szCs w:val="30"/>
        </w:rPr>
        <w:t>责任</w:t>
      </w:r>
      <w:r>
        <w:rPr>
          <w:rFonts w:hint="eastAsia" w:ascii="仿宋_GB2312" w:hAnsi="仿宋_GB2312" w:eastAsia="仿宋_GB2312" w:cs="仿宋_GB2312"/>
          <w:sz w:val="30"/>
          <w:szCs w:val="30"/>
          <w:lang w:eastAsia="zh-CN"/>
        </w:rPr>
        <w:t>人员的行政</w:t>
      </w:r>
      <w:r>
        <w:rPr>
          <w:rFonts w:hint="eastAsia" w:ascii="仿宋_GB2312" w:hAnsi="仿宋_GB2312" w:eastAsia="仿宋_GB2312" w:cs="仿宋_GB2312"/>
          <w:sz w:val="30"/>
          <w:szCs w:val="30"/>
        </w:rPr>
        <w:t>处罚</w:t>
      </w:r>
      <w:r>
        <w:rPr>
          <w:rFonts w:hint="eastAsia" w:ascii="仿宋_GB2312" w:hAnsi="仿宋_GB2312" w:eastAsia="仿宋_GB2312" w:cs="仿宋_GB2312"/>
          <w:sz w:val="30"/>
          <w:szCs w:val="30"/>
          <w:lang w:eastAsia="zh-CN"/>
        </w:rPr>
        <w:t>落实情况</w:t>
      </w:r>
      <w:r>
        <w:rPr>
          <w:rFonts w:hint="eastAsia" w:ascii="仿宋_GB2312" w:hAnsi="仿宋_GB2312" w:eastAsia="仿宋_GB2312" w:cs="仿宋_GB2312"/>
          <w:sz w:val="30"/>
          <w:szCs w:val="30"/>
        </w:rPr>
        <w:t>如下：</w:t>
      </w:r>
    </w:p>
    <w:p w14:paraId="63AEA70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上海舜磊建设发展有限公司项目经理</w:t>
      </w:r>
      <w:r>
        <w:rPr>
          <w:rFonts w:hint="eastAsia" w:ascii="仿宋_GB2312" w:hAnsi="仿宋" w:eastAsia="仿宋_GB2312" w:cs="仿宋"/>
          <w:kern w:val="2"/>
          <w:sz w:val="30"/>
          <w:szCs w:val="30"/>
          <w:lang w:val="en-US" w:eastAsia="zh-CN" w:bidi="ar-SA"/>
        </w:rPr>
        <w:t>沈江华</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4.8</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18</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kern w:val="2"/>
          <w:sz w:val="30"/>
          <w:szCs w:val="30"/>
          <w:lang w:val="en-US" w:eastAsia="zh-CN" w:bidi="ar-SA"/>
        </w:rPr>
        <w:t>沈江华</w:t>
      </w:r>
      <w:r>
        <w:rPr>
          <w:rFonts w:hint="eastAsia" w:ascii="仿宋_GB2312" w:hAnsi="仿宋_GB2312" w:eastAsia="仿宋_GB2312" w:cs="仿宋_GB2312"/>
          <w:sz w:val="30"/>
          <w:szCs w:val="30"/>
          <w:lang w:eastAsia="zh-CN"/>
        </w:rPr>
        <w:t>已</w:t>
      </w:r>
      <w:r>
        <w:rPr>
          <w:rFonts w:hint="eastAsia" w:ascii="仿宋_GB2312" w:hAnsi="仿宋_GB2312" w:eastAsia="仿宋_GB2312" w:cs="仿宋_GB2312"/>
          <w:sz w:val="30"/>
          <w:szCs w:val="30"/>
        </w:rPr>
        <w:t>于</w:t>
      </w:r>
      <w:r>
        <w:rPr>
          <w:rFonts w:hint="eastAsia" w:ascii="仿宋_GB2312" w:hAnsi="仿宋_GB2312" w:eastAsia="仿宋_GB2312" w:cs="仿宋_GB2312"/>
          <w:sz w:val="30"/>
          <w:szCs w:val="30"/>
          <w:lang w:eastAsia="zh-CN"/>
        </w:rPr>
        <w:t>20</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27</w:t>
      </w:r>
      <w:r>
        <w:rPr>
          <w:rFonts w:hint="eastAsia" w:ascii="仿宋_GB2312" w:hAnsi="仿宋_GB2312" w:eastAsia="仿宋_GB2312" w:cs="仿宋_GB2312"/>
          <w:sz w:val="30"/>
          <w:szCs w:val="30"/>
          <w:lang w:eastAsia="zh-CN"/>
        </w:rPr>
        <w:t>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eastAsia="zh-CN"/>
        </w:rPr>
        <w:t>。</w:t>
      </w:r>
    </w:p>
    <w:p w14:paraId="7211F78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上海舜磊建设发展有限公司现场负责人邵柏枫</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val="en-US" w:eastAsia="zh-CN"/>
        </w:rPr>
        <w:t>2万</w:t>
      </w:r>
      <w:r>
        <w:rPr>
          <w:rFonts w:hint="eastAsia" w:ascii="仿宋_GB2312" w:hAnsi="仿宋_GB2312" w:eastAsia="仿宋_GB2312" w:cs="仿宋_GB2312"/>
          <w:sz w:val="30"/>
          <w:szCs w:val="30"/>
        </w:rPr>
        <w:t>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19</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邵柏枫</w:t>
      </w:r>
      <w:r>
        <w:rPr>
          <w:rFonts w:hint="eastAsia" w:ascii="仿宋_GB2312" w:hAnsi="仿宋_GB2312" w:eastAsia="仿宋_GB2312" w:cs="仿宋_GB2312"/>
          <w:sz w:val="30"/>
          <w:szCs w:val="30"/>
          <w:lang w:val="en-US" w:eastAsia="zh-CN"/>
        </w:rPr>
        <w:t>已于</w:t>
      </w:r>
      <w:r>
        <w:rPr>
          <w:rFonts w:hint="eastAsia" w:ascii="仿宋_GB2312" w:hAnsi="仿宋_GB2312" w:eastAsia="仿宋_GB2312" w:cs="仿宋_GB2312"/>
          <w:sz w:val="30"/>
          <w:szCs w:val="30"/>
          <w:lang w:eastAsia="zh-CN"/>
        </w:rPr>
        <w:t>20</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27</w:t>
      </w:r>
      <w:r>
        <w:rPr>
          <w:rFonts w:hint="eastAsia" w:ascii="仿宋_GB2312" w:hAnsi="仿宋_GB2312" w:eastAsia="仿宋_GB2312" w:cs="仿宋_GB2312"/>
          <w:sz w:val="30"/>
          <w:szCs w:val="30"/>
          <w:lang w:eastAsia="zh-CN"/>
        </w:rPr>
        <w:t>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p>
    <w:p w14:paraId="7E38D99E">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eastAsia="zh-CN"/>
        </w:rPr>
      </w:pPr>
      <w:bookmarkStart w:id="1" w:name="_Toc17878"/>
      <w:r>
        <w:rPr>
          <w:rFonts w:hint="eastAsia" w:ascii="楷体_GB2312" w:hAnsi="楷体_GB2312" w:eastAsia="楷体_GB2312" w:cs="楷体_GB2312"/>
          <w:b/>
          <w:bCs w:val="0"/>
          <w:sz w:val="30"/>
          <w:szCs w:val="30"/>
          <w:lang w:eastAsia="zh-CN"/>
        </w:rPr>
        <w:t>（三）事故相关的其他处理情况</w:t>
      </w:r>
    </w:p>
    <w:p w14:paraId="3B4D72F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 w:eastAsia="仿宋_GB2312" w:cs="仿宋"/>
          <w:sz w:val="30"/>
          <w:szCs w:val="30"/>
          <w:lang w:val="en-US" w:eastAsia="zh-CN"/>
        </w:rPr>
      </w:pPr>
      <w:r>
        <w:rPr>
          <w:rFonts w:hint="eastAsia" w:ascii="仿宋_GB2312" w:hAnsi="仿宋_GB2312" w:eastAsia="仿宋_GB2312" w:cs="仿宋_GB2312"/>
          <w:sz w:val="30"/>
          <w:szCs w:val="30"/>
          <w:lang w:val="en-US" w:eastAsia="zh-CN"/>
        </w:rPr>
        <w:t>静安区应急管理局依法对</w:t>
      </w:r>
      <w:r>
        <w:rPr>
          <w:rFonts w:hint="eastAsia" w:ascii="仿宋_GB2312" w:hAnsi="仿宋" w:eastAsia="仿宋_GB2312" w:cs="仿宋"/>
          <w:sz w:val="30"/>
          <w:szCs w:val="30"/>
          <w:lang w:val="en-US" w:eastAsia="zh-CN"/>
        </w:rPr>
        <w:t>上海舜磊建设发展有限公司、上海亚新城市建设有限公司主要负责人进行了约谈。</w:t>
      </w:r>
    </w:p>
    <w:p w14:paraId="66EDD237">
      <w:pPr>
        <w:keepNext w:val="0"/>
        <w:keepLines w:val="0"/>
        <w:pageBreakBefore w:val="0"/>
        <w:widowControl w:val="0"/>
        <w:kinsoku/>
        <w:overflowPunct/>
        <w:topLinePunct w:val="0"/>
        <w:autoSpaceDE/>
        <w:autoSpaceDN/>
        <w:bidi w:val="0"/>
        <w:adjustRightInd/>
        <w:spacing w:line="560" w:lineRule="exact"/>
        <w:ind w:firstLine="600" w:firstLineChars="200"/>
        <w:textAlignment w:val="auto"/>
        <w:rPr>
          <w:rFonts w:ascii="黑体" w:hAnsi="黑体" w:eastAsia="黑体" w:cs="黑体"/>
          <w:bCs/>
          <w:sz w:val="30"/>
          <w:szCs w:val="30"/>
        </w:rPr>
      </w:pPr>
      <w:r>
        <w:rPr>
          <w:rFonts w:hint="eastAsia" w:ascii="黑体" w:hAnsi="黑体" w:eastAsia="黑体" w:cs="黑体"/>
          <w:bCs/>
          <w:sz w:val="30"/>
          <w:szCs w:val="30"/>
          <w:lang w:eastAsia="zh-CN"/>
        </w:rPr>
        <w:t>三</w:t>
      </w:r>
      <w:r>
        <w:rPr>
          <w:rFonts w:hint="eastAsia" w:ascii="黑体" w:hAnsi="黑体" w:eastAsia="黑体" w:cs="黑体"/>
          <w:bCs/>
          <w:sz w:val="30"/>
          <w:szCs w:val="30"/>
        </w:rPr>
        <w:t>、事故整改措施落实情况</w:t>
      </w:r>
      <w:bookmarkEnd w:id="1"/>
    </w:p>
    <w:p w14:paraId="425ADD74">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（一）上海舜磊建设发展有限公司整改落实情况：</w:t>
      </w:r>
    </w:p>
    <w:p w14:paraId="68C6D89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企业</w:t>
      </w:r>
      <w:r>
        <w:rPr>
          <w:rFonts w:hint="eastAsia" w:ascii="仿宋_GB2312" w:hAnsi="仿宋_GB2312" w:eastAsia="仿宋_GB2312" w:cs="仿宋_GB2312"/>
          <w:color w:val="auto"/>
          <w:sz w:val="30"/>
          <w:szCs w:val="30"/>
          <w:lang w:val="en-US" w:eastAsia="zh-CN"/>
        </w:rPr>
        <w:t>已制定及签订</w:t>
      </w:r>
      <w:r>
        <w:rPr>
          <w:rFonts w:hint="eastAsia" w:ascii="仿宋_GB2312" w:hAnsi="仿宋_GB2312" w:eastAsia="仿宋_GB2312" w:cs="仿宋_GB2312"/>
          <w:color w:val="auto"/>
          <w:sz w:val="30"/>
          <w:szCs w:val="30"/>
        </w:rPr>
        <w:t>安全生产责任书</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已编制安全</w:t>
      </w:r>
      <w:r>
        <w:rPr>
          <w:rFonts w:hint="eastAsia" w:ascii="仿宋_GB2312" w:hAnsi="仿宋_GB2312" w:eastAsia="仿宋_GB2312" w:cs="仿宋_GB2312"/>
          <w:sz w:val="30"/>
          <w:szCs w:val="30"/>
          <w:lang w:val="en-US" w:eastAsia="zh-CN"/>
        </w:rPr>
        <w:t>生产规章制度</w:t>
      </w:r>
      <w:r>
        <w:rPr>
          <w:rFonts w:hint="eastAsia" w:ascii="仿宋_GB2312" w:hAnsi="仿宋_GB2312" w:eastAsia="仿宋_GB2312" w:cs="仿宋_GB2312"/>
          <w:sz w:val="30"/>
          <w:szCs w:val="30"/>
          <w:lang w:eastAsia="zh-CN"/>
        </w:rPr>
        <w:t>；</w:t>
      </w:r>
    </w:p>
    <w:p w14:paraId="4D8715C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企业</w:t>
      </w:r>
      <w:r>
        <w:rPr>
          <w:rFonts w:hint="eastAsia" w:ascii="仿宋_GB2312" w:hAnsi="仿宋_GB2312" w:eastAsia="仿宋_GB2312" w:cs="仿宋_GB2312"/>
          <w:sz w:val="30"/>
          <w:szCs w:val="30"/>
          <w:lang w:val="en-US" w:eastAsia="zh-CN"/>
        </w:rPr>
        <w:t>已制定《安全风险分级管控和隐患排查治理双重预防管理办法》及定期进行安全检查</w:t>
      </w:r>
      <w:r>
        <w:rPr>
          <w:rFonts w:hint="eastAsia" w:ascii="仿宋_GB2312" w:hAnsi="仿宋_GB2312" w:eastAsia="仿宋_GB2312" w:cs="仿宋_GB2312"/>
          <w:sz w:val="30"/>
          <w:szCs w:val="30"/>
          <w:lang w:eastAsia="zh-CN"/>
        </w:rPr>
        <w:t>；</w:t>
      </w:r>
    </w:p>
    <w:p w14:paraId="70D8F9E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3、已编制安全生产教育和培训计划</w:t>
      </w:r>
      <w:r>
        <w:rPr>
          <w:rFonts w:hint="eastAsia" w:ascii="仿宋_GB2312" w:hAnsi="仿宋_GB2312" w:eastAsia="仿宋_GB2312" w:cs="仿宋_GB2312"/>
          <w:sz w:val="30"/>
          <w:szCs w:val="30"/>
          <w:lang w:eastAsia="zh-CN"/>
        </w:rPr>
        <w:t>；</w:t>
      </w:r>
    </w:p>
    <w:p w14:paraId="5D32BE0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4、已根据《</w:t>
      </w:r>
      <w:r>
        <w:rPr>
          <w:rFonts w:hint="eastAsia" w:ascii="仿宋_GB2312" w:hAnsi="仿宋_GB2312" w:eastAsia="仿宋_GB2312" w:cs="仿宋_GB2312"/>
          <w:sz w:val="30"/>
          <w:szCs w:val="30"/>
          <w:lang w:eastAsia="zh-CN"/>
        </w:rPr>
        <w:t>危险性较大分部分项工程及施工现场易发生重大事故的部位环节的预防监控措施和应急预案</w:t>
      </w:r>
      <w:r>
        <w:rPr>
          <w:rFonts w:hint="eastAsia" w:ascii="仿宋_GB2312" w:hAnsi="仿宋_GB2312" w:eastAsia="仿宋_GB2312" w:cs="仿宋_GB2312"/>
          <w:sz w:val="30"/>
          <w:szCs w:val="30"/>
          <w:lang w:val="en-US" w:eastAsia="zh-CN"/>
        </w:rPr>
        <w:t>》对从业人员进行培训。</w:t>
      </w:r>
    </w:p>
    <w:p w14:paraId="0B022165">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（二）上海亚新城市建设有限公司整改落实情况</w:t>
      </w:r>
    </w:p>
    <w:p w14:paraId="7B931B3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1、已与施工单位和监理单位签订安全生产协议并进行安全交底；</w:t>
      </w:r>
    </w:p>
    <w:p w14:paraId="310265F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2、定期对施工区域进行检查并督促隐患整改形成闭环</w:t>
      </w:r>
      <w:r>
        <w:rPr>
          <w:rFonts w:hint="eastAsia" w:ascii="仿宋_GB2312" w:hAnsi="仿宋_GB2312" w:eastAsia="仿宋_GB2312" w:cs="仿宋_GB2312"/>
          <w:color w:val="auto"/>
          <w:sz w:val="30"/>
          <w:szCs w:val="30"/>
        </w:rPr>
        <w:t>。</w:t>
      </w:r>
    </w:p>
    <w:p w14:paraId="2B5ED171">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bookmarkStart w:id="2" w:name="_Toc24793"/>
      <w:bookmarkStart w:id="3" w:name="_Toc19042"/>
      <w:r>
        <w:rPr>
          <w:rFonts w:hint="eastAsia" w:ascii="楷体_GB2312" w:hAnsi="楷体_GB2312" w:eastAsia="楷体_GB2312" w:cs="楷体_GB2312"/>
          <w:b/>
          <w:bCs w:val="0"/>
          <w:sz w:val="30"/>
          <w:szCs w:val="30"/>
          <w:lang w:val="en-US" w:eastAsia="zh-CN"/>
        </w:rPr>
        <w:t>（三）善后处理落实情况</w:t>
      </w:r>
      <w:bookmarkEnd w:id="2"/>
      <w:bookmarkEnd w:id="3"/>
    </w:p>
    <w:p w14:paraId="5B28458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eastAsia="zh-CN"/>
        </w:rPr>
      </w:pPr>
      <w:bookmarkStart w:id="4" w:name="_Toc32334"/>
      <w:bookmarkStart w:id="5" w:name="_Toc26160"/>
      <w:r>
        <w:rPr>
          <w:rFonts w:hint="eastAsia" w:ascii="仿宋_GB2312" w:hAnsi="仿宋_GB2312" w:eastAsia="仿宋_GB2312" w:cs="仿宋_GB2312"/>
          <w:b w:val="0"/>
          <w:sz w:val="30"/>
          <w:szCs w:val="30"/>
        </w:rPr>
        <w:t>此事</w:t>
      </w:r>
      <w:r>
        <w:rPr>
          <w:rFonts w:hint="eastAsia" w:ascii="仿宋_GB2312" w:hAnsi="仿宋_GB2312" w:eastAsia="仿宋_GB2312" w:cs="仿宋_GB2312"/>
          <w:b w:val="0"/>
          <w:color w:val="auto"/>
          <w:sz w:val="30"/>
          <w:szCs w:val="30"/>
        </w:rPr>
        <w:t>故涉及一人死亡，经双方协商达成一致赔偿协议，</w:t>
      </w:r>
      <w:r>
        <w:rPr>
          <w:rFonts w:hint="eastAsia" w:ascii="仿宋_GB2312" w:hAnsi="仿宋_GB2312" w:eastAsia="仿宋_GB2312" w:cs="仿宋_GB2312"/>
          <w:b w:val="0"/>
          <w:color w:val="auto"/>
          <w:sz w:val="30"/>
          <w:szCs w:val="30"/>
          <w:lang w:eastAsia="zh-CN"/>
        </w:rPr>
        <w:t>上海舜磊建设发展有限公司</w:t>
      </w:r>
      <w:r>
        <w:rPr>
          <w:rFonts w:hint="eastAsia" w:ascii="仿宋_GB2312" w:hAnsi="仿宋_GB2312" w:eastAsia="仿宋_GB2312" w:cs="仿宋_GB2312"/>
          <w:b w:val="0"/>
          <w:color w:val="auto"/>
          <w:sz w:val="30"/>
          <w:szCs w:val="30"/>
        </w:rPr>
        <w:t>已如数支付死者家属赔偿金。</w:t>
      </w:r>
      <w:bookmarkEnd w:id="4"/>
      <w:bookmarkEnd w:id="5"/>
    </w:p>
    <w:p w14:paraId="78C9FBF0">
      <w:pPr>
        <w:keepNext w:val="0"/>
        <w:keepLines w:val="0"/>
        <w:pageBreakBefore w:val="0"/>
        <w:widowControl w:val="0"/>
        <w:kinsoku/>
        <w:overflowPunct/>
        <w:topLinePunct w:val="0"/>
        <w:autoSpaceDE/>
        <w:autoSpaceDN/>
        <w:bidi w:val="0"/>
        <w:adjustRightInd/>
        <w:spacing w:line="560" w:lineRule="exact"/>
        <w:ind w:firstLine="600" w:firstLineChars="200"/>
        <w:textAlignment w:val="auto"/>
        <w:outlineLvl w:val="0"/>
        <w:rPr>
          <w:rFonts w:ascii="黑体" w:hAnsi="黑体" w:eastAsia="黑体" w:cs="黑体"/>
          <w:bCs/>
          <w:sz w:val="30"/>
          <w:szCs w:val="30"/>
        </w:rPr>
      </w:pPr>
      <w:bookmarkStart w:id="6" w:name="_Toc3406"/>
      <w:r>
        <w:rPr>
          <w:rFonts w:hint="eastAsia" w:ascii="黑体" w:hAnsi="黑体" w:eastAsia="黑体" w:cs="黑体"/>
          <w:bCs/>
          <w:sz w:val="30"/>
          <w:szCs w:val="30"/>
          <w:lang w:eastAsia="zh-CN"/>
        </w:rPr>
        <w:t>四</w:t>
      </w:r>
      <w:r>
        <w:rPr>
          <w:rFonts w:hint="eastAsia" w:ascii="黑体" w:hAnsi="黑体" w:eastAsia="黑体" w:cs="黑体"/>
          <w:bCs/>
          <w:sz w:val="30"/>
          <w:szCs w:val="30"/>
        </w:rPr>
        <w:t>、评估结论</w:t>
      </w:r>
      <w:bookmarkEnd w:id="6"/>
    </w:p>
    <w:p w14:paraId="4AF8D3E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评估组通过专题会议、人员访谈、资料核查、现场走访等形式，对</w:t>
      </w:r>
      <w:r>
        <w:rPr>
          <w:rFonts w:hint="eastAsia" w:ascii="仿宋_GB2312" w:hAnsi="仿宋_GB2312" w:eastAsia="仿宋_GB2312" w:cs="仿宋_GB2312"/>
          <w:sz w:val="30"/>
          <w:szCs w:val="30"/>
          <w:lang w:eastAsia="zh-CN"/>
        </w:rPr>
        <w:t>静安曹家渡上海舜磊建设发展有限公司“9.6”一般物体打击事故</w:t>
      </w:r>
      <w:r>
        <w:rPr>
          <w:rFonts w:hint="eastAsia" w:ascii="仿宋_GB2312" w:hAnsi="仿宋_GB2312" w:eastAsia="仿宋_GB2312" w:cs="仿宋_GB2312"/>
          <w:sz w:val="30"/>
          <w:szCs w:val="30"/>
        </w:rPr>
        <w:t>责任追究及整改措施落实情况</w:t>
      </w:r>
      <w:r>
        <w:rPr>
          <w:rFonts w:hint="eastAsia" w:ascii="仿宋_GB2312" w:hAnsi="仿宋_GB2312" w:eastAsia="仿宋_GB2312" w:cs="仿宋_GB2312"/>
          <w:sz w:val="30"/>
          <w:szCs w:val="30"/>
          <w:lang w:eastAsia="zh-CN"/>
        </w:rPr>
        <w:t>如下</w:t>
      </w:r>
      <w:r>
        <w:rPr>
          <w:rFonts w:hint="eastAsia" w:ascii="仿宋_GB2312" w:hAnsi="仿宋_GB2312" w:eastAsia="仿宋_GB2312" w:cs="仿宋_GB2312"/>
          <w:sz w:val="30"/>
          <w:szCs w:val="30"/>
        </w:rPr>
        <w:t>：</w:t>
      </w:r>
    </w:p>
    <w:p w14:paraId="2AEFECA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上海舜磊建设发展有限公司：已依法缴纳罚款（行政处罚），整改措施落实情况符合整改要求。</w:t>
      </w:r>
    </w:p>
    <w:p w14:paraId="2D86E75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2、上海亚新城市建设有限公司</w:t>
      </w:r>
      <w:r>
        <w:rPr>
          <w:rFonts w:hint="eastAsia" w:ascii="仿宋_GB2312" w:hAnsi="仿宋_GB2312" w:eastAsia="仿宋_GB2312" w:cs="仿宋_GB2312"/>
          <w:sz w:val="30"/>
          <w:szCs w:val="30"/>
          <w:lang w:eastAsia="zh-CN"/>
        </w:rPr>
        <w:t>：整改措施落实情况符合整改要求。</w:t>
      </w:r>
    </w:p>
    <w:p w14:paraId="4070938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r>
        <w:rPr>
          <w:rFonts w:hint="eastAsia" w:ascii="仿宋_GB2312" w:hAnsi="仿宋" w:eastAsia="仿宋_GB2312" w:cs="仿宋"/>
          <w:kern w:val="2"/>
          <w:sz w:val="30"/>
          <w:szCs w:val="30"/>
          <w:lang w:val="en-US" w:eastAsia="zh-CN" w:bidi="ar-SA"/>
        </w:rPr>
        <w:t>沈江华</w:t>
      </w:r>
      <w:r>
        <w:rPr>
          <w:rFonts w:hint="eastAsia" w:ascii="仿宋_GB2312" w:hAnsi="仿宋_GB2312" w:eastAsia="仿宋_GB2312" w:cs="仿宋_GB2312"/>
          <w:sz w:val="30"/>
          <w:szCs w:val="30"/>
          <w:lang w:eastAsia="zh-CN"/>
        </w:rPr>
        <w:t>：已依法缴纳罚款（行政处罚）。</w:t>
      </w:r>
    </w:p>
    <w:p w14:paraId="6F68223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r>
        <w:rPr>
          <w:rFonts w:hint="eastAsia" w:ascii="仿宋_GB2312" w:hAnsi="仿宋" w:eastAsia="仿宋_GB2312" w:cs="仿宋"/>
          <w:sz w:val="30"/>
          <w:szCs w:val="30"/>
          <w:lang w:val="en-US" w:eastAsia="zh-CN"/>
        </w:rPr>
        <w:t>邵柏枫</w:t>
      </w:r>
      <w:r>
        <w:rPr>
          <w:rFonts w:hint="eastAsia" w:ascii="仿宋_GB2312" w:hAnsi="仿宋_GB2312" w:eastAsia="仿宋_GB2312" w:cs="仿宋_GB2312"/>
          <w:sz w:val="30"/>
          <w:szCs w:val="30"/>
          <w:lang w:eastAsia="zh-CN"/>
        </w:rPr>
        <w:t>：已依法缴纳罚款（行政处罚）。</w:t>
      </w:r>
    </w:p>
    <w:p w14:paraId="7D4F2B2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综上，事故评估组认定：</w:t>
      </w:r>
      <w:r>
        <w:rPr>
          <w:rFonts w:hint="eastAsia" w:ascii="仿宋_GB2312" w:hAnsi="仿宋_GB2312" w:eastAsia="仿宋_GB2312" w:cs="仿宋_GB2312"/>
          <w:sz w:val="30"/>
          <w:szCs w:val="30"/>
        </w:rPr>
        <w:t>该起事故中，</w:t>
      </w:r>
      <w:r>
        <w:rPr>
          <w:rFonts w:hint="eastAsia" w:ascii="仿宋_GB2312" w:hAnsi="仿宋_GB2312" w:eastAsia="仿宋_GB2312" w:cs="仿宋_GB2312"/>
          <w:sz w:val="30"/>
          <w:szCs w:val="30"/>
          <w:lang w:eastAsia="zh-CN"/>
        </w:rPr>
        <w:t>所有</w:t>
      </w:r>
      <w:r>
        <w:rPr>
          <w:rFonts w:hint="eastAsia" w:ascii="仿宋_GB2312" w:hAnsi="仿宋_GB2312" w:eastAsia="仿宋_GB2312" w:cs="仿宋_GB2312"/>
          <w:sz w:val="30"/>
          <w:szCs w:val="30"/>
        </w:rPr>
        <w:t>责任单位和责任人的责任追究工作已完成，</w:t>
      </w:r>
      <w:r>
        <w:rPr>
          <w:rFonts w:hint="eastAsia" w:ascii="仿宋_GB2312" w:hAnsi="仿宋_GB2312" w:eastAsia="仿宋_GB2312" w:cs="仿宋_GB2312"/>
          <w:sz w:val="30"/>
          <w:szCs w:val="30"/>
          <w:lang w:eastAsia="zh-CN"/>
        </w:rPr>
        <w:t>事故报告中提出的</w:t>
      </w:r>
      <w:r>
        <w:rPr>
          <w:rFonts w:hint="eastAsia" w:ascii="仿宋_GB2312" w:hAnsi="仿宋_GB2312" w:eastAsia="仿宋_GB2312" w:cs="仿宋_GB2312"/>
          <w:sz w:val="30"/>
          <w:szCs w:val="30"/>
        </w:rPr>
        <w:t>涉事企业事故预防与安全整改工作已</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落实。</w:t>
      </w:r>
    </w:p>
    <w:p w14:paraId="355D7F25">
      <w:pPr>
        <w:keepNext w:val="0"/>
        <w:keepLines w:val="0"/>
        <w:pageBreakBefore w:val="0"/>
        <w:widowControl w:val="0"/>
        <w:kinsoku/>
        <w:overflowPunct/>
        <w:topLinePunct w:val="0"/>
        <w:autoSpaceDE/>
        <w:autoSpaceDN/>
        <w:bidi w:val="0"/>
        <w:adjustRightInd/>
        <w:spacing w:line="560" w:lineRule="exact"/>
        <w:ind w:firstLine="600" w:firstLineChars="200"/>
        <w:textAlignment w:val="auto"/>
        <w:outlineLvl w:val="0"/>
        <w:rPr>
          <w:rFonts w:hint="eastAsia" w:ascii="黑体" w:hAnsi="黑体" w:eastAsia="黑体" w:cs="黑体"/>
          <w:bCs/>
          <w:sz w:val="30"/>
          <w:szCs w:val="30"/>
          <w:lang w:eastAsia="zh-CN"/>
        </w:rPr>
      </w:pPr>
      <w:r>
        <w:rPr>
          <w:rFonts w:hint="eastAsia" w:ascii="黑体" w:hAnsi="黑体" w:eastAsia="黑体" w:cs="黑体"/>
          <w:bCs/>
          <w:sz w:val="30"/>
          <w:szCs w:val="30"/>
          <w:lang w:eastAsia="zh-CN"/>
        </w:rPr>
        <w:t>五、工作建议</w:t>
      </w:r>
    </w:p>
    <w:p w14:paraId="29B3FAEA">
      <w:pPr>
        <w:ind w:left="0" w:leftChars="0" w:firstLine="639" w:firstLineChars="213"/>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为了进一步改善事故责任单位安全状况，提升事故责任单位安全管理工作水平和安全监管工作的成效性，本报告结合此次核查评估情况，谨提出以下持续改进建议：</w:t>
      </w:r>
    </w:p>
    <w:p w14:paraId="35B0BC8A">
      <w:pPr>
        <w:ind w:left="0" w:leftChars="0" w:firstLine="639" w:firstLineChars="213"/>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（一）</w:t>
      </w:r>
      <w:r>
        <w:rPr>
          <w:rFonts w:hint="eastAsia" w:ascii="仿宋_GB2312" w:hAnsi="仿宋_GB2312" w:eastAsia="仿宋_GB2312" w:cs="仿宋_GB2312"/>
          <w:sz w:val="30"/>
          <w:szCs w:val="30"/>
        </w:rPr>
        <w:t>事故责任单位要牢固树立科学发展、安全发展理念，切实履行“党政同责、一岗双责”的有关规定，坚守“发展决不能牺牲人的生命为代价”红线，完善企业安全生产责任制内容，严格落实企业安全生产主体责任。</w:t>
      </w:r>
    </w:p>
    <w:p w14:paraId="71E64BB9">
      <w:pPr>
        <w:ind w:left="0" w:leftChars="0" w:firstLine="639" w:firstLineChars="213"/>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rPr>
        <w:t>安全生产事关社会稳定，事关广大人民群众生命财产安全，事故责任单位要从思想上对安全生产工作引起高度重视，切实落实有效措施，持续开展事故隐患排查治理工作，对发现重大隐患应当及时向安全监管主管部门和有关部门报告、组织制定并实施事故隐患治理方案；对事故隐患做到整改措施到位、资金到位、期限到位、责任人到位、应急预案到位，全力防范各类事故发生。</w:t>
      </w:r>
    </w:p>
    <w:p w14:paraId="60C703DD">
      <w:pPr>
        <w:ind w:left="0" w:leftChars="0" w:firstLine="639" w:firstLineChars="213"/>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事故责任单位应确保足额的安全投入、专款专用，应关注危险性较大分部分项工程及施工现场易发生重大事故的部位环节的预防监控措施和应急预案</w:t>
      </w:r>
      <w:r>
        <w:rPr>
          <w:rFonts w:hint="eastAsia" w:ascii="仿宋_GB2312" w:hAnsi="仿宋_GB2312" w:eastAsia="仿宋_GB2312" w:cs="仿宋_GB2312"/>
          <w:sz w:val="30"/>
          <w:szCs w:val="30"/>
          <w:lang w:val="en-US" w:eastAsia="zh-CN"/>
        </w:rPr>
        <w:t>的有效落实</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应</w:t>
      </w:r>
      <w:r>
        <w:rPr>
          <w:rFonts w:hint="eastAsia" w:ascii="仿宋_GB2312" w:hAnsi="仿宋_GB2312" w:eastAsia="仿宋_GB2312" w:cs="仿宋_GB2312"/>
          <w:sz w:val="30"/>
          <w:szCs w:val="30"/>
          <w:lang w:eastAsia="zh-CN"/>
        </w:rPr>
        <w:t>杜绝工程建设领域违规承揽、层层转包、违法分包、无资质挂靠等行为。</w:t>
      </w:r>
    </w:p>
    <w:p w14:paraId="7AAF584E">
      <w:pPr>
        <w:keepNext w:val="0"/>
        <w:keepLines w:val="0"/>
        <w:pageBreakBefore w:val="0"/>
        <w:widowControl w:val="0"/>
        <w:kinsoku/>
        <w:wordWrap/>
        <w:overflowPunct/>
        <w:topLinePunct w:val="0"/>
        <w:autoSpaceDE/>
        <w:autoSpaceDN/>
        <w:bidi w:val="0"/>
        <w:adjustRightInd/>
        <w:snapToGrid/>
        <w:spacing w:line="560" w:lineRule="exact"/>
        <w:ind w:left="0" w:leftChars="0" w:firstLine="639" w:firstLineChars="213"/>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事故责任单位必须制定相关的安全管理制度和安全操作规程，并对相关人员进行安全教育培训，督促相关人员按照安全管理制度和安全操作规程要求进行作业，对</w:t>
      </w:r>
      <w:r>
        <w:rPr>
          <w:rFonts w:hint="eastAsia" w:ascii="仿宋_GB2312" w:hAnsi="仿宋_GB2312" w:eastAsia="仿宋_GB2312" w:cs="仿宋_GB2312"/>
          <w:sz w:val="30"/>
          <w:szCs w:val="30"/>
          <w:lang w:val="en-US" w:eastAsia="zh-CN"/>
        </w:rPr>
        <w:t>高风险</w:t>
      </w:r>
      <w:r>
        <w:rPr>
          <w:rFonts w:hint="eastAsia" w:ascii="仿宋_GB2312" w:hAnsi="仿宋_GB2312" w:eastAsia="仿宋_GB2312" w:cs="仿宋_GB2312"/>
          <w:sz w:val="30"/>
          <w:szCs w:val="30"/>
        </w:rPr>
        <w:t>场所要重点监管，合理安排劳动组织。</w:t>
      </w:r>
    </w:p>
    <w:p w14:paraId="1E2FF0E0">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01621298">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1F3925CE">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6A4925F7">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79EF4F7E">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lang w:eastAsia="zh-CN"/>
        </w:rPr>
      </w:pPr>
      <w:r>
        <w:rPr>
          <w:rFonts w:hint="eastAsia" w:ascii="仿宋_GB2312" w:hAnsi="仿宋_GB2312" w:eastAsia="仿宋_GB2312" w:cs="仿宋_GB2312"/>
          <w:bCs/>
          <w:sz w:val="30"/>
          <w:szCs w:val="30"/>
          <w:lang w:eastAsia="zh-CN"/>
        </w:rPr>
        <w:t>“9.6”一般物体打击事故评估组</w:t>
      </w:r>
    </w:p>
    <w:p w14:paraId="7A74C798">
      <w:pPr>
        <w:keepNext w:val="0"/>
        <w:keepLines w:val="0"/>
        <w:pageBreakBefore w:val="0"/>
        <w:widowControl w:val="0"/>
        <w:kinsoku/>
        <w:wordWrap w:val="0"/>
        <w:overflowPunct/>
        <w:topLinePunct w:val="0"/>
        <w:autoSpaceDE/>
        <w:autoSpaceDN/>
        <w:bidi w:val="0"/>
        <w:adjustRightInd/>
        <w:spacing w:line="560" w:lineRule="exact"/>
        <w:ind w:firstLine="600" w:firstLineChars="200"/>
        <w:jc w:val="right"/>
        <w:textAlignment w:val="auto"/>
        <w:rPr>
          <w:rFonts w:ascii="仿宋_GB2312" w:hAnsi="仿宋_GB2312" w:eastAsia="仿宋_GB2312" w:cs="仿宋_GB2312"/>
          <w:bCs/>
          <w:sz w:val="30"/>
          <w:szCs w:val="30"/>
        </w:rPr>
      </w:pPr>
      <w:r>
        <w:rPr>
          <w:rFonts w:hint="eastAsia" w:ascii="仿宋_GB2312" w:hAnsi="仿宋_GB2312" w:eastAsia="仿宋_GB2312" w:cs="仿宋_GB2312"/>
          <w:bCs/>
          <w:sz w:val="30"/>
          <w:szCs w:val="30"/>
          <w:lang w:val="en-US" w:eastAsia="zh-CN"/>
        </w:rPr>
        <w:t xml:space="preserve">2024年11月11日   </w:t>
      </w:r>
    </w:p>
    <w:sectPr>
      <w:footerReference r:id="rId3" w:type="default"/>
      <w:pgSz w:w="11906" w:h="16838"/>
      <w:pgMar w:top="935" w:right="1588" w:bottom="1090" w:left="1588" w:header="680" w:footer="68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552A">
    <w:pPr>
      <w:pStyle w:val="7"/>
    </w:pPr>
    <w:r>
      <w:pict>
        <v:shape id="文本框 2" o:spid="_x0000_s1025" o:spt="202" type="#_x0000_t202" style="position:absolute;left:0pt;margin-left:215.5pt;margin-top:-0.15pt;height:11.2pt;width:14.65pt;mso-position-horizontal-relative:margin;z-index:251659264;mso-width-relative:page;mso-height-relative:page;" filled="f" stroked="f" coordsize="21600,21600">
          <v:path/>
          <v:fill on="f" focussize="0,0"/>
          <v:stroke on="f" weight="0.5pt" joinstyle="miter"/>
          <v:imagedata o:title=""/>
          <o:lock v:ext="edit"/>
          <v:textbox inset="0mm,0mm,0mm,0mm">
            <w:txbxContent>
              <w:p w14:paraId="156709E9">
                <w:pPr>
                  <w:pStyle w:val="7"/>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66315"/>
    <w:multiLevelType w:val="multilevel"/>
    <w:tmpl w:val="27966315"/>
    <w:lvl w:ilvl="0" w:tentative="0">
      <w:start w:val="1"/>
      <w:numFmt w:val="japaneseCounting"/>
      <w:pStyle w:val="28"/>
      <w:lvlText w:val="%1、"/>
      <w:lvlJc w:val="left"/>
      <w:pPr>
        <w:ind w:left="165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IwNjM5ZWJiMDI5ZGJlMzRmOTRiYTdmNzUyMDVkZTcifQ=="/>
  </w:docVars>
  <w:rsids>
    <w:rsidRoot w:val="00AD648B"/>
    <w:rsid w:val="00001700"/>
    <w:rsid w:val="00003E0F"/>
    <w:rsid w:val="00005E53"/>
    <w:rsid w:val="00007686"/>
    <w:rsid w:val="000502F7"/>
    <w:rsid w:val="000511FA"/>
    <w:rsid w:val="00051AC5"/>
    <w:rsid w:val="00054A5E"/>
    <w:rsid w:val="00065100"/>
    <w:rsid w:val="00067AE2"/>
    <w:rsid w:val="000732C3"/>
    <w:rsid w:val="00074505"/>
    <w:rsid w:val="00080AD1"/>
    <w:rsid w:val="00085296"/>
    <w:rsid w:val="00091D2A"/>
    <w:rsid w:val="000B1A0D"/>
    <w:rsid w:val="000B7BA8"/>
    <w:rsid w:val="000C1C9C"/>
    <w:rsid w:val="000C334C"/>
    <w:rsid w:val="000C71B8"/>
    <w:rsid w:val="000D04CA"/>
    <w:rsid w:val="000D1171"/>
    <w:rsid w:val="000D6758"/>
    <w:rsid w:val="000E505A"/>
    <w:rsid w:val="000F484B"/>
    <w:rsid w:val="000F61CC"/>
    <w:rsid w:val="000F64DA"/>
    <w:rsid w:val="00100F11"/>
    <w:rsid w:val="001042ED"/>
    <w:rsid w:val="00111C76"/>
    <w:rsid w:val="001322FD"/>
    <w:rsid w:val="00142DDC"/>
    <w:rsid w:val="001449EB"/>
    <w:rsid w:val="001504F0"/>
    <w:rsid w:val="001512B6"/>
    <w:rsid w:val="00155A3C"/>
    <w:rsid w:val="001578E2"/>
    <w:rsid w:val="00166A5F"/>
    <w:rsid w:val="00171ECE"/>
    <w:rsid w:val="0017684E"/>
    <w:rsid w:val="00185196"/>
    <w:rsid w:val="00185457"/>
    <w:rsid w:val="00192F7E"/>
    <w:rsid w:val="001935C4"/>
    <w:rsid w:val="001B5FA4"/>
    <w:rsid w:val="001B6AEE"/>
    <w:rsid w:val="001B7A7D"/>
    <w:rsid w:val="001C34EB"/>
    <w:rsid w:val="001C65D6"/>
    <w:rsid w:val="001D78B2"/>
    <w:rsid w:val="001E0874"/>
    <w:rsid w:val="00213813"/>
    <w:rsid w:val="00227184"/>
    <w:rsid w:val="002363E0"/>
    <w:rsid w:val="0023703A"/>
    <w:rsid w:val="00242BF7"/>
    <w:rsid w:val="00246069"/>
    <w:rsid w:val="00260D48"/>
    <w:rsid w:val="00261C8B"/>
    <w:rsid w:val="00262983"/>
    <w:rsid w:val="00263EEB"/>
    <w:rsid w:val="00264794"/>
    <w:rsid w:val="00271A34"/>
    <w:rsid w:val="00277B7C"/>
    <w:rsid w:val="00282844"/>
    <w:rsid w:val="00283544"/>
    <w:rsid w:val="002854B9"/>
    <w:rsid w:val="002A06CA"/>
    <w:rsid w:val="002A45DF"/>
    <w:rsid w:val="002A7CEA"/>
    <w:rsid w:val="002B2CCB"/>
    <w:rsid w:val="002D6816"/>
    <w:rsid w:val="002E4D19"/>
    <w:rsid w:val="002F2985"/>
    <w:rsid w:val="002F2E6F"/>
    <w:rsid w:val="002F731C"/>
    <w:rsid w:val="003002C7"/>
    <w:rsid w:val="00302A9C"/>
    <w:rsid w:val="00304450"/>
    <w:rsid w:val="0030680A"/>
    <w:rsid w:val="00315349"/>
    <w:rsid w:val="003170ED"/>
    <w:rsid w:val="00324AF9"/>
    <w:rsid w:val="00331262"/>
    <w:rsid w:val="003326AB"/>
    <w:rsid w:val="00335878"/>
    <w:rsid w:val="00351628"/>
    <w:rsid w:val="00357EC5"/>
    <w:rsid w:val="00360F79"/>
    <w:rsid w:val="00363DEC"/>
    <w:rsid w:val="003727CA"/>
    <w:rsid w:val="003751FC"/>
    <w:rsid w:val="003761F3"/>
    <w:rsid w:val="00382224"/>
    <w:rsid w:val="00383D6D"/>
    <w:rsid w:val="00384B02"/>
    <w:rsid w:val="00387057"/>
    <w:rsid w:val="00387B66"/>
    <w:rsid w:val="003A0653"/>
    <w:rsid w:val="003A4EA4"/>
    <w:rsid w:val="003A7BC4"/>
    <w:rsid w:val="003B6A53"/>
    <w:rsid w:val="003D179A"/>
    <w:rsid w:val="003D6E36"/>
    <w:rsid w:val="003E5C7B"/>
    <w:rsid w:val="00410598"/>
    <w:rsid w:val="004116D9"/>
    <w:rsid w:val="00412E5A"/>
    <w:rsid w:val="0042494F"/>
    <w:rsid w:val="004310B8"/>
    <w:rsid w:val="00432D91"/>
    <w:rsid w:val="00433F76"/>
    <w:rsid w:val="004427B1"/>
    <w:rsid w:val="004615F5"/>
    <w:rsid w:val="00463302"/>
    <w:rsid w:val="00465A47"/>
    <w:rsid w:val="00467648"/>
    <w:rsid w:val="00467910"/>
    <w:rsid w:val="00480CD7"/>
    <w:rsid w:val="00485891"/>
    <w:rsid w:val="004874B9"/>
    <w:rsid w:val="00497DE7"/>
    <w:rsid w:val="004A010A"/>
    <w:rsid w:val="004A1CA1"/>
    <w:rsid w:val="004A2B6E"/>
    <w:rsid w:val="004C0224"/>
    <w:rsid w:val="004C6BEA"/>
    <w:rsid w:val="004D22C7"/>
    <w:rsid w:val="004D4BC9"/>
    <w:rsid w:val="004D693F"/>
    <w:rsid w:val="004E1CF1"/>
    <w:rsid w:val="004E3B31"/>
    <w:rsid w:val="004E4C20"/>
    <w:rsid w:val="004F70AA"/>
    <w:rsid w:val="004F7A54"/>
    <w:rsid w:val="005044BB"/>
    <w:rsid w:val="005108EB"/>
    <w:rsid w:val="00521D0A"/>
    <w:rsid w:val="005315C5"/>
    <w:rsid w:val="0053738C"/>
    <w:rsid w:val="00537AD9"/>
    <w:rsid w:val="00541262"/>
    <w:rsid w:val="005536B4"/>
    <w:rsid w:val="00554969"/>
    <w:rsid w:val="00557D05"/>
    <w:rsid w:val="00564B7F"/>
    <w:rsid w:val="00576F9E"/>
    <w:rsid w:val="005861AC"/>
    <w:rsid w:val="005912ED"/>
    <w:rsid w:val="00592E98"/>
    <w:rsid w:val="00593C48"/>
    <w:rsid w:val="00595A31"/>
    <w:rsid w:val="005A5BA7"/>
    <w:rsid w:val="005B759C"/>
    <w:rsid w:val="005C0BF8"/>
    <w:rsid w:val="005C6480"/>
    <w:rsid w:val="005D28C9"/>
    <w:rsid w:val="005E2555"/>
    <w:rsid w:val="005E5D7B"/>
    <w:rsid w:val="005F2EE4"/>
    <w:rsid w:val="005F3631"/>
    <w:rsid w:val="005F3941"/>
    <w:rsid w:val="006044AC"/>
    <w:rsid w:val="00614E31"/>
    <w:rsid w:val="00620825"/>
    <w:rsid w:val="0063675F"/>
    <w:rsid w:val="00652699"/>
    <w:rsid w:val="00652E95"/>
    <w:rsid w:val="0065699B"/>
    <w:rsid w:val="00671282"/>
    <w:rsid w:val="0067529D"/>
    <w:rsid w:val="006854BC"/>
    <w:rsid w:val="00691384"/>
    <w:rsid w:val="006A115D"/>
    <w:rsid w:val="006A1611"/>
    <w:rsid w:val="006A5C1F"/>
    <w:rsid w:val="006A6EF0"/>
    <w:rsid w:val="006B1E61"/>
    <w:rsid w:val="006B7329"/>
    <w:rsid w:val="006C0B4B"/>
    <w:rsid w:val="006C781E"/>
    <w:rsid w:val="006D33BC"/>
    <w:rsid w:val="006D6F82"/>
    <w:rsid w:val="006F2146"/>
    <w:rsid w:val="006F55EC"/>
    <w:rsid w:val="006F6913"/>
    <w:rsid w:val="0070390F"/>
    <w:rsid w:val="007043E8"/>
    <w:rsid w:val="007112F8"/>
    <w:rsid w:val="00720338"/>
    <w:rsid w:val="00736E95"/>
    <w:rsid w:val="00737679"/>
    <w:rsid w:val="00742ECE"/>
    <w:rsid w:val="007512A6"/>
    <w:rsid w:val="00751A8F"/>
    <w:rsid w:val="00752FEA"/>
    <w:rsid w:val="0075635E"/>
    <w:rsid w:val="00757804"/>
    <w:rsid w:val="007579F7"/>
    <w:rsid w:val="00765AA6"/>
    <w:rsid w:val="00770FC6"/>
    <w:rsid w:val="0077668F"/>
    <w:rsid w:val="00782B61"/>
    <w:rsid w:val="007878C5"/>
    <w:rsid w:val="00796035"/>
    <w:rsid w:val="007A38DE"/>
    <w:rsid w:val="007A4107"/>
    <w:rsid w:val="007A6229"/>
    <w:rsid w:val="007B3787"/>
    <w:rsid w:val="007E14F6"/>
    <w:rsid w:val="007E2BB1"/>
    <w:rsid w:val="007E2E98"/>
    <w:rsid w:val="007E7330"/>
    <w:rsid w:val="007E7338"/>
    <w:rsid w:val="007F0A3A"/>
    <w:rsid w:val="007F77A0"/>
    <w:rsid w:val="0080323D"/>
    <w:rsid w:val="008061A2"/>
    <w:rsid w:val="0080727F"/>
    <w:rsid w:val="00820C32"/>
    <w:rsid w:val="008225EB"/>
    <w:rsid w:val="0082595F"/>
    <w:rsid w:val="008344D6"/>
    <w:rsid w:val="00842074"/>
    <w:rsid w:val="00863304"/>
    <w:rsid w:val="0088503E"/>
    <w:rsid w:val="00887725"/>
    <w:rsid w:val="00892A25"/>
    <w:rsid w:val="008D0A41"/>
    <w:rsid w:val="008D41D3"/>
    <w:rsid w:val="008E2572"/>
    <w:rsid w:val="008F7E6A"/>
    <w:rsid w:val="009030F3"/>
    <w:rsid w:val="009233BB"/>
    <w:rsid w:val="009256A0"/>
    <w:rsid w:val="00926DF9"/>
    <w:rsid w:val="0092765E"/>
    <w:rsid w:val="00927788"/>
    <w:rsid w:val="00930D4F"/>
    <w:rsid w:val="00936B07"/>
    <w:rsid w:val="00937AF6"/>
    <w:rsid w:val="0094070B"/>
    <w:rsid w:val="0094428A"/>
    <w:rsid w:val="009525E8"/>
    <w:rsid w:val="00964D7E"/>
    <w:rsid w:val="0096525F"/>
    <w:rsid w:val="00975AEC"/>
    <w:rsid w:val="00981FE6"/>
    <w:rsid w:val="00982CD4"/>
    <w:rsid w:val="00984147"/>
    <w:rsid w:val="00996741"/>
    <w:rsid w:val="00996D6F"/>
    <w:rsid w:val="009A3FD0"/>
    <w:rsid w:val="009B11DE"/>
    <w:rsid w:val="009B279A"/>
    <w:rsid w:val="009B4BF8"/>
    <w:rsid w:val="009B699C"/>
    <w:rsid w:val="009B6BA1"/>
    <w:rsid w:val="009C0EF5"/>
    <w:rsid w:val="009C1016"/>
    <w:rsid w:val="009C2ED2"/>
    <w:rsid w:val="009C4B0A"/>
    <w:rsid w:val="009E4936"/>
    <w:rsid w:val="009F7599"/>
    <w:rsid w:val="00A008AA"/>
    <w:rsid w:val="00A0594A"/>
    <w:rsid w:val="00A15C1C"/>
    <w:rsid w:val="00A4043A"/>
    <w:rsid w:val="00A43F6A"/>
    <w:rsid w:val="00A52639"/>
    <w:rsid w:val="00A546BD"/>
    <w:rsid w:val="00A57033"/>
    <w:rsid w:val="00A71F10"/>
    <w:rsid w:val="00A76014"/>
    <w:rsid w:val="00A86B1D"/>
    <w:rsid w:val="00A935C5"/>
    <w:rsid w:val="00AA5244"/>
    <w:rsid w:val="00AC3E65"/>
    <w:rsid w:val="00AC7BB7"/>
    <w:rsid w:val="00AC7D42"/>
    <w:rsid w:val="00AD4EAA"/>
    <w:rsid w:val="00AD648B"/>
    <w:rsid w:val="00AE1371"/>
    <w:rsid w:val="00AF4F7A"/>
    <w:rsid w:val="00AF6CAD"/>
    <w:rsid w:val="00B0041B"/>
    <w:rsid w:val="00B004C6"/>
    <w:rsid w:val="00B13B6D"/>
    <w:rsid w:val="00B150E6"/>
    <w:rsid w:val="00B34072"/>
    <w:rsid w:val="00B3558F"/>
    <w:rsid w:val="00B54E07"/>
    <w:rsid w:val="00B600EB"/>
    <w:rsid w:val="00B60259"/>
    <w:rsid w:val="00B64526"/>
    <w:rsid w:val="00B82FB7"/>
    <w:rsid w:val="00B84A2E"/>
    <w:rsid w:val="00B87A1E"/>
    <w:rsid w:val="00B9016F"/>
    <w:rsid w:val="00B90D5B"/>
    <w:rsid w:val="00B9518E"/>
    <w:rsid w:val="00BA0989"/>
    <w:rsid w:val="00BA70CA"/>
    <w:rsid w:val="00BB0115"/>
    <w:rsid w:val="00BB0A86"/>
    <w:rsid w:val="00BC448D"/>
    <w:rsid w:val="00BC4980"/>
    <w:rsid w:val="00BC6829"/>
    <w:rsid w:val="00BD5943"/>
    <w:rsid w:val="00BE76A3"/>
    <w:rsid w:val="00C01C56"/>
    <w:rsid w:val="00C03AF6"/>
    <w:rsid w:val="00C106CE"/>
    <w:rsid w:val="00C1263A"/>
    <w:rsid w:val="00C13041"/>
    <w:rsid w:val="00C31BAE"/>
    <w:rsid w:val="00C35589"/>
    <w:rsid w:val="00C41178"/>
    <w:rsid w:val="00C45D27"/>
    <w:rsid w:val="00C56680"/>
    <w:rsid w:val="00C56926"/>
    <w:rsid w:val="00C57C6B"/>
    <w:rsid w:val="00C611A1"/>
    <w:rsid w:val="00C6153D"/>
    <w:rsid w:val="00C65142"/>
    <w:rsid w:val="00C70394"/>
    <w:rsid w:val="00C749DD"/>
    <w:rsid w:val="00C74A25"/>
    <w:rsid w:val="00C82F6F"/>
    <w:rsid w:val="00CA563D"/>
    <w:rsid w:val="00CA75DD"/>
    <w:rsid w:val="00CB4E51"/>
    <w:rsid w:val="00CB5142"/>
    <w:rsid w:val="00CE001F"/>
    <w:rsid w:val="00CE3AFE"/>
    <w:rsid w:val="00CE6F85"/>
    <w:rsid w:val="00CF1A63"/>
    <w:rsid w:val="00CF5B2A"/>
    <w:rsid w:val="00D0587D"/>
    <w:rsid w:val="00D12DC9"/>
    <w:rsid w:val="00D17768"/>
    <w:rsid w:val="00D20FD1"/>
    <w:rsid w:val="00D22ADA"/>
    <w:rsid w:val="00D37160"/>
    <w:rsid w:val="00D43BAE"/>
    <w:rsid w:val="00D47B9E"/>
    <w:rsid w:val="00D5145E"/>
    <w:rsid w:val="00D525F6"/>
    <w:rsid w:val="00D5782F"/>
    <w:rsid w:val="00D61EB8"/>
    <w:rsid w:val="00D709DE"/>
    <w:rsid w:val="00D71EBA"/>
    <w:rsid w:val="00D725AD"/>
    <w:rsid w:val="00D92569"/>
    <w:rsid w:val="00D92D5E"/>
    <w:rsid w:val="00D962DB"/>
    <w:rsid w:val="00D9687C"/>
    <w:rsid w:val="00D9763C"/>
    <w:rsid w:val="00DB13C1"/>
    <w:rsid w:val="00DB3C8C"/>
    <w:rsid w:val="00DC2708"/>
    <w:rsid w:val="00DD1E0B"/>
    <w:rsid w:val="00DD6180"/>
    <w:rsid w:val="00DE6533"/>
    <w:rsid w:val="00DF36D3"/>
    <w:rsid w:val="00E2758D"/>
    <w:rsid w:val="00E31EE5"/>
    <w:rsid w:val="00E34C75"/>
    <w:rsid w:val="00E55A2E"/>
    <w:rsid w:val="00E604FD"/>
    <w:rsid w:val="00E61E50"/>
    <w:rsid w:val="00E62DE6"/>
    <w:rsid w:val="00E6327A"/>
    <w:rsid w:val="00E656C6"/>
    <w:rsid w:val="00E65C62"/>
    <w:rsid w:val="00E76DA0"/>
    <w:rsid w:val="00E86CC7"/>
    <w:rsid w:val="00EB3301"/>
    <w:rsid w:val="00EC2C13"/>
    <w:rsid w:val="00EE179C"/>
    <w:rsid w:val="00EE51AF"/>
    <w:rsid w:val="00EF3180"/>
    <w:rsid w:val="00EF6289"/>
    <w:rsid w:val="00F001F5"/>
    <w:rsid w:val="00F0206B"/>
    <w:rsid w:val="00F07D77"/>
    <w:rsid w:val="00F11D9F"/>
    <w:rsid w:val="00F14011"/>
    <w:rsid w:val="00F1606C"/>
    <w:rsid w:val="00F22A5C"/>
    <w:rsid w:val="00F23126"/>
    <w:rsid w:val="00F257F8"/>
    <w:rsid w:val="00F2758C"/>
    <w:rsid w:val="00F34043"/>
    <w:rsid w:val="00F67451"/>
    <w:rsid w:val="00F8685F"/>
    <w:rsid w:val="00FB2782"/>
    <w:rsid w:val="00FB7B15"/>
    <w:rsid w:val="00FC06F6"/>
    <w:rsid w:val="00FD47F9"/>
    <w:rsid w:val="00FE30CF"/>
    <w:rsid w:val="015C7990"/>
    <w:rsid w:val="033425B1"/>
    <w:rsid w:val="037D16A8"/>
    <w:rsid w:val="03D177E1"/>
    <w:rsid w:val="03FC2EB9"/>
    <w:rsid w:val="04350D16"/>
    <w:rsid w:val="04BC223F"/>
    <w:rsid w:val="06265F96"/>
    <w:rsid w:val="078773D3"/>
    <w:rsid w:val="07FB13FB"/>
    <w:rsid w:val="08602EE2"/>
    <w:rsid w:val="0884672B"/>
    <w:rsid w:val="08FC5965"/>
    <w:rsid w:val="09502F56"/>
    <w:rsid w:val="09842907"/>
    <w:rsid w:val="09DE0E66"/>
    <w:rsid w:val="0A153FA3"/>
    <w:rsid w:val="0BDD4C34"/>
    <w:rsid w:val="0C030BCD"/>
    <w:rsid w:val="0C7373DF"/>
    <w:rsid w:val="0CD53F0D"/>
    <w:rsid w:val="0DC40504"/>
    <w:rsid w:val="0DF53B8E"/>
    <w:rsid w:val="0E8A3101"/>
    <w:rsid w:val="0EE56CBC"/>
    <w:rsid w:val="0F0E52A8"/>
    <w:rsid w:val="100C0763"/>
    <w:rsid w:val="102A170C"/>
    <w:rsid w:val="103E5ECA"/>
    <w:rsid w:val="10C67D8D"/>
    <w:rsid w:val="10FD1D28"/>
    <w:rsid w:val="114A3980"/>
    <w:rsid w:val="115F7A7E"/>
    <w:rsid w:val="11C74AB7"/>
    <w:rsid w:val="12727213"/>
    <w:rsid w:val="1331197C"/>
    <w:rsid w:val="13382340"/>
    <w:rsid w:val="13484EA9"/>
    <w:rsid w:val="142C0A49"/>
    <w:rsid w:val="156D10F1"/>
    <w:rsid w:val="16866384"/>
    <w:rsid w:val="169C77DB"/>
    <w:rsid w:val="1700274F"/>
    <w:rsid w:val="178618BA"/>
    <w:rsid w:val="18007BCB"/>
    <w:rsid w:val="190F7D51"/>
    <w:rsid w:val="193A32DB"/>
    <w:rsid w:val="1A2A25F4"/>
    <w:rsid w:val="1C485917"/>
    <w:rsid w:val="1D144C6E"/>
    <w:rsid w:val="1D16725A"/>
    <w:rsid w:val="1D4D70D9"/>
    <w:rsid w:val="1DB12344"/>
    <w:rsid w:val="1DEB177D"/>
    <w:rsid w:val="1EFB1390"/>
    <w:rsid w:val="1F946763"/>
    <w:rsid w:val="1FD47E62"/>
    <w:rsid w:val="1FDD29FA"/>
    <w:rsid w:val="20074427"/>
    <w:rsid w:val="205B3BD8"/>
    <w:rsid w:val="20C45BCD"/>
    <w:rsid w:val="217212D8"/>
    <w:rsid w:val="21DF2C72"/>
    <w:rsid w:val="22237002"/>
    <w:rsid w:val="223B434C"/>
    <w:rsid w:val="22470620"/>
    <w:rsid w:val="22AA3280"/>
    <w:rsid w:val="22CE2D81"/>
    <w:rsid w:val="22F15352"/>
    <w:rsid w:val="23131B18"/>
    <w:rsid w:val="237A70F6"/>
    <w:rsid w:val="241F3933"/>
    <w:rsid w:val="244E44B5"/>
    <w:rsid w:val="24633535"/>
    <w:rsid w:val="26980A5A"/>
    <w:rsid w:val="27261587"/>
    <w:rsid w:val="27B56EAD"/>
    <w:rsid w:val="27D513A4"/>
    <w:rsid w:val="28165677"/>
    <w:rsid w:val="292358FF"/>
    <w:rsid w:val="292872EA"/>
    <w:rsid w:val="29E77D17"/>
    <w:rsid w:val="2A214073"/>
    <w:rsid w:val="2A62494D"/>
    <w:rsid w:val="2A952A67"/>
    <w:rsid w:val="2AF25A29"/>
    <w:rsid w:val="2B31696D"/>
    <w:rsid w:val="2BC929C8"/>
    <w:rsid w:val="2BE8746F"/>
    <w:rsid w:val="2C245E51"/>
    <w:rsid w:val="2C756321"/>
    <w:rsid w:val="2C995A1E"/>
    <w:rsid w:val="2DED2793"/>
    <w:rsid w:val="2E8402B7"/>
    <w:rsid w:val="2EF24E56"/>
    <w:rsid w:val="2EFB38F3"/>
    <w:rsid w:val="304271ED"/>
    <w:rsid w:val="308E0F94"/>
    <w:rsid w:val="30B05060"/>
    <w:rsid w:val="313F54DB"/>
    <w:rsid w:val="31716EDC"/>
    <w:rsid w:val="31D04D67"/>
    <w:rsid w:val="31E56A8C"/>
    <w:rsid w:val="32CD7249"/>
    <w:rsid w:val="32F347CF"/>
    <w:rsid w:val="33550FE6"/>
    <w:rsid w:val="33B421B0"/>
    <w:rsid w:val="341C44FF"/>
    <w:rsid w:val="342C67F4"/>
    <w:rsid w:val="34612A9B"/>
    <w:rsid w:val="35130791"/>
    <w:rsid w:val="357F059C"/>
    <w:rsid w:val="371737F3"/>
    <w:rsid w:val="37783AA1"/>
    <w:rsid w:val="384653A1"/>
    <w:rsid w:val="39C46EC5"/>
    <w:rsid w:val="3A2C6DE1"/>
    <w:rsid w:val="3A47776C"/>
    <w:rsid w:val="3A636293"/>
    <w:rsid w:val="3AA420FE"/>
    <w:rsid w:val="3BD01C16"/>
    <w:rsid w:val="3BFE3EC3"/>
    <w:rsid w:val="3C1F03E3"/>
    <w:rsid w:val="3C394954"/>
    <w:rsid w:val="3CA31014"/>
    <w:rsid w:val="3D001FC2"/>
    <w:rsid w:val="3DB11AD4"/>
    <w:rsid w:val="3E2B2521"/>
    <w:rsid w:val="3F7D1CC7"/>
    <w:rsid w:val="40CC5C49"/>
    <w:rsid w:val="41B84D85"/>
    <w:rsid w:val="4312520A"/>
    <w:rsid w:val="433A2DEB"/>
    <w:rsid w:val="435667A4"/>
    <w:rsid w:val="43FE6C03"/>
    <w:rsid w:val="4416297F"/>
    <w:rsid w:val="46AE1F0C"/>
    <w:rsid w:val="470D77B7"/>
    <w:rsid w:val="47262F6D"/>
    <w:rsid w:val="474271A0"/>
    <w:rsid w:val="47490A0A"/>
    <w:rsid w:val="47EB2576"/>
    <w:rsid w:val="48150576"/>
    <w:rsid w:val="48931438"/>
    <w:rsid w:val="49E51604"/>
    <w:rsid w:val="4A9067AB"/>
    <w:rsid w:val="4A9E2883"/>
    <w:rsid w:val="4AB85877"/>
    <w:rsid w:val="4B5856BF"/>
    <w:rsid w:val="4B5F6CE3"/>
    <w:rsid w:val="4C0026D1"/>
    <w:rsid w:val="4C955487"/>
    <w:rsid w:val="4CA87F80"/>
    <w:rsid w:val="4D4B0D3B"/>
    <w:rsid w:val="4D755501"/>
    <w:rsid w:val="4DA22108"/>
    <w:rsid w:val="4DD21759"/>
    <w:rsid w:val="4E8D3FB1"/>
    <w:rsid w:val="4EB93B36"/>
    <w:rsid w:val="4EC15C1A"/>
    <w:rsid w:val="4EFC48A3"/>
    <w:rsid w:val="4F120AD6"/>
    <w:rsid w:val="4F342E1D"/>
    <w:rsid w:val="4FDC066D"/>
    <w:rsid w:val="4FEB08B0"/>
    <w:rsid w:val="503A57CF"/>
    <w:rsid w:val="50D77DB9"/>
    <w:rsid w:val="518B776F"/>
    <w:rsid w:val="52D03874"/>
    <w:rsid w:val="52F0469B"/>
    <w:rsid w:val="52F61DEB"/>
    <w:rsid w:val="536A7603"/>
    <w:rsid w:val="53A078FC"/>
    <w:rsid w:val="53C44B0C"/>
    <w:rsid w:val="540A2BDF"/>
    <w:rsid w:val="546D4869"/>
    <w:rsid w:val="554853EF"/>
    <w:rsid w:val="55D41DE6"/>
    <w:rsid w:val="566F065C"/>
    <w:rsid w:val="56C73F7C"/>
    <w:rsid w:val="570A2928"/>
    <w:rsid w:val="57D66BD7"/>
    <w:rsid w:val="58164E01"/>
    <w:rsid w:val="58361B6C"/>
    <w:rsid w:val="584A07DB"/>
    <w:rsid w:val="584A5AA6"/>
    <w:rsid w:val="584E45F9"/>
    <w:rsid w:val="59647BDA"/>
    <w:rsid w:val="597D1671"/>
    <w:rsid w:val="59ED6F91"/>
    <w:rsid w:val="59F82470"/>
    <w:rsid w:val="5B0538E4"/>
    <w:rsid w:val="5C3F0A59"/>
    <w:rsid w:val="5DA82EB8"/>
    <w:rsid w:val="5DDA485D"/>
    <w:rsid w:val="5E2D4484"/>
    <w:rsid w:val="5EF36C35"/>
    <w:rsid w:val="5F2153BC"/>
    <w:rsid w:val="5F794BE4"/>
    <w:rsid w:val="5F9E7A51"/>
    <w:rsid w:val="606A01B1"/>
    <w:rsid w:val="607B3777"/>
    <w:rsid w:val="610E1381"/>
    <w:rsid w:val="6147235A"/>
    <w:rsid w:val="619B687A"/>
    <w:rsid w:val="61B551C2"/>
    <w:rsid w:val="64CF0348"/>
    <w:rsid w:val="6515190C"/>
    <w:rsid w:val="65736F26"/>
    <w:rsid w:val="659C1F4E"/>
    <w:rsid w:val="668D2BB7"/>
    <w:rsid w:val="6693315B"/>
    <w:rsid w:val="67046E3D"/>
    <w:rsid w:val="67582FC1"/>
    <w:rsid w:val="68AA7102"/>
    <w:rsid w:val="68C84020"/>
    <w:rsid w:val="69DA2C84"/>
    <w:rsid w:val="6B75118A"/>
    <w:rsid w:val="6BF9731F"/>
    <w:rsid w:val="6C0E5BFA"/>
    <w:rsid w:val="6CA87DFD"/>
    <w:rsid w:val="6D085F70"/>
    <w:rsid w:val="6D220B35"/>
    <w:rsid w:val="6E531FEA"/>
    <w:rsid w:val="6E533AC5"/>
    <w:rsid w:val="6F084A66"/>
    <w:rsid w:val="6F350038"/>
    <w:rsid w:val="6FFC6D8E"/>
    <w:rsid w:val="70000F34"/>
    <w:rsid w:val="70482D14"/>
    <w:rsid w:val="70985F24"/>
    <w:rsid w:val="72347D73"/>
    <w:rsid w:val="72810416"/>
    <w:rsid w:val="72F966BC"/>
    <w:rsid w:val="73CB790F"/>
    <w:rsid w:val="74F43AA0"/>
    <w:rsid w:val="75404D10"/>
    <w:rsid w:val="759E0D5A"/>
    <w:rsid w:val="763D4089"/>
    <w:rsid w:val="76422779"/>
    <w:rsid w:val="766B47B6"/>
    <w:rsid w:val="768A3536"/>
    <w:rsid w:val="77040325"/>
    <w:rsid w:val="786B4E1A"/>
    <w:rsid w:val="786C7F30"/>
    <w:rsid w:val="78F83A53"/>
    <w:rsid w:val="790976F2"/>
    <w:rsid w:val="791F7C53"/>
    <w:rsid w:val="7951234A"/>
    <w:rsid w:val="79B620E2"/>
    <w:rsid w:val="79F53F55"/>
    <w:rsid w:val="7A967CCC"/>
    <w:rsid w:val="7BDF6ADB"/>
    <w:rsid w:val="7BF149AC"/>
    <w:rsid w:val="7C1733C2"/>
    <w:rsid w:val="7C8B19F2"/>
    <w:rsid w:val="7E140468"/>
    <w:rsid w:val="7EB24E2B"/>
    <w:rsid w:val="7F6C00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locked/>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仿宋"/>
    </w:rPr>
  </w:style>
  <w:style w:type="paragraph" w:styleId="4">
    <w:name w:val="annotation text"/>
    <w:basedOn w:val="1"/>
    <w:link w:val="25"/>
    <w:autoRedefine/>
    <w:unhideWhenUsed/>
    <w:qFormat/>
    <w:uiPriority w:val="99"/>
    <w:pPr>
      <w:jc w:val="left"/>
    </w:pPr>
  </w:style>
  <w:style w:type="paragraph" w:styleId="5">
    <w:name w:val="Body Text Indent"/>
    <w:basedOn w:val="1"/>
    <w:next w:val="3"/>
    <w:unhideWhenUsed/>
    <w:qFormat/>
    <w:uiPriority w:val="99"/>
    <w:pPr>
      <w:spacing w:after="120"/>
      <w:ind w:left="420" w:leftChars="200"/>
    </w:pPr>
  </w:style>
  <w:style w:type="paragraph" w:styleId="6">
    <w:name w:val="Date"/>
    <w:basedOn w:val="1"/>
    <w:next w:val="1"/>
    <w:link w:val="18"/>
    <w:autoRedefine/>
    <w:qFormat/>
    <w:uiPriority w:val="99"/>
    <w:pPr>
      <w:ind w:left="100" w:leftChars="2500"/>
    </w:pPr>
  </w:style>
  <w:style w:type="paragraph" w:styleId="7">
    <w:name w:val="footer"/>
    <w:basedOn w:val="1"/>
    <w:link w:val="19"/>
    <w:autoRedefine/>
    <w:qFormat/>
    <w:uiPriority w:val="99"/>
    <w:pPr>
      <w:tabs>
        <w:tab w:val="center" w:pos="4153"/>
        <w:tab w:val="right" w:pos="8306"/>
      </w:tabs>
      <w:snapToGrid w:val="0"/>
      <w:jc w:val="left"/>
    </w:pPr>
    <w:rPr>
      <w:sz w:val="18"/>
      <w:szCs w:val="18"/>
    </w:rPr>
  </w:style>
  <w:style w:type="paragraph" w:styleId="8">
    <w:name w:val="header"/>
    <w:basedOn w:val="1"/>
    <w:link w:val="20"/>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annotation subject"/>
    <w:basedOn w:val="4"/>
    <w:next w:val="4"/>
    <w:link w:val="26"/>
    <w:semiHidden/>
    <w:unhideWhenUsed/>
    <w:qFormat/>
    <w:uiPriority w:val="99"/>
    <w:rPr>
      <w:b/>
      <w:bCs/>
    </w:rPr>
  </w:style>
  <w:style w:type="paragraph" w:styleId="11">
    <w:name w:val="Body Text First Indent 2"/>
    <w:basedOn w:val="5"/>
    <w:qFormat/>
    <w:uiPriority w:val="0"/>
    <w:pPr>
      <w:spacing w:after="0"/>
      <w:ind w:firstLine="420" w:firstLineChars="200"/>
    </w:pPr>
  </w:style>
  <w:style w:type="table" w:styleId="13">
    <w:name w:val="Table Grid"/>
    <w:basedOn w:val="12"/>
    <w:qFormat/>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autoRedefine/>
    <w:qFormat/>
    <w:locked/>
    <w:uiPriority w:val="99"/>
    <w:rPr>
      <w:rFonts w:cs="Times New Roman"/>
      <w:b/>
      <w:bCs/>
    </w:rPr>
  </w:style>
  <w:style w:type="character" w:styleId="16">
    <w:name w:val="Hyperlink"/>
    <w:autoRedefine/>
    <w:unhideWhenUsed/>
    <w:qFormat/>
    <w:uiPriority w:val="99"/>
    <w:rPr>
      <w:color w:val="0000FF"/>
      <w:u w:val="single"/>
    </w:rPr>
  </w:style>
  <w:style w:type="character" w:styleId="17">
    <w:name w:val="annotation reference"/>
    <w:basedOn w:val="14"/>
    <w:semiHidden/>
    <w:unhideWhenUsed/>
    <w:qFormat/>
    <w:uiPriority w:val="99"/>
    <w:rPr>
      <w:sz w:val="21"/>
      <w:szCs w:val="21"/>
    </w:rPr>
  </w:style>
  <w:style w:type="character" w:customStyle="1" w:styleId="18">
    <w:name w:val="日期 字符"/>
    <w:link w:val="6"/>
    <w:semiHidden/>
    <w:qFormat/>
    <w:locked/>
    <w:uiPriority w:val="99"/>
    <w:rPr>
      <w:rFonts w:ascii="Calibri" w:hAnsi="Calibri" w:eastAsia="宋体" w:cs="Times New Roman"/>
      <w:sz w:val="24"/>
      <w:szCs w:val="24"/>
    </w:rPr>
  </w:style>
  <w:style w:type="character" w:customStyle="1" w:styleId="19">
    <w:name w:val="页脚 字符"/>
    <w:link w:val="7"/>
    <w:autoRedefine/>
    <w:qFormat/>
    <w:locked/>
    <w:uiPriority w:val="99"/>
    <w:rPr>
      <w:rFonts w:ascii="Calibri" w:hAnsi="Calibri" w:eastAsia="宋体" w:cs="Times New Roman"/>
      <w:sz w:val="18"/>
      <w:szCs w:val="18"/>
    </w:rPr>
  </w:style>
  <w:style w:type="character" w:customStyle="1" w:styleId="20">
    <w:name w:val="页眉 字符"/>
    <w:link w:val="8"/>
    <w:qFormat/>
    <w:locked/>
    <w:uiPriority w:val="99"/>
    <w:rPr>
      <w:rFonts w:ascii="Calibri" w:hAnsi="Calibri" w:eastAsia="宋体" w:cs="Times New Roman"/>
      <w:sz w:val="18"/>
      <w:szCs w:val="18"/>
    </w:rPr>
  </w:style>
  <w:style w:type="paragraph" w:customStyle="1" w:styleId="21">
    <w:name w:val="List Paragraph1"/>
    <w:basedOn w:val="1"/>
    <w:qFormat/>
    <w:uiPriority w:val="99"/>
    <w:pPr>
      <w:ind w:firstLine="420" w:firstLineChars="200"/>
    </w:pPr>
  </w:style>
  <w:style w:type="paragraph" w:customStyle="1" w:styleId="22">
    <w:name w:val="WPSOffice手动目录 1"/>
    <w:autoRedefine/>
    <w:qFormat/>
    <w:uiPriority w:val="99"/>
    <w:rPr>
      <w:rFonts w:ascii="等线" w:hAnsi="等线" w:eastAsia="等线" w:cs="Times New Roman"/>
      <w:lang w:val="en-US" w:eastAsia="zh-CN" w:bidi="ar-SA"/>
    </w:rPr>
  </w:style>
  <w:style w:type="character" w:customStyle="1" w:styleId="23">
    <w:name w:val="text-selectable"/>
    <w:qFormat/>
    <w:uiPriority w:val="99"/>
    <w:rPr>
      <w:rFonts w:cs="Times New Roman"/>
    </w:rPr>
  </w:style>
  <w:style w:type="character" w:customStyle="1" w:styleId="24">
    <w:name w:val="Unresolved Mention"/>
    <w:autoRedefine/>
    <w:semiHidden/>
    <w:unhideWhenUsed/>
    <w:qFormat/>
    <w:uiPriority w:val="99"/>
    <w:rPr>
      <w:color w:val="605E5C"/>
      <w:shd w:val="clear" w:color="auto" w:fill="E1DFDD"/>
    </w:rPr>
  </w:style>
  <w:style w:type="character" w:customStyle="1" w:styleId="25">
    <w:name w:val="批注文字 字符"/>
    <w:basedOn w:val="14"/>
    <w:link w:val="4"/>
    <w:qFormat/>
    <w:uiPriority w:val="99"/>
    <w:rPr>
      <w:rFonts w:ascii="Calibri" w:hAnsi="Calibri"/>
      <w:kern w:val="2"/>
      <w:sz w:val="21"/>
      <w:szCs w:val="24"/>
    </w:rPr>
  </w:style>
  <w:style w:type="character" w:customStyle="1" w:styleId="26">
    <w:name w:val="批注主题 字符"/>
    <w:basedOn w:val="25"/>
    <w:link w:val="10"/>
    <w:semiHidden/>
    <w:qFormat/>
    <w:uiPriority w:val="99"/>
    <w:rPr>
      <w:rFonts w:ascii="Calibri" w:hAnsi="Calibri"/>
      <w:b/>
      <w:bCs/>
      <w:kern w:val="2"/>
      <w:sz w:val="21"/>
      <w:szCs w:val="24"/>
    </w:rPr>
  </w:style>
  <w:style w:type="paragraph" w:customStyle="1" w:styleId="27">
    <w:name w:val="样式2"/>
    <w:basedOn w:val="2"/>
    <w:qFormat/>
    <w:uiPriority w:val="0"/>
    <w:rPr>
      <w:rFonts w:ascii="仿宋" w:hAnsi="仿宋" w:eastAsia="仿宋"/>
      <w:b w:val="0"/>
    </w:rPr>
  </w:style>
  <w:style w:type="paragraph" w:customStyle="1" w:styleId="28">
    <w:name w:val="样式1"/>
    <w:basedOn w:val="29"/>
    <w:autoRedefine/>
    <w:qFormat/>
    <w:uiPriority w:val="0"/>
    <w:pPr>
      <w:numPr>
        <w:ilvl w:val="0"/>
        <w:numId w:val="1"/>
      </w:numPr>
      <w:ind w:left="0" w:firstLine="0" w:firstLineChars="0"/>
      <w:outlineLvl w:val="0"/>
    </w:pPr>
    <w:rPr>
      <w:rFonts w:ascii="仿宋" w:hAnsi="仿宋" w:eastAsia="仿宋"/>
      <w:b/>
      <w:sz w:val="32"/>
      <w:szCs w:val="32"/>
    </w:rPr>
  </w:style>
  <w:style w:type="paragraph" w:styleId="2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2132</Words>
  <Characters>2208</Characters>
  <Lines>69</Lines>
  <Paragraphs>19</Paragraphs>
  <TotalTime>3</TotalTime>
  <ScaleCrop>false</ScaleCrop>
  <LinksUpToDate>false</LinksUpToDate>
  <CharactersWithSpaces>2214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2020-02-13T03:23:00Z</dcterms:created>
  <dc:creator>咕咕</dc:creator>
  <cp:lastModifiedBy>吴睿</cp:lastModifiedBy>
  <cp:lastPrinted>2024-05-22T05:53:00Z</cp:lastPrinted>
  <dcterms:modified xsi:type="dcterms:W3CDTF">2025-01-21T02:24:46Z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EF49B3BD61E84A42B167F62E07EBC044</vt:lpwstr>
  </property>
  <property fmtid="{D5CDD505-2E9C-101B-9397-08002B2CF9AE}" pid="4" name="KSOTemplateDocerSaveRecord">
    <vt:lpwstr>eyJoZGlkIjoiMDEyNjljNzQ1MDAzYTRmZDg1ZWMyNGRiNWUxOGJiYzUiLCJ1c2VySWQiOiIyMzA0MTY2MjcifQ==</vt:lpwstr>
  </property>
</Properties>
</file>