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33ADBC">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36"/>
          <w:szCs w:val="36"/>
          <w:shd w:val="clear" w:color="auto" w:fill="FFFFFF"/>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静安静安寺上海良莺建筑装潢有限公司</w:t>
      </w:r>
    </w:p>
    <w:p w14:paraId="3244CCE9">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方正小标宋简体" w:hAnsi="方正小标宋简体" w:eastAsia="方正小标宋简体" w:cs="方正小标宋简体"/>
          <w:i w:val="0"/>
          <w:iCs w:val="0"/>
          <w:caps w:val="0"/>
          <w:color w:val="auto"/>
          <w:spacing w:val="0"/>
          <w:sz w:val="36"/>
          <w:szCs w:val="36"/>
          <w:shd w:val="clear" w:color="auto" w:fill="FFFFFF"/>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“9.9”一般触电事故整改和防范措施</w:t>
      </w:r>
    </w:p>
    <w:p w14:paraId="76E2DBDD">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ascii="黑体" w:hAnsi="黑体" w:eastAsia="方正小标宋简体" w:cs="黑体"/>
          <w:bCs/>
          <w:sz w:val="36"/>
          <w:szCs w:val="36"/>
          <w:lang w:eastAsia="zh-CN"/>
        </w:rPr>
      </w:pPr>
      <w:r>
        <w:rPr>
          <w:rFonts w:hint="eastAsia" w:ascii="方正小标宋简体" w:hAnsi="方正小标宋简体" w:eastAsia="方正小标宋简体" w:cs="方正小标宋简体"/>
          <w:i w:val="0"/>
          <w:iCs w:val="0"/>
          <w:caps w:val="0"/>
          <w:color w:val="auto"/>
          <w:spacing w:val="0"/>
          <w:sz w:val="36"/>
          <w:szCs w:val="36"/>
          <w:shd w:val="clear" w:color="auto" w:fill="FFFFFF"/>
        </w:rPr>
        <w:t>落实情况评估</w:t>
      </w:r>
      <w:r>
        <w:rPr>
          <w:rFonts w:hint="eastAsia" w:ascii="方正小标宋简体" w:hAnsi="方正小标宋简体" w:eastAsia="方正小标宋简体" w:cs="方正小标宋简体"/>
          <w:i w:val="0"/>
          <w:iCs w:val="0"/>
          <w:caps w:val="0"/>
          <w:color w:val="auto"/>
          <w:spacing w:val="0"/>
          <w:sz w:val="36"/>
          <w:szCs w:val="36"/>
          <w:shd w:val="clear" w:color="auto" w:fill="FFFFFF"/>
          <w:lang w:eastAsia="zh-CN"/>
        </w:rPr>
        <w:t>报告</w:t>
      </w:r>
    </w:p>
    <w:p w14:paraId="60E142E1">
      <w:pPr>
        <w:keepNext w:val="0"/>
        <w:keepLines w:val="0"/>
        <w:pageBreakBefore w:val="0"/>
        <w:widowControl w:val="0"/>
        <w:kinsoku/>
        <w:overflowPunct/>
        <w:topLinePunct w:val="0"/>
        <w:autoSpaceDE/>
        <w:autoSpaceDN/>
        <w:bidi w:val="0"/>
        <w:adjustRightInd/>
        <w:spacing w:line="560" w:lineRule="exact"/>
        <w:jc w:val="center"/>
        <w:textAlignment w:val="auto"/>
        <w:rPr>
          <w:rFonts w:ascii="黑体" w:hAnsi="华文中宋" w:eastAsia="黑体"/>
          <w:bCs/>
          <w:sz w:val="36"/>
          <w:szCs w:val="36"/>
        </w:rPr>
      </w:pPr>
    </w:p>
    <w:p w14:paraId="498343CB">
      <w:pPr>
        <w:keepNext w:val="0"/>
        <w:keepLines w:val="0"/>
        <w:pageBreakBefore w:val="0"/>
        <w:widowControl w:val="0"/>
        <w:kinsoku/>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bCs/>
          <w:sz w:val="30"/>
          <w:szCs w:val="30"/>
        </w:rPr>
      </w:pPr>
      <w:r>
        <w:rPr>
          <w:rFonts w:hint="eastAsia" w:ascii="黑体" w:hAnsi="黑体" w:eastAsia="黑体" w:cs="黑体"/>
          <w:b w:val="0"/>
          <w:bCs/>
          <w:sz w:val="30"/>
          <w:szCs w:val="30"/>
          <w:lang w:eastAsia="zh-CN"/>
        </w:rPr>
        <w:t>一、基本情况</w:t>
      </w:r>
    </w:p>
    <w:p w14:paraId="01E1807E">
      <w:pPr>
        <w:keepNext w:val="0"/>
        <w:keepLines w:val="0"/>
        <w:pageBreakBefore w:val="0"/>
        <w:widowControl w:val="0"/>
        <w:kinsoku/>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2023年9月9日凌晨1时16分许，静安区静安寺街道乌鲁木齐中路12号复旦大学附属华山医院（以下简称华山医院）门诊六楼弱电机房外过道吊顶发生一起一般触电事故，事故造成一人死亡。事故发生后，依据相关法律法规，静安区应急管理局会同相关部门组织事故调查组展开调查。静安区人民政府于2023年</w:t>
      </w:r>
      <w:r>
        <w:rPr>
          <w:rFonts w:hint="eastAsia" w:ascii="仿宋_GB2312" w:hAnsi="仿宋_GB2312" w:eastAsia="仿宋_GB2312" w:cs="仿宋_GB2312"/>
          <w:sz w:val="30"/>
          <w:szCs w:val="30"/>
          <w:lang w:val="en-US" w:eastAsia="zh-CN"/>
        </w:rPr>
        <w:t>11月7日</w:t>
      </w:r>
      <w:r>
        <w:rPr>
          <w:rFonts w:hint="eastAsia" w:ascii="仿宋_GB2312" w:hAnsi="仿宋_GB2312" w:eastAsia="仿宋_GB2312" w:cs="仿宋_GB2312"/>
          <w:sz w:val="30"/>
          <w:szCs w:val="30"/>
        </w:rPr>
        <w:t>批复同意事故</w:t>
      </w:r>
      <w:r>
        <w:rPr>
          <w:rFonts w:hint="eastAsia" w:ascii="仿宋_GB2312" w:hAnsi="仿宋_GB2312" w:eastAsia="仿宋_GB2312" w:cs="仿宋_GB2312"/>
          <w:sz w:val="30"/>
          <w:szCs w:val="30"/>
          <w:lang w:eastAsia="zh-CN"/>
        </w:rPr>
        <w:t>调查组提交的《静安静安寺上海良莺建筑装潢有限公司“9.9”一般触电事故调查报告》。</w:t>
      </w:r>
    </w:p>
    <w:p w14:paraId="764C193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按照《中华人民共和国安全生产法》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《生产安全事故防范和整改措施落实情况评估办法》</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《上海市生产安全事故整改和防范措施落实情况评估办法》等相关法律法规和规范性文件要求，</w:t>
      </w:r>
      <w:r>
        <w:rPr>
          <w:rFonts w:hint="eastAsia" w:ascii="仿宋_GB2312" w:hAnsi="仿宋_GB2312" w:eastAsia="仿宋_GB2312" w:cs="仿宋_GB2312"/>
          <w:sz w:val="30"/>
          <w:szCs w:val="30"/>
          <w:lang w:eastAsia="zh-CN"/>
        </w:rPr>
        <w:t>静安</w:t>
      </w:r>
      <w:r>
        <w:rPr>
          <w:rFonts w:hint="eastAsia" w:ascii="仿宋_GB2312" w:hAnsi="仿宋_GB2312" w:eastAsia="仿宋_GB2312" w:cs="仿宋_GB2312"/>
          <w:sz w:val="30"/>
          <w:szCs w:val="30"/>
        </w:rPr>
        <w:t>区应急局</w:t>
      </w:r>
      <w:r>
        <w:rPr>
          <w:rFonts w:hint="eastAsia" w:ascii="仿宋_GB2312" w:hAnsi="仿宋_GB2312" w:eastAsia="仿宋_GB2312" w:cs="仿宋_GB2312"/>
          <w:sz w:val="30"/>
          <w:szCs w:val="30"/>
          <w:lang w:eastAsia="zh-CN"/>
        </w:rPr>
        <w:t>牵头召集</w:t>
      </w:r>
      <w:r>
        <w:rPr>
          <w:rFonts w:hint="eastAsia" w:ascii="仿宋_GB2312" w:hAnsi="仿宋_GB2312" w:eastAsia="仿宋_GB2312" w:cs="仿宋_GB2312"/>
          <w:sz w:val="30"/>
          <w:szCs w:val="30"/>
        </w:rPr>
        <w:t>区公安分局、区总工会等部门</w:t>
      </w:r>
      <w:r>
        <w:rPr>
          <w:rFonts w:hint="eastAsia" w:ascii="仿宋_GB2312" w:hAnsi="仿宋_GB2312" w:eastAsia="仿宋_GB2312" w:cs="仿宋_GB2312"/>
          <w:sz w:val="30"/>
          <w:szCs w:val="30"/>
          <w:lang w:eastAsia="zh-CN"/>
        </w:rPr>
        <w:t>于</w:t>
      </w:r>
      <w:r>
        <w:rPr>
          <w:rFonts w:hint="eastAsia" w:ascii="仿宋_GB2312" w:hAnsi="仿宋_GB2312" w:eastAsia="仿宋_GB2312" w:cs="仿宋_GB2312"/>
          <w:sz w:val="30"/>
          <w:szCs w:val="30"/>
          <w:lang w:val="en-US" w:eastAsia="zh-CN"/>
        </w:rPr>
        <w:t>2024年9月2日</w:t>
      </w:r>
      <w:r>
        <w:rPr>
          <w:rFonts w:hint="eastAsia" w:ascii="仿宋_GB2312" w:hAnsi="仿宋_GB2312" w:eastAsia="仿宋_GB2312" w:cs="仿宋_GB2312"/>
          <w:sz w:val="30"/>
          <w:szCs w:val="30"/>
        </w:rPr>
        <w:t>组成</w:t>
      </w:r>
      <w:r>
        <w:rPr>
          <w:rFonts w:hint="eastAsia" w:ascii="仿宋_GB2312" w:hAnsi="仿宋_GB2312" w:eastAsia="仿宋_GB2312" w:cs="仿宋_GB2312"/>
          <w:sz w:val="30"/>
          <w:szCs w:val="30"/>
          <w:lang w:eastAsia="zh-CN"/>
        </w:rPr>
        <w:t>静安静安寺上海良莺建筑装潢有限公司“9.9”一般触电事故</w:t>
      </w:r>
      <w:r>
        <w:rPr>
          <w:rFonts w:hint="eastAsia" w:ascii="仿宋_GB2312" w:hAnsi="仿宋_GB2312" w:eastAsia="仿宋_GB2312" w:cs="仿宋_GB2312"/>
          <w:sz w:val="30"/>
          <w:szCs w:val="30"/>
        </w:rPr>
        <w:t>评估组（以下简称评估组），</w:t>
      </w:r>
      <w:r>
        <w:rPr>
          <w:rFonts w:hint="eastAsia" w:ascii="仿宋_GB2312" w:hAnsi="仿宋_GB2312" w:eastAsia="仿宋_GB2312" w:cs="仿宋_GB2312"/>
          <w:sz w:val="30"/>
          <w:szCs w:val="30"/>
          <w:lang w:eastAsia="zh-CN"/>
        </w:rPr>
        <w:t>同时</w:t>
      </w:r>
      <w:r>
        <w:rPr>
          <w:rFonts w:hint="eastAsia" w:ascii="仿宋_GB2312" w:hAnsi="仿宋_GB2312" w:eastAsia="仿宋_GB2312" w:cs="仿宋_GB2312"/>
          <w:sz w:val="30"/>
          <w:szCs w:val="30"/>
        </w:rPr>
        <w:t>邀请</w:t>
      </w:r>
      <w:r>
        <w:rPr>
          <w:rFonts w:hint="eastAsia" w:ascii="仿宋_GB2312" w:hAnsi="仿宋_GB2312" w:eastAsia="仿宋_GB2312" w:cs="仿宋_GB2312"/>
          <w:sz w:val="30"/>
          <w:szCs w:val="30"/>
          <w:lang w:eastAsia="zh-CN"/>
        </w:rPr>
        <w:t>区纪委监委、上海森特企业管理服务有限公司（第三方服务机构）</w:t>
      </w:r>
      <w:r>
        <w:rPr>
          <w:rFonts w:hint="eastAsia" w:ascii="仿宋_GB2312" w:hAnsi="仿宋_GB2312" w:eastAsia="仿宋_GB2312" w:cs="仿宋_GB2312"/>
          <w:sz w:val="30"/>
          <w:szCs w:val="30"/>
        </w:rPr>
        <w:t>参加</w:t>
      </w:r>
      <w:r>
        <w:rPr>
          <w:rFonts w:hint="eastAsia" w:ascii="仿宋_GB2312" w:hAnsi="仿宋_GB2312" w:eastAsia="仿宋_GB2312" w:cs="仿宋_GB2312"/>
          <w:sz w:val="30"/>
          <w:szCs w:val="30"/>
          <w:lang w:eastAsia="zh-CN"/>
        </w:rPr>
        <w:t>本次评估</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通过</w:t>
      </w:r>
      <w:r>
        <w:rPr>
          <w:rFonts w:hint="eastAsia" w:ascii="仿宋_GB2312" w:hAnsi="仿宋_GB2312" w:eastAsia="仿宋_GB2312" w:cs="仿宋_GB2312"/>
          <w:sz w:val="30"/>
          <w:szCs w:val="30"/>
        </w:rPr>
        <w:t>资料审查、座谈问询、查阅文件、走访核查</w:t>
      </w:r>
      <w:r>
        <w:rPr>
          <w:rFonts w:hint="eastAsia" w:ascii="仿宋_GB2312" w:hAnsi="仿宋_GB2312" w:eastAsia="仿宋_GB2312" w:cs="仿宋_GB2312"/>
          <w:sz w:val="30"/>
          <w:szCs w:val="30"/>
          <w:lang w:eastAsia="zh-CN"/>
        </w:rPr>
        <w:t>，第三方服务机构通过资料审查、现场核查、专业评查等方式</w:t>
      </w:r>
      <w:r>
        <w:rPr>
          <w:rFonts w:hint="eastAsia" w:ascii="仿宋_GB2312" w:hAnsi="仿宋_GB2312" w:eastAsia="仿宋_GB2312" w:cs="仿宋_GB2312"/>
          <w:sz w:val="30"/>
          <w:szCs w:val="30"/>
        </w:rPr>
        <w:t>，对</w:t>
      </w:r>
      <w:r>
        <w:rPr>
          <w:rFonts w:hint="eastAsia" w:ascii="仿宋_GB2312" w:hAnsi="仿宋_GB2312" w:eastAsia="仿宋_GB2312" w:cs="仿宋_GB2312"/>
          <w:sz w:val="30"/>
          <w:szCs w:val="30"/>
          <w:lang w:eastAsia="zh-CN"/>
        </w:rPr>
        <w:t>静安静安寺上海良莺建筑装潢有限公司“9.9”一般触电事故的责任追究、</w:t>
      </w:r>
      <w:r>
        <w:rPr>
          <w:rFonts w:hint="eastAsia" w:ascii="仿宋_GB2312" w:hAnsi="仿宋_GB2312" w:eastAsia="仿宋_GB2312" w:cs="仿宋_GB2312"/>
          <w:sz w:val="30"/>
          <w:szCs w:val="30"/>
        </w:rPr>
        <w:t>整改和防范措施落实情况评估</w:t>
      </w:r>
      <w:r>
        <w:rPr>
          <w:rFonts w:hint="eastAsia" w:ascii="仿宋_GB2312" w:hAnsi="仿宋_GB2312" w:eastAsia="仿宋_GB2312" w:cs="仿宋_GB2312"/>
          <w:sz w:val="30"/>
          <w:szCs w:val="30"/>
          <w:lang w:eastAsia="zh-CN"/>
        </w:rPr>
        <w:t>如下：</w:t>
      </w:r>
    </w:p>
    <w:p w14:paraId="39B99549">
      <w:pPr>
        <w:keepNext w:val="0"/>
        <w:keepLines w:val="0"/>
        <w:pageBreakBefore w:val="0"/>
        <w:widowControl w:val="0"/>
        <w:kinsoku/>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bCs/>
          <w:sz w:val="30"/>
          <w:szCs w:val="30"/>
          <w:lang w:eastAsia="zh-CN"/>
        </w:rPr>
      </w:pPr>
      <w:bookmarkStart w:id="0" w:name="_Toc19355"/>
      <w:r>
        <w:rPr>
          <w:rFonts w:hint="eastAsia" w:ascii="黑体" w:hAnsi="黑体" w:eastAsia="黑体" w:cs="黑体"/>
          <w:b w:val="0"/>
          <w:bCs/>
          <w:sz w:val="30"/>
          <w:szCs w:val="30"/>
          <w:lang w:eastAsia="zh-CN"/>
        </w:rPr>
        <w:t>二、事故处理落实情况</w:t>
      </w:r>
      <w:bookmarkEnd w:id="0"/>
    </w:p>
    <w:p w14:paraId="35A35F34">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eastAsia="zh-CN"/>
        </w:rPr>
      </w:pPr>
      <w:r>
        <w:rPr>
          <w:rFonts w:hint="eastAsia" w:ascii="楷体_GB2312" w:hAnsi="楷体_GB2312" w:eastAsia="楷体_GB2312" w:cs="楷体_GB2312"/>
          <w:b/>
          <w:bCs w:val="0"/>
          <w:sz w:val="30"/>
          <w:szCs w:val="30"/>
          <w:lang w:eastAsia="zh-CN"/>
        </w:rPr>
        <w:t>（一）事故责任单位的行政处罚落实情况</w:t>
      </w:r>
    </w:p>
    <w:p w14:paraId="7F19803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针对事故调查报告的处理建议，经</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核实，本</w:t>
      </w:r>
      <w:r>
        <w:rPr>
          <w:rFonts w:hint="eastAsia" w:ascii="仿宋_GB2312" w:hAnsi="仿宋_GB2312" w:eastAsia="仿宋_GB2312" w:cs="仿宋_GB2312"/>
          <w:sz w:val="30"/>
          <w:szCs w:val="30"/>
        </w:rPr>
        <w:t>事故</w:t>
      </w:r>
      <w:r>
        <w:rPr>
          <w:rFonts w:hint="eastAsia" w:ascii="仿宋_GB2312" w:hAnsi="仿宋_GB2312" w:eastAsia="仿宋_GB2312" w:cs="仿宋_GB2312"/>
          <w:sz w:val="30"/>
          <w:szCs w:val="30"/>
          <w:lang w:eastAsia="zh-CN"/>
        </w:rPr>
        <w:t>中</w:t>
      </w:r>
      <w:r>
        <w:rPr>
          <w:rFonts w:hint="eastAsia" w:ascii="仿宋_GB2312" w:hAnsi="仿宋_GB2312" w:eastAsia="仿宋_GB2312" w:cs="仿宋_GB2312"/>
          <w:sz w:val="30"/>
          <w:szCs w:val="30"/>
        </w:rPr>
        <w:t>责任单位</w:t>
      </w:r>
      <w:r>
        <w:rPr>
          <w:rFonts w:hint="eastAsia" w:ascii="仿宋_GB2312" w:hAnsi="仿宋_GB2312" w:eastAsia="仿宋_GB2312" w:cs="仿宋_GB2312"/>
          <w:sz w:val="30"/>
          <w:szCs w:val="30"/>
          <w:lang w:eastAsia="zh-CN"/>
        </w:rPr>
        <w:t>的行政</w:t>
      </w:r>
      <w:r>
        <w:rPr>
          <w:rFonts w:hint="eastAsia" w:ascii="仿宋_GB2312" w:hAnsi="仿宋_GB2312" w:eastAsia="仿宋_GB2312" w:cs="仿宋_GB2312"/>
          <w:sz w:val="30"/>
          <w:szCs w:val="30"/>
        </w:rPr>
        <w:t>处罚</w:t>
      </w:r>
      <w:r>
        <w:rPr>
          <w:rFonts w:hint="eastAsia" w:ascii="仿宋_GB2312" w:hAnsi="仿宋_GB2312" w:eastAsia="仿宋_GB2312" w:cs="仿宋_GB2312"/>
          <w:sz w:val="30"/>
          <w:szCs w:val="30"/>
          <w:lang w:eastAsia="zh-CN"/>
        </w:rPr>
        <w:t>落实情况</w:t>
      </w:r>
      <w:r>
        <w:rPr>
          <w:rFonts w:hint="eastAsia" w:ascii="仿宋_GB2312" w:hAnsi="仿宋_GB2312" w:eastAsia="仿宋_GB2312" w:cs="仿宋_GB2312"/>
          <w:sz w:val="30"/>
          <w:szCs w:val="30"/>
        </w:rPr>
        <w:t>如下：</w:t>
      </w:r>
    </w:p>
    <w:p w14:paraId="55E74E0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上海良莺建筑装潢有限公司</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34</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上海良莺建筑装潢有限公司</w:t>
      </w:r>
      <w:r>
        <w:rPr>
          <w:rFonts w:hint="eastAsia" w:ascii="仿宋_GB2312" w:hAnsi="仿宋_GB2312" w:eastAsia="仿宋_GB2312" w:cs="仿宋_GB2312"/>
          <w:sz w:val="30"/>
          <w:szCs w:val="30"/>
          <w:lang w:eastAsia="zh-CN"/>
        </w:rPr>
        <w:t>已于20</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日缴纳全部</w:t>
      </w:r>
      <w:r>
        <w:rPr>
          <w:rFonts w:hint="eastAsia" w:ascii="仿宋_GB2312" w:hAnsi="仿宋_GB2312" w:eastAsia="仿宋_GB2312" w:cs="仿宋_GB2312"/>
          <w:sz w:val="30"/>
          <w:szCs w:val="30"/>
        </w:rPr>
        <w:t>罚款。</w:t>
      </w:r>
    </w:p>
    <w:p w14:paraId="45D92DF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欧室（上海）建筑科技有限公司</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33</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欧室（上海）建筑科技有限公司</w:t>
      </w:r>
      <w:r>
        <w:rPr>
          <w:rFonts w:hint="eastAsia" w:ascii="仿宋_GB2312" w:hAnsi="仿宋_GB2312" w:eastAsia="仿宋_GB2312" w:cs="仿宋_GB2312"/>
          <w:sz w:val="30"/>
          <w:szCs w:val="30"/>
          <w:lang w:eastAsia="zh-CN"/>
        </w:rPr>
        <w:t>已于20</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lang w:eastAsia="zh-CN"/>
        </w:rPr>
        <w:t>日缴纳全部</w:t>
      </w:r>
      <w:r>
        <w:rPr>
          <w:rFonts w:hint="eastAsia" w:ascii="仿宋_GB2312" w:hAnsi="仿宋_GB2312" w:eastAsia="仿宋_GB2312" w:cs="仿宋_GB2312"/>
          <w:sz w:val="30"/>
          <w:szCs w:val="30"/>
        </w:rPr>
        <w:t>罚款。</w:t>
      </w:r>
    </w:p>
    <w:p w14:paraId="034F129C">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ascii="仿宋_GB2312" w:hAnsi="仿宋_GB2312" w:eastAsia="仿宋_GB2312" w:cs="仿宋_GB2312"/>
          <w:bCs/>
          <w:sz w:val="30"/>
          <w:szCs w:val="30"/>
        </w:rPr>
      </w:pPr>
      <w:r>
        <w:rPr>
          <w:rFonts w:hint="eastAsia" w:ascii="楷体_GB2312" w:hAnsi="楷体_GB2312" w:eastAsia="楷体_GB2312" w:cs="楷体_GB2312"/>
          <w:b/>
          <w:bCs w:val="0"/>
          <w:sz w:val="30"/>
          <w:szCs w:val="30"/>
          <w:lang w:eastAsia="zh-CN"/>
        </w:rPr>
        <w:t>（二）事故责任人员的行政处罚落实情况</w:t>
      </w:r>
    </w:p>
    <w:p w14:paraId="096D3805">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针对事故调查报告的处理建议，经</w:t>
      </w:r>
      <w:r>
        <w:rPr>
          <w:rFonts w:hint="eastAsia" w:ascii="仿宋_GB2312" w:hAnsi="仿宋_GB2312" w:eastAsia="仿宋_GB2312" w:cs="仿宋_GB2312"/>
          <w:sz w:val="30"/>
          <w:szCs w:val="30"/>
        </w:rPr>
        <w:t>评估组</w:t>
      </w:r>
      <w:r>
        <w:rPr>
          <w:rFonts w:hint="eastAsia" w:ascii="仿宋_GB2312" w:hAnsi="仿宋_GB2312" w:eastAsia="仿宋_GB2312" w:cs="仿宋_GB2312"/>
          <w:sz w:val="30"/>
          <w:szCs w:val="30"/>
          <w:lang w:eastAsia="zh-CN"/>
        </w:rPr>
        <w:t>核实，本</w:t>
      </w:r>
      <w:r>
        <w:rPr>
          <w:rFonts w:hint="eastAsia" w:ascii="仿宋_GB2312" w:hAnsi="仿宋_GB2312" w:eastAsia="仿宋_GB2312" w:cs="仿宋_GB2312"/>
          <w:sz w:val="30"/>
          <w:szCs w:val="30"/>
        </w:rPr>
        <w:t>事故</w:t>
      </w:r>
      <w:r>
        <w:rPr>
          <w:rFonts w:hint="eastAsia" w:ascii="仿宋_GB2312" w:hAnsi="仿宋_GB2312" w:eastAsia="仿宋_GB2312" w:cs="仿宋_GB2312"/>
          <w:sz w:val="30"/>
          <w:szCs w:val="30"/>
          <w:lang w:eastAsia="zh-CN"/>
        </w:rPr>
        <w:t>中</w:t>
      </w:r>
      <w:r>
        <w:rPr>
          <w:rFonts w:hint="eastAsia" w:ascii="仿宋_GB2312" w:hAnsi="仿宋_GB2312" w:eastAsia="仿宋_GB2312" w:cs="仿宋_GB2312"/>
          <w:sz w:val="30"/>
          <w:szCs w:val="30"/>
        </w:rPr>
        <w:t>责任</w:t>
      </w:r>
      <w:r>
        <w:rPr>
          <w:rFonts w:hint="eastAsia" w:ascii="仿宋_GB2312" w:hAnsi="仿宋_GB2312" w:eastAsia="仿宋_GB2312" w:cs="仿宋_GB2312"/>
          <w:sz w:val="30"/>
          <w:szCs w:val="30"/>
          <w:lang w:eastAsia="zh-CN"/>
        </w:rPr>
        <w:t>人员的行政</w:t>
      </w:r>
      <w:r>
        <w:rPr>
          <w:rFonts w:hint="eastAsia" w:ascii="仿宋_GB2312" w:hAnsi="仿宋_GB2312" w:eastAsia="仿宋_GB2312" w:cs="仿宋_GB2312"/>
          <w:sz w:val="30"/>
          <w:szCs w:val="30"/>
        </w:rPr>
        <w:t>处罚</w:t>
      </w:r>
      <w:r>
        <w:rPr>
          <w:rFonts w:hint="eastAsia" w:ascii="仿宋_GB2312" w:hAnsi="仿宋_GB2312" w:eastAsia="仿宋_GB2312" w:cs="仿宋_GB2312"/>
          <w:sz w:val="30"/>
          <w:szCs w:val="30"/>
          <w:lang w:eastAsia="zh-CN"/>
        </w:rPr>
        <w:t>落实情况</w:t>
      </w:r>
      <w:r>
        <w:rPr>
          <w:rFonts w:hint="eastAsia" w:ascii="仿宋_GB2312" w:hAnsi="仿宋_GB2312" w:eastAsia="仿宋_GB2312" w:cs="仿宋_GB2312"/>
          <w:sz w:val="30"/>
          <w:szCs w:val="30"/>
        </w:rPr>
        <w:t>如下：</w:t>
      </w:r>
    </w:p>
    <w:p w14:paraId="63AEA70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上海良莺建筑装潢有限公司法定代表人丁永山</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罚款人民币</w:t>
      </w:r>
      <w:r>
        <w:rPr>
          <w:rFonts w:hint="eastAsia" w:ascii="仿宋_GB2312" w:hAnsi="仿宋_GB2312" w:eastAsia="仿宋_GB2312" w:cs="仿宋_GB2312"/>
          <w:sz w:val="30"/>
          <w:szCs w:val="30"/>
          <w:lang w:val="en-US" w:eastAsia="zh-CN"/>
        </w:rPr>
        <w:t>4.8</w:t>
      </w:r>
      <w:r>
        <w:rPr>
          <w:rFonts w:hint="eastAsia" w:ascii="仿宋_GB2312" w:hAnsi="仿宋_GB2312" w:eastAsia="仿宋_GB2312" w:cs="仿宋_GB2312"/>
          <w:sz w:val="30"/>
          <w:szCs w:val="30"/>
        </w:rPr>
        <w:t>万元的行政处罚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21</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丁永山</w:t>
      </w:r>
      <w:r>
        <w:rPr>
          <w:rFonts w:hint="eastAsia" w:ascii="仿宋_GB2312" w:hAnsi="仿宋_GB2312" w:eastAsia="仿宋_GB2312" w:cs="仿宋_GB2312"/>
          <w:sz w:val="30"/>
          <w:szCs w:val="30"/>
          <w:lang w:eastAsia="zh-CN"/>
        </w:rPr>
        <w:t>已</w:t>
      </w:r>
      <w:r>
        <w:rPr>
          <w:rFonts w:hint="eastAsia" w:ascii="仿宋_GB2312" w:hAnsi="仿宋_GB2312" w:eastAsia="仿宋_GB2312" w:cs="仿宋_GB2312"/>
          <w:sz w:val="30"/>
          <w:szCs w:val="30"/>
        </w:rPr>
        <w:t>于</w:t>
      </w:r>
      <w:r>
        <w:rPr>
          <w:rFonts w:hint="eastAsia" w:ascii="仿宋_GB2312" w:hAnsi="仿宋_GB2312" w:eastAsia="仿宋_GB2312" w:cs="仿宋_GB2312"/>
          <w:sz w:val="30"/>
          <w:szCs w:val="30"/>
          <w:lang w:eastAsia="zh-CN"/>
        </w:rPr>
        <w:t>20</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29</w:t>
      </w:r>
      <w:r>
        <w:rPr>
          <w:rFonts w:hint="eastAsia" w:ascii="仿宋_GB2312" w:hAnsi="仿宋_GB2312" w:eastAsia="仿宋_GB2312" w:cs="仿宋_GB2312"/>
          <w:sz w:val="30"/>
          <w:szCs w:val="30"/>
          <w:lang w:eastAsia="zh-CN"/>
        </w:rPr>
        <w:t>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eastAsia="zh-CN"/>
        </w:rPr>
        <w:t>。</w:t>
      </w:r>
    </w:p>
    <w:p w14:paraId="7211F78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上海良莺建筑装潢有限公司施工负责人陈红军</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val="en-US" w:eastAsia="zh-CN"/>
        </w:rPr>
        <w:t>2万</w:t>
      </w:r>
      <w:r>
        <w:rPr>
          <w:rFonts w:hint="eastAsia" w:ascii="仿宋_GB2312" w:hAnsi="仿宋_GB2312" w:eastAsia="仿宋_GB2312" w:cs="仿宋_GB2312"/>
          <w:sz w:val="30"/>
          <w:szCs w:val="30"/>
        </w:rPr>
        <w:t>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22</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陈红军</w:t>
      </w:r>
      <w:r>
        <w:rPr>
          <w:rFonts w:hint="eastAsia" w:ascii="仿宋_GB2312" w:hAnsi="仿宋_GB2312" w:eastAsia="仿宋_GB2312" w:cs="仿宋_GB2312"/>
          <w:sz w:val="30"/>
          <w:szCs w:val="30"/>
          <w:lang w:val="en-US" w:eastAsia="zh-CN"/>
        </w:rPr>
        <w:t>已于</w:t>
      </w:r>
      <w:r>
        <w:rPr>
          <w:rFonts w:hint="eastAsia" w:ascii="仿宋_GB2312" w:hAnsi="仿宋_GB2312" w:eastAsia="仿宋_GB2312" w:cs="仿宋_GB2312"/>
          <w:sz w:val="30"/>
          <w:szCs w:val="30"/>
          <w:lang w:eastAsia="zh-CN"/>
        </w:rPr>
        <w:t>20</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lang w:eastAsia="zh-CN"/>
        </w:rPr>
        <w:t>年</w:t>
      </w:r>
      <w:r>
        <w:rPr>
          <w:rFonts w:hint="eastAsia" w:ascii="仿宋_GB2312" w:hAnsi="仿宋_GB2312" w:eastAsia="仿宋_GB2312" w:cs="仿宋_GB2312"/>
          <w:sz w:val="30"/>
          <w:szCs w:val="30"/>
          <w:lang w:val="en-US" w:eastAsia="zh-CN"/>
        </w:rPr>
        <w:t>12</w:t>
      </w:r>
      <w:r>
        <w:rPr>
          <w:rFonts w:hint="eastAsia" w:ascii="仿宋_GB2312" w:hAnsi="仿宋_GB2312" w:eastAsia="仿宋_GB2312" w:cs="仿宋_GB2312"/>
          <w:sz w:val="30"/>
          <w:szCs w:val="30"/>
          <w:lang w:eastAsia="zh-CN"/>
        </w:rPr>
        <w:t>月</w:t>
      </w:r>
      <w:r>
        <w:rPr>
          <w:rFonts w:hint="eastAsia" w:ascii="仿宋_GB2312" w:hAnsi="仿宋_GB2312" w:eastAsia="仿宋_GB2312" w:cs="仿宋_GB2312"/>
          <w:sz w:val="30"/>
          <w:szCs w:val="30"/>
          <w:lang w:val="en-US" w:eastAsia="zh-CN"/>
        </w:rPr>
        <w:t>27</w:t>
      </w:r>
      <w:r>
        <w:rPr>
          <w:rFonts w:hint="eastAsia" w:ascii="仿宋_GB2312" w:hAnsi="仿宋_GB2312" w:eastAsia="仿宋_GB2312" w:cs="仿宋_GB2312"/>
          <w:sz w:val="30"/>
          <w:szCs w:val="30"/>
          <w:lang w:eastAsia="zh-CN"/>
        </w:rPr>
        <w:t>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p>
    <w:p w14:paraId="1DFB974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欧室（上海）建筑科技有限公司法定代表人曹雷</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val="en-US" w:eastAsia="zh-CN"/>
        </w:rPr>
        <w:t>2.4万</w:t>
      </w:r>
      <w:r>
        <w:rPr>
          <w:rFonts w:hint="eastAsia" w:ascii="仿宋_GB2312" w:hAnsi="仿宋_GB2312" w:eastAsia="仿宋_GB2312" w:cs="仿宋_GB2312"/>
          <w:sz w:val="30"/>
          <w:szCs w:val="30"/>
        </w:rPr>
        <w:t>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24</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曹雷已于2024年1月5日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p>
    <w:p w14:paraId="36B2EDD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静安区应急管理局于</w:t>
      </w:r>
      <w:r>
        <w:rPr>
          <w:rFonts w:hint="eastAsia" w:ascii="仿宋_GB2312" w:hAnsi="仿宋" w:eastAsia="仿宋_GB2312" w:cs="Calibri"/>
          <w:sz w:val="30"/>
          <w:szCs w:val="30"/>
        </w:rPr>
        <w:t xml:space="preserve"> 202</w:t>
      </w:r>
      <w:r>
        <w:rPr>
          <w:rFonts w:hint="eastAsia" w:ascii="仿宋_GB2312" w:hAnsi="仿宋" w:eastAsia="仿宋_GB2312" w:cs="Calibri"/>
          <w:sz w:val="30"/>
          <w:szCs w:val="30"/>
          <w:lang w:val="en-US" w:eastAsia="zh-CN"/>
        </w:rPr>
        <w:t>3</w:t>
      </w:r>
      <w:r>
        <w:rPr>
          <w:rFonts w:hint="eastAsia" w:ascii="仿宋_GB2312" w:hAnsi="仿宋" w:eastAsia="仿宋_GB2312" w:cs="Calibri"/>
          <w:sz w:val="30"/>
          <w:szCs w:val="30"/>
        </w:rPr>
        <w:t>年</w:t>
      </w:r>
      <w:r>
        <w:rPr>
          <w:rFonts w:hint="eastAsia" w:ascii="仿宋_GB2312" w:hAnsi="仿宋" w:eastAsia="仿宋_GB2312" w:cs="Calibri"/>
          <w:sz w:val="30"/>
          <w:szCs w:val="30"/>
          <w:lang w:val="en-US" w:eastAsia="zh-CN"/>
        </w:rPr>
        <w:t>12</w:t>
      </w:r>
      <w:r>
        <w:rPr>
          <w:rFonts w:hint="eastAsia" w:ascii="仿宋_GB2312" w:hAnsi="仿宋" w:eastAsia="仿宋_GB2312" w:cs="Calibri"/>
          <w:sz w:val="30"/>
          <w:szCs w:val="30"/>
        </w:rPr>
        <w:t>月</w:t>
      </w:r>
      <w:r>
        <w:rPr>
          <w:rFonts w:hint="eastAsia" w:ascii="仿宋_GB2312" w:hAnsi="仿宋" w:eastAsia="仿宋_GB2312" w:cs="Calibri"/>
          <w:sz w:val="30"/>
          <w:szCs w:val="30"/>
          <w:lang w:val="en-US" w:eastAsia="zh-CN"/>
        </w:rPr>
        <w:t>25</w:t>
      </w:r>
      <w:r>
        <w:rPr>
          <w:rFonts w:hint="eastAsia" w:ascii="仿宋_GB2312" w:hAnsi="仿宋" w:eastAsia="仿宋_GB2312" w:cs="Calibri"/>
          <w:sz w:val="30"/>
          <w:szCs w:val="30"/>
        </w:rPr>
        <w:t>日</w:t>
      </w:r>
      <w:r>
        <w:rPr>
          <w:rFonts w:hint="eastAsia" w:ascii="仿宋_GB2312" w:hAnsi="仿宋_GB2312" w:eastAsia="仿宋_GB2312" w:cs="仿宋_GB2312"/>
          <w:sz w:val="30"/>
          <w:szCs w:val="30"/>
        </w:rPr>
        <w:t>，依法</w:t>
      </w:r>
      <w:r>
        <w:rPr>
          <w:rFonts w:hint="eastAsia" w:ascii="仿宋_GB2312" w:hAnsi="仿宋_GB2312" w:eastAsia="仿宋_GB2312" w:cs="仿宋_GB2312"/>
          <w:sz w:val="30"/>
          <w:szCs w:val="30"/>
          <w:lang w:eastAsia="zh-CN"/>
        </w:rPr>
        <w:t>对</w:t>
      </w:r>
      <w:r>
        <w:rPr>
          <w:rFonts w:hint="eastAsia" w:ascii="仿宋_GB2312" w:hAnsi="仿宋" w:eastAsia="仿宋_GB2312" w:cs="仿宋"/>
          <w:sz w:val="30"/>
          <w:szCs w:val="30"/>
          <w:lang w:val="en-US" w:eastAsia="zh-CN"/>
        </w:rPr>
        <w:t>欧室（上海）建筑科技有限公司项目负责人王云</w:t>
      </w:r>
      <w:r>
        <w:rPr>
          <w:rFonts w:hint="eastAsia" w:ascii="仿宋_GB2312" w:hAnsi="仿宋_GB2312" w:eastAsia="仿宋_GB2312" w:cs="仿宋_GB2312"/>
          <w:sz w:val="30"/>
          <w:szCs w:val="30"/>
          <w:lang w:eastAsia="zh-CN"/>
        </w:rPr>
        <w:t>作出</w:t>
      </w:r>
      <w:r>
        <w:rPr>
          <w:rFonts w:hint="eastAsia" w:ascii="仿宋_GB2312" w:hAnsi="仿宋_GB2312" w:eastAsia="仿宋_GB2312" w:cs="仿宋_GB2312"/>
          <w:sz w:val="30"/>
          <w:szCs w:val="30"/>
        </w:rPr>
        <w:t>罚款</w:t>
      </w:r>
      <w:r>
        <w:rPr>
          <w:rFonts w:hint="eastAsia" w:ascii="仿宋_GB2312" w:hAnsi="仿宋_GB2312" w:eastAsia="仿宋_GB2312" w:cs="仿宋_GB2312"/>
          <w:sz w:val="30"/>
          <w:szCs w:val="30"/>
          <w:lang w:val="en-US" w:eastAsia="zh-CN"/>
        </w:rPr>
        <w:t>1.44万</w:t>
      </w:r>
      <w:r>
        <w:rPr>
          <w:rFonts w:hint="eastAsia" w:ascii="仿宋_GB2312" w:hAnsi="仿宋_GB2312" w:eastAsia="仿宋_GB2312" w:cs="仿宋_GB2312"/>
          <w:sz w:val="30"/>
          <w:szCs w:val="30"/>
        </w:rPr>
        <w:t>元的行政处罚</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《行政处罚决定书》（静）应急罚（2023）</w:t>
      </w:r>
      <w:r>
        <w:rPr>
          <w:rFonts w:hint="eastAsia" w:ascii="仿宋_GB2312" w:hAnsi="仿宋_GB2312" w:eastAsia="仿宋_GB2312" w:cs="仿宋_GB2312"/>
          <w:sz w:val="30"/>
          <w:szCs w:val="30"/>
          <w:lang w:val="en-US" w:eastAsia="zh-CN"/>
        </w:rPr>
        <w:t>25</w:t>
      </w:r>
      <w:r>
        <w:rPr>
          <w:rFonts w:hint="eastAsia" w:ascii="仿宋_GB2312" w:hAnsi="仿宋_GB2312" w:eastAsia="仿宋_GB2312" w:cs="仿宋_GB2312"/>
          <w:sz w:val="30"/>
          <w:szCs w:val="30"/>
        </w:rPr>
        <w:t>号</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w:t>
      </w:r>
      <w:r>
        <w:rPr>
          <w:rFonts w:hint="eastAsia" w:ascii="仿宋_GB2312" w:hAnsi="仿宋" w:eastAsia="仿宋_GB2312" w:cs="仿宋"/>
          <w:sz w:val="30"/>
          <w:szCs w:val="30"/>
          <w:lang w:val="en-US" w:eastAsia="zh-CN"/>
        </w:rPr>
        <w:t>王云</w:t>
      </w:r>
      <w:r>
        <w:rPr>
          <w:rFonts w:hint="eastAsia" w:ascii="仿宋_GB2312" w:hAnsi="仿宋_GB2312" w:eastAsia="仿宋_GB2312" w:cs="仿宋_GB2312"/>
          <w:sz w:val="30"/>
          <w:szCs w:val="30"/>
          <w:lang w:val="en-US" w:eastAsia="zh-CN"/>
        </w:rPr>
        <w:t>已于2024年1月5日</w:t>
      </w:r>
      <w:r>
        <w:rPr>
          <w:rFonts w:hint="eastAsia" w:ascii="仿宋_GB2312" w:hAnsi="仿宋_GB2312" w:eastAsia="仿宋_GB2312" w:cs="仿宋_GB2312"/>
          <w:sz w:val="30"/>
          <w:szCs w:val="30"/>
        </w:rPr>
        <w:t>缴纳</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罚款。</w:t>
      </w:r>
    </w:p>
    <w:p w14:paraId="7E38D99E">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eastAsia="zh-CN"/>
        </w:rPr>
      </w:pPr>
      <w:bookmarkStart w:id="1" w:name="_Toc17878"/>
      <w:r>
        <w:rPr>
          <w:rFonts w:hint="eastAsia" w:ascii="楷体_GB2312" w:hAnsi="楷体_GB2312" w:eastAsia="楷体_GB2312" w:cs="楷体_GB2312"/>
          <w:b/>
          <w:bCs w:val="0"/>
          <w:sz w:val="30"/>
          <w:szCs w:val="30"/>
          <w:lang w:eastAsia="zh-CN"/>
        </w:rPr>
        <w:t>（三）事故相关的其他处理情况</w:t>
      </w:r>
    </w:p>
    <w:p w14:paraId="3B4D72F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 w:eastAsia="仿宋_GB2312" w:cs="仿宋"/>
          <w:sz w:val="30"/>
          <w:szCs w:val="30"/>
          <w:lang w:val="en-US" w:eastAsia="zh-CN"/>
        </w:rPr>
      </w:pPr>
      <w:r>
        <w:rPr>
          <w:rFonts w:hint="eastAsia" w:ascii="仿宋_GB2312" w:hAnsi="仿宋_GB2312" w:eastAsia="仿宋_GB2312" w:cs="仿宋_GB2312"/>
          <w:sz w:val="30"/>
          <w:szCs w:val="30"/>
          <w:lang w:val="en-US" w:eastAsia="zh-CN"/>
        </w:rPr>
        <w:t>静安区应急管理局依法对</w:t>
      </w:r>
      <w:r>
        <w:rPr>
          <w:rFonts w:hint="eastAsia" w:ascii="仿宋_GB2312" w:hAnsi="仿宋" w:eastAsia="仿宋_GB2312" w:cs="仿宋"/>
          <w:sz w:val="30"/>
          <w:szCs w:val="30"/>
          <w:lang w:val="en-US" w:eastAsia="zh-CN"/>
        </w:rPr>
        <w:t>上海良莺建筑装潢有限公司、欧室（上海）建筑科技有限公司、中国通信建设第二工程局有限公司、和勤通信技术有限公司、中国移动通信集团上海有限公司主要负责人进行了约谈。</w:t>
      </w:r>
    </w:p>
    <w:p w14:paraId="66EDD237">
      <w:pPr>
        <w:keepNext w:val="0"/>
        <w:keepLines w:val="0"/>
        <w:pageBreakBefore w:val="0"/>
        <w:widowControl w:val="0"/>
        <w:kinsoku/>
        <w:overflowPunct/>
        <w:topLinePunct w:val="0"/>
        <w:autoSpaceDE/>
        <w:autoSpaceDN/>
        <w:bidi w:val="0"/>
        <w:adjustRightInd/>
        <w:snapToGrid/>
        <w:spacing w:line="560" w:lineRule="exact"/>
        <w:ind w:firstLine="600" w:firstLineChars="200"/>
        <w:textAlignment w:val="auto"/>
        <w:rPr>
          <w:rFonts w:ascii="黑体" w:hAnsi="黑体" w:eastAsia="黑体" w:cs="黑体"/>
          <w:bCs/>
          <w:sz w:val="30"/>
          <w:szCs w:val="30"/>
        </w:rPr>
      </w:pPr>
      <w:r>
        <w:rPr>
          <w:rFonts w:hint="eastAsia" w:ascii="黑体" w:hAnsi="黑体" w:eastAsia="黑体" w:cs="黑体"/>
          <w:bCs/>
          <w:sz w:val="30"/>
          <w:szCs w:val="30"/>
          <w:lang w:eastAsia="zh-CN"/>
        </w:rPr>
        <w:t>三</w:t>
      </w:r>
      <w:r>
        <w:rPr>
          <w:rFonts w:hint="eastAsia" w:ascii="黑体" w:hAnsi="黑体" w:eastAsia="黑体" w:cs="黑体"/>
          <w:bCs/>
          <w:sz w:val="30"/>
          <w:szCs w:val="30"/>
        </w:rPr>
        <w:t>、事故整改措施落实情况</w:t>
      </w:r>
      <w:bookmarkEnd w:id="1"/>
    </w:p>
    <w:p w14:paraId="425ADD74">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（一）上海良莺建筑装潢有限公司：</w:t>
      </w:r>
    </w:p>
    <w:p w14:paraId="5D32BE0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auto"/>
          <w:sz w:val="30"/>
          <w:szCs w:val="30"/>
          <w:lang w:val="en-US" w:eastAsia="zh-CN"/>
        </w:rPr>
        <w:t>企业因经营困难正申请注销</w:t>
      </w:r>
      <w:r>
        <w:rPr>
          <w:rFonts w:hint="eastAsia" w:ascii="仿宋_GB2312" w:hAnsi="仿宋_GB2312" w:eastAsia="仿宋_GB2312" w:cs="仿宋_GB2312"/>
          <w:color w:val="auto"/>
          <w:sz w:val="30"/>
          <w:szCs w:val="30"/>
          <w:lang w:eastAsia="zh-CN"/>
        </w:rPr>
        <w:t>。</w:t>
      </w:r>
    </w:p>
    <w:p w14:paraId="0B022165">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（二）欧室（上海）建筑科技有限公司整改落实情况</w:t>
      </w:r>
    </w:p>
    <w:p w14:paraId="310265F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已进行了安全培训并严禁违规承揽、层层转包、违法分包、无资质挂靠等恶劣行为。</w:t>
      </w:r>
    </w:p>
    <w:p w14:paraId="36E5EBD3">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（三）中国通信建设第二工程局有限公司整改落实情况</w:t>
      </w:r>
    </w:p>
    <w:p w14:paraId="6AE8AF4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1、已编制全员安全生产责任制。</w:t>
      </w:r>
    </w:p>
    <w:p w14:paraId="32556FC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2、进行安全教育培训规范项目承发包流程。</w:t>
      </w:r>
    </w:p>
    <w:p w14:paraId="38E29EA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3、与施工单位签订安全生产协议，进行安全交底及定期进行安全检查。</w:t>
      </w:r>
    </w:p>
    <w:p w14:paraId="2537D14D">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4、进行了防触电及登高坠落的应急演练，并为员工配备了电笔和近电预警器。</w:t>
      </w:r>
    </w:p>
    <w:p w14:paraId="3D143A00">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（四）和勤通信技术有限公司整改落实情况</w:t>
      </w:r>
    </w:p>
    <w:p w14:paraId="2316C4EB">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1、组织全员重新学习《中华人民共和国安全生产法》和《安全生产许可证条例》;</w:t>
      </w:r>
    </w:p>
    <w:p w14:paraId="3BBF1D0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2、加强企业基础管理，加强思想教育和法律法规制度学习，增强员工的法律法规意识，严禁公司管理干部和员工利用职务工作便利为他人谋私利，并每月进行总结分析;</w:t>
      </w:r>
    </w:p>
    <w:p w14:paraId="626707A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3、加强对接业主等协调工作，必须在运营商通知许可下进行操作;</w:t>
      </w:r>
    </w:p>
    <w:p w14:paraId="05CDFE3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4、交付部通过生产安全周例会案例训战和周计划和日报管理，提升干部和员工职业素养水平;</w:t>
      </w:r>
    </w:p>
    <w:p w14:paraId="1DE921AF">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5、公司内部通报批评和警告严明明，将其调离维护部经理岗位，在公司会议上做一次书面检讨，并考核扣除了绩效奖金伍仟圆整，以教育和警示全体干部和员工。</w:t>
      </w:r>
    </w:p>
    <w:p w14:paraId="3973CDC5">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r>
        <w:rPr>
          <w:rFonts w:hint="eastAsia" w:ascii="楷体_GB2312" w:hAnsi="楷体_GB2312" w:eastAsia="楷体_GB2312" w:cs="楷体_GB2312"/>
          <w:b/>
          <w:bCs w:val="0"/>
          <w:sz w:val="30"/>
          <w:szCs w:val="30"/>
          <w:lang w:val="en-US" w:eastAsia="zh-CN"/>
        </w:rPr>
        <w:t>（五）中国移动通信集团上海有限公司整改落实情况</w:t>
      </w:r>
    </w:p>
    <w:p w14:paraId="0F2AF872">
      <w:pPr>
        <w:keepNext w:val="0"/>
        <w:keepLines w:val="0"/>
        <w:pageBreakBefore w:val="0"/>
        <w:widowControl w:val="0"/>
        <w:kinsoku/>
        <w:overflowPunct/>
        <w:topLinePunct w:val="0"/>
        <w:autoSpaceDE/>
        <w:autoSpaceDN/>
        <w:bidi w:val="0"/>
        <w:adjustRightInd/>
        <w:snapToGrid/>
        <w:spacing w:line="560" w:lineRule="exact"/>
        <w:ind w:left="0" w:leftChars="0" w:firstLine="639" w:firstLineChars="213"/>
        <w:textAlignment w:val="auto"/>
        <w:rPr>
          <w:rFonts w:hint="eastAsia" w:ascii="仿宋_GB2312" w:hAnsi="仿宋_GB2312" w:eastAsia="仿宋_GB2312" w:cs="仿宋_GB2312"/>
          <w:color w:val="000000" w:themeColor="text1"/>
          <w:sz w:val="30"/>
          <w:szCs w:val="30"/>
          <w:lang w:val="en-US" w:eastAsia="zh-CN"/>
        </w:rPr>
      </w:pPr>
      <w:r>
        <w:rPr>
          <w:rFonts w:hint="eastAsia" w:ascii="仿宋_GB2312" w:hAnsi="仿宋_GB2312" w:eastAsia="仿宋_GB2312" w:cs="仿宋_GB2312"/>
          <w:color w:val="000000" w:themeColor="text1"/>
          <w:sz w:val="30"/>
          <w:szCs w:val="30"/>
          <w:lang w:val="en-US" w:eastAsia="zh-CN"/>
        </w:rPr>
        <w:t>1、强化责任追究、压实主体责任。一是给予中通二局停工整顿，责令全面核查内部安全工作履职情况，核查结果限期书面报工程建设部;二是警告中通二局在后期工程管理过程中严禁出现层层转包、无资质挂靠的问题;三是根据我司内部查处管理办法，扣罚中通二局该站点施工合同金额17,564.63元。</w:t>
      </w:r>
    </w:p>
    <w:p w14:paraId="5493B72C">
      <w:pPr>
        <w:keepNext w:val="0"/>
        <w:keepLines w:val="0"/>
        <w:pageBreakBefore w:val="0"/>
        <w:widowControl w:val="0"/>
        <w:kinsoku/>
        <w:overflowPunct/>
        <w:topLinePunct w:val="0"/>
        <w:autoSpaceDE/>
        <w:autoSpaceDN/>
        <w:bidi w:val="0"/>
        <w:adjustRightInd/>
        <w:snapToGrid/>
        <w:spacing w:line="560" w:lineRule="exact"/>
        <w:ind w:left="0" w:leftChars="0" w:firstLine="639" w:firstLineChars="213"/>
        <w:textAlignment w:val="auto"/>
        <w:rPr>
          <w:rFonts w:hint="eastAsia" w:ascii="仿宋_GB2312" w:hAnsi="仿宋_GB2312" w:eastAsia="仿宋_GB2312" w:cs="仿宋_GB2312"/>
          <w:color w:val="000000" w:themeColor="text1"/>
          <w:sz w:val="30"/>
          <w:szCs w:val="30"/>
          <w:lang w:val="en-US" w:eastAsia="zh-CN"/>
        </w:rPr>
      </w:pPr>
      <w:r>
        <w:rPr>
          <w:rFonts w:hint="eastAsia" w:ascii="仿宋_GB2312" w:hAnsi="仿宋_GB2312" w:eastAsia="仿宋_GB2312" w:cs="仿宋_GB2312"/>
          <w:color w:val="000000" w:themeColor="text1"/>
          <w:sz w:val="30"/>
          <w:szCs w:val="30"/>
          <w:lang w:val="en-US" w:eastAsia="zh-CN"/>
        </w:rPr>
        <w:t>2、强化整改落实，着力补齐短板。主要从开展培训演练、开展监督检查、开展制度修订三方面进行了落实。</w:t>
      </w:r>
    </w:p>
    <w:p w14:paraId="5835D13F">
      <w:pPr>
        <w:keepNext w:val="0"/>
        <w:keepLines w:val="0"/>
        <w:pageBreakBefore w:val="0"/>
        <w:widowControl w:val="0"/>
        <w:kinsoku/>
        <w:wordWrap/>
        <w:overflowPunct/>
        <w:topLinePunct w:val="0"/>
        <w:autoSpaceDE/>
        <w:autoSpaceDN/>
        <w:bidi w:val="0"/>
        <w:adjustRightInd/>
        <w:snapToGrid/>
        <w:spacing w:line="560" w:lineRule="exact"/>
        <w:ind w:left="0" w:leftChars="0" w:firstLine="639" w:firstLineChars="213"/>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color w:val="000000" w:themeColor="text1"/>
          <w:sz w:val="30"/>
          <w:szCs w:val="30"/>
          <w:lang w:val="en-US" w:eastAsia="zh-CN"/>
        </w:rPr>
        <w:t>3、强化防范保障，建立长效机制。一是构建体系管理，通过要求合作单位、三方机构、参建人员的准确备案，并结合远程监督平台应用，推动现场作业人员信息数据共享、动态核验，坚决杜绝工程建设领域违规承揽、层层转包、违法分包、无资质挂靠等恶劣行为；二是强化流程管理；编制了《中国移动上海公司高风险作业安全操作规程“安全口袋书”》等作业流程，把要求固化、把规程明确、把行动坚持，进一步完善安全风险分级管控和隐患排查治理双重预防机制，坚决防范生产安全事故发生；三是严格作业管理。针对登高、涉电、动火、有限空间等通信工程涉及的高风险作业，开发“四防”报批模块，严格执行先报备、后审批、再作业的原则，并通过不定期地飞行抽查，检查安全防护措施等落实情况，有效保障施工、人身安全。</w:t>
      </w:r>
    </w:p>
    <w:p w14:paraId="2B5ED171">
      <w:pPr>
        <w:keepNext w:val="0"/>
        <w:keepLines w:val="0"/>
        <w:pageBreakBefore w:val="0"/>
        <w:widowControl w:val="0"/>
        <w:kinsoku/>
        <w:overflowPunct/>
        <w:topLinePunct w:val="0"/>
        <w:autoSpaceDE/>
        <w:autoSpaceDN/>
        <w:bidi w:val="0"/>
        <w:adjustRightInd/>
        <w:snapToGrid/>
        <w:spacing w:line="560" w:lineRule="exact"/>
        <w:ind w:firstLine="602" w:firstLineChars="200"/>
        <w:textAlignment w:val="auto"/>
        <w:rPr>
          <w:rFonts w:hint="eastAsia" w:ascii="楷体_GB2312" w:hAnsi="楷体_GB2312" w:eastAsia="楷体_GB2312" w:cs="楷体_GB2312"/>
          <w:b/>
          <w:bCs w:val="0"/>
          <w:sz w:val="30"/>
          <w:szCs w:val="30"/>
          <w:lang w:val="en-US" w:eastAsia="zh-CN"/>
        </w:rPr>
      </w:pPr>
      <w:bookmarkStart w:id="2" w:name="_Toc24793"/>
      <w:bookmarkStart w:id="3" w:name="_Toc19042"/>
      <w:r>
        <w:rPr>
          <w:rFonts w:hint="eastAsia" w:ascii="楷体_GB2312" w:hAnsi="楷体_GB2312" w:eastAsia="楷体_GB2312" w:cs="楷体_GB2312"/>
          <w:b/>
          <w:bCs w:val="0"/>
          <w:sz w:val="30"/>
          <w:szCs w:val="30"/>
          <w:lang w:val="en-US" w:eastAsia="zh-CN"/>
        </w:rPr>
        <w:t>（六）善后处理落实情况</w:t>
      </w:r>
      <w:bookmarkEnd w:id="2"/>
      <w:bookmarkEnd w:id="3"/>
    </w:p>
    <w:p w14:paraId="5B28458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color w:val="auto"/>
          <w:sz w:val="30"/>
          <w:szCs w:val="30"/>
          <w:lang w:eastAsia="zh-CN"/>
        </w:rPr>
      </w:pPr>
      <w:bookmarkStart w:id="4" w:name="_Toc26160"/>
      <w:bookmarkStart w:id="5" w:name="_Toc32334"/>
      <w:r>
        <w:rPr>
          <w:rFonts w:hint="eastAsia" w:ascii="仿宋_GB2312" w:hAnsi="仿宋_GB2312" w:eastAsia="仿宋_GB2312" w:cs="仿宋_GB2312"/>
          <w:b w:val="0"/>
          <w:sz w:val="30"/>
          <w:szCs w:val="30"/>
        </w:rPr>
        <w:t>此事</w:t>
      </w:r>
      <w:r>
        <w:rPr>
          <w:rFonts w:hint="eastAsia" w:ascii="仿宋_GB2312" w:hAnsi="仿宋_GB2312" w:eastAsia="仿宋_GB2312" w:cs="仿宋_GB2312"/>
          <w:b w:val="0"/>
          <w:color w:val="auto"/>
          <w:sz w:val="30"/>
          <w:szCs w:val="30"/>
        </w:rPr>
        <w:t>故涉及一人死亡，经双方协商达成一致赔偿协议，</w:t>
      </w:r>
      <w:r>
        <w:rPr>
          <w:rFonts w:hint="eastAsia" w:ascii="仿宋_GB2312" w:hAnsi="仿宋_GB2312" w:eastAsia="仿宋_GB2312" w:cs="仿宋_GB2312"/>
          <w:sz w:val="30"/>
          <w:szCs w:val="30"/>
          <w:lang w:eastAsia="zh-CN"/>
        </w:rPr>
        <w:t>上海良莺建筑装潢有限公司</w:t>
      </w:r>
      <w:r>
        <w:rPr>
          <w:rFonts w:hint="eastAsia" w:ascii="仿宋_GB2312" w:hAnsi="仿宋_GB2312" w:eastAsia="仿宋_GB2312" w:cs="仿宋_GB2312"/>
          <w:b w:val="0"/>
          <w:color w:val="auto"/>
          <w:sz w:val="30"/>
          <w:szCs w:val="30"/>
        </w:rPr>
        <w:t>已如数支付死者家属赔偿金。</w:t>
      </w:r>
      <w:bookmarkEnd w:id="4"/>
      <w:bookmarkEnd w:id="5"/>
    </w:p>
    <w:p w14:paraId="78C9FBF0">
      <w:pPr>
        <w:keepNext w:val="0"/>
        <w:keepLines w:val="0"/>
        <w:pageBreakBefore w:val="0"/>
        <w:widowControl w:val="0"/>
        <w:kinsoku/>
        <w:overflowPunct/>
        <w:topLinePunct w:val="0"/>
        <w:autoSpaceDE/>
        <w:autoSpaceDN/>
        <w:bidi w:val="0"/>
        <w:adjustRightInd/>
        <w:snapToGrid/>
        <w:spacing w:line="560" w:lineRule="exact"/>
        <w:ind w:firstLine="600" w:firstLineChars="200"/>
        <w:textAlignment w:val="auto"/>
        <w:outlineLvl w:val="0"/>
        <w:rPr>
          <w:rFonts w:ascii="黑体" w:hAnsi="黑体" w:eastAsia="黑体" w:cs="黑体"/>
          <w:bCs/>
          <w:sz w:val="30"/>
          <w:szCs w:val="30"/>
        </w:rPr>
      </w:pPr>
      <w:bookmarkStart w:id="6" w:name="_Toc3406"/>
      <w:r>
        <w:rPr>
          <w:rFonts w:hint="eastAsia" w:ascii="黑体" w:hAnsi="黑体" w:eastAsia="黑体" w:cs="黑体"/>
          <w:bCs/>
          <w:sz w:val="30"/>
          <w:szCs w:val="30"/>
          <w:lang w:eastAsia="zh-CN"/>
        </w:rPr>
        <w:t>四</w:t>
      </w:r>
      <w:r>
        <w:rPr>
          <w:rFonts w:hint="eastAsia" w:ascii="黑体" w:hAnsi="黑体" w:eastAsia="黑体" w:cs="黑体"/>
          <w:bCs/>
          <w:sz w:val="30"/>
          <w:szCs w:val="30"/>
        </w:rPr>
        <w:t>、评估结论</w:t>
      </w:r>
      <w:bookmarkEnd w:id="6"/>
    </w:p>
    <w:p w14:paraId="4AF8D3E7">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评估组通过专题会议、人员访谈、资料核查、现场走访等形式，对</w:t>
      </w:r>
      <w:r>
        <w:rPr>
          <w:rFonts w:hint="eastAsia" w:ascii="仿宋_GB2312" w:hAnsi="仿宋_GB2312" w:eastAsia="仿宋_GB2312" w:cs="仿宋_GB2312"/>
          <w:sz w:val="30"/>
          <w:szCs w:val="30"/>
          <w:lang w:eastAsia="zh-CN"/>
        </w:rPr>
        <w:t>静安静安寺上海良莺建筑装潢有限公司“9.9”一般触电事故</w:t>
      </w:r>
      <w:r>
        <w:rPr>
          <w:rFonts w:hint="eastAsia" w:ascii="仿宋_GB2312" w:hAnsi="仿宋_GB2312" w:eastAsia="仿宋_GB2312" w:cs="仿宋_GB2312"/>
          <w:sz w:val="30"/>
          <w:szCs w:val="30"/>
        </w:rPr>
        <w:t>责任追究及整改措施落实情况</w:t>
      </w:r>
      <w:r>
        <w:rPr>
          <w:rFonts w:hint="eastAsia" w:ascii="仿宋_GB2312" w:hAnsi="仿宋_GB2312" w:eastAsia="仿宋_GB2312" w:cs="仿宋_GB2312"/>
          <w:sz w:val="30"/>
          <w:szCs w:val="30"/>
          <w:lang w:eastAsia="zh-CN"/>
        </w:rPr>
        <w:t>如下</w:t>
      </w:r>
      <w:r>
        <w:rPr>
          <w:rFonts w:hint="eastAsia" w:ascii="仿宋_GB2312" w:hAnsi="仿宋_GB2312" w:eastAsia="仿宋_GB2312" w:cs="仿宋_GB2312"/>
          <w:sz w:val="30"/>
          <w:szCs w:val="30"/>
        </w:rPr>
        <w:t>：</w:t>
      </w:r>
    </w:p>
    <w:p w14:paraId="2AEFECA8">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上海良莺建筑装潢有限公司：已依法缴纳罚款（行政处罚），整改措施落实情况符合整改要求。</w:t>
      </w:r>
    </w:p>
    <w:p w14:paraId="2D86E75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2、</w:t>
      </w:r>
      <w:r>
        <w:rPr>
          <w:rFonts w:hint="eastAsia" w:ascii="仿宋_GB2312" w:hAnsi="仿宋" w:eastAsia="仿宋_GB2312" w:cs="仿宋"/>
          <w:sz w:val="30"/>
          <w:szCs w:val="30"/>
          <w:lang w:val="en-US" w:eastAsia="zh-CN"/>
        </w:rPr>
        <w:t>欧室（上海）建筑科技有限公司</w:t>
      </w:r>
      <w:r>
        <w:rPr>
          <w:rFonts w:hint="eastAsia" w:ascii="仿宋_GB2312" w:hAnsi="仿宋_GB2312" w:eastAsia="仿宋_GB2312" w:cs="仿宋_GB2312"/>
          <w:sz w:val="30"/>
          <w:szCs w:val="30"/>
          <w:lang w:eastAsia="zh-CN"/>
        </w:rPr>
        <w:t>：已依法缴纳罚款（行政处罚），整改措施落实情况符合整改要求。</w:t>
      </w:r>
    </w:p>
    <w:p w14:paraId="7ABD744E">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w:t>
      </w:r>
      <w:r>
        <w:rPr>
          <w:rFonts w:hint="eastAsia" w:ascii="仿宋_GB2312" w:hAnsi="仿宋" w:eastAsia="仿宋_GB2312" w:cs="仿宋"/>
          <w:sz w:val="30"/>
          <w:szCs w:val="30"/>
          <w:lang w:val="en-US" w:eastAsia="zh-CN"/>
        </w:rPr>
        <w:t>中国通信建设第二工程局有限公司</w:t>
      </w:r>
      <w:r>
        <w:rPr>
          <w:rFonts w:hint="eastAsia" w:ascii="仿宋_GB2312" w:hAnsi="仿宋_GB2312" w:eastAsia="仿宋_GB2312" w:cs="仿宋_GB2312"/>
          <w:sz w:val="30"/>
          <w:szCs w:val="30"/>
          <w:lang w:eastAsia="zh-CN"/>
        </w:rPr>
        <w:t>：整改措施落实情况符合整改要求。</w:t>
      </w:r>
    </w:p>
    <w:p w14:paraId="45BAF0BA">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w:t>
      </w:r>
      <w:r>
        <w:rPr>
          <w:rFonts w:hint="eastAsia" w:ascii="仿宋_GB2312" w:hAnsi="仿宋" w:eastAsia="仿宋_GB2312" w:cs="仿宋"/>
          <w:sz w:val="30"/>
          <w:szCs w:val="30"/>
          <w:lang w:val="en-US" w:eastAsia="zh-CN"/>
        </w:rPr>
        <w:t>和勤通信技术有限公司</w:t>
      </w:r>
      <w:r>
        <w:rPr>
          <w:rFonts w:hint="eastAsia" w:ascii="仿宋_GB2312" w:hAnsi="仿宋_GB2312" w:eastAsia="仿宋_GB2312" w:cs="仿宋_GB2312"/>
          <w:sz w:val="30"/>
          <w:szCs w:val="30"/>
          <w:lang w:eastAsia="zh-CN"/>
        </w:rPr>
        <w:t>：整改措施落实情况符合整改要求。</w:t>
      </w:r>
    </w:p>
    <w:p w14:paraId="51A7A461">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 w:eastAsia="仿宋_GB2312" w:cs="仿宋"/>
          <w:sz w:val="30"/>
          <w:szCs w:val="30"/>
          <w:lang w:val="en-US" w:eastAsia="zh-CN"/>
        </w:rPr>
        <w:t>5、中国移动通信集团上海有限公司</w:t>
      </w:r>
      <w:r>
        <w:rPr>
          <w:rFonts w:hint="eastAsia" w:ascii="仿宋_GB2312" w:hAnsi="仿宋_GB2312" w:eastAsia="仿宋_GB2312" w:cs="仿宋_GB2312"/>
          <w:sz w:val="30"/>
          <w:szCs w:val="30"/>
          <w:lang w:eastAsia="zh-CN"/>
        </w:rPr>
        <w:t>：整改措施落实情况符合整改要求。</w:t>
      </w:r>
    </w:p>
    <w:p w14:paraId="40709389">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w:t>
      </w:r>
      <w:r>
        <w:rPr>
          <w:rFonts w:hint="eastAsia" w:ascii="仿宋_GB2312" w:hAnsi="仿宋" w:eastAsia="仿宋_GB2312" w:cs="仿宋"/>
          <w:sz w:val="30"/>
          <w:szCs w:val="30"/>
          <w:lang w:val="en-US" w:eastAsia="zh-CN"/>
        </w:rPr>
        <w:t>丁永山</w:t>
      </w:r>
      <w:r>
        <w:rPr>
          <w:rFonts w:hint="eastAsia" w:ascii="仿宋_GB2312" w:hAnsi="仿宋_GB2312" w:eastAsia="仿宋_GB2312" w:cs="仿宋_GB2312"/>
          <w:sz w:val="30"/>
          <w:szCs w:val="30"/>
          <w:lang w:eastAsia="zh-CN"/>
        </w:rPr>
        <w:t>：已依法缴纳罚款（行政处罚）。</w:t>
      </w:r>
    </w:p>
    <w:p w14:paraId="6F68223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7、</w:t>
      </w:r>
      <w:r>
        <w:rPr>
          <w:rFonts w:hint="eastAsia" w:ascii="仿宋_GB2312" w:hAnsi="仿宋" w:eastAsia="仿宋_GB2312" w:cs="仿宋"/>
          <w:sz w:val="30"/>
          <w:szCs w:val="30"/>
          <w:lang w:val="en-US" w:eastAsia="zh-CN"/>
        </w:rPr>
        <w:t>陈红军</w:t>
      </w:r>
      <w:r>
        <w:rPr>
          <w:rFonts w:hint="eastAsia" w:ascii="仿宋_GB2312" w:hAnsi="仿宋_GB2312" w:eastAsia="仿宋_GB2312" w:cs="仿宋_GB2312"/>
          <w:sz w:val="30"/>
          <w:szCs w:val="30"/>
          <w:lang w:eastAsia="zh-CN"/>
        </w:rPr>
        <w:t>：已依法缴纳罚款（行政处罚）。</w:t>
      </w:r>
    </w:p>
    <w:p w14:paraId="5AF0BCEC">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8、曹雷</w:t>
      </w:r>
      <w:r>
        <w:rPr>
          <w:rFonts w:hint="eastAsia" w:ascii="仿宋_GB2312" w:hAnsi="仿宋_GB2312" w:eastAsia="仿宋_GB2312" w:cs="仿宋_GB2312"/>
          <w:sz w:val="30"/>
          <w:szCs w:val="30"/>
          <w:lang w:eastAsia="zh-CN"/>
        </w:rPr>
        <w:t>：已依法缴纳罚款（行政处罚）。</w:t>
      </w:r>
    </w:p>
    <w:p w14:paraId="3A04AFD6">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9、</w:t>
      </w:r>
      <w:r>
        <w:rPr>
          <w:rFonts w:hint="eastAsia" w:ascii="仿宋_GB2312" w:hAnsi="仿宋" w:eastAsia="仿宋_GB2312" w:cs="仿宋"/>
          <w:sz w:val="30"/>
          <w:szCs w:val="30"/>
          <w:lang w:val="en-US" w:eastAsia="zh-CN"/>
        </w:rPr>
        <w:t>王云</w:t>
      </w:r>
      <w:r>
        <w:rPr>
          <w:rFonts w:hint="eastAsia" w:ascii="仿宋_GB2312" w:hAnsi="仿宋_GB2312" w:eastAsia="仿宋_GB2312" w:cs="仿宋_GB2312"/>
          <w:sz w:val="30"/>
          <w:szCs w:val="30"/>
          <w:lang w:eastAsia="zh-CN"/>
        </w:rPr>
        <w:t>：已依法缴纳罚款（行政处罚）。</w:t>
      </w:r>
    </w:p>
    <w:p w14:paraId="7D4F2B20">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综上，事故评估组认定：</w:t>
      </w:r>
      <w:r>
        <w:rPr>
          <w:rFonts w:hint="eastAsia" w:ascii="仿宋_GB2312" w:hAnsi="仿宋_GB2312" w:eastAsia="仿宋_GB2312" w:cs="仿宋_GB2312"/>
          <w:sz w:val="30"/>
          <w:szCs w:val="30"/>
        </w:rPr>
        <w:t>该起事故中，</w:t>
      </w:r>
      <w:r>
        <w:rPr>
          <w:rFonts w:hint="eastAsia" w:ascii="仿宋_GB2312" w:hAnsi="仿宋_GB2312" w:eastAsia="仿宋_GB2312" w:cs="仿宋_GB2312"/>
          <w:sz w:val="30"/>
          <w:szCs w:val="30"/>
          <w:lang w:eastAsia="zh-CN"/>
        </w:rPr>
        <w:t>所有</w:t>
      </w:r>
      <w:r>
        <w:rPr>
          <w:rFonts w:hint="eastAsia" w:ascii="仿宋_GB2312" w:hAnsi="仿宋_GB2312" w:eastAsia="仿宋_GB2312" w:cs="仿宋_GB2312"/>
          <w:sz w:val="30"/>
          <w:szCs w:val="30"/>
        </w:rPr>
        <w:t>责任单位和责任人的责任追究工作已完成，</w:t>
      </w:r>
      <w:r>
        <w:rPr>
          <w:rFonts w:hint="eastAsia" w:ascii="仿宋_GB2312" w:hAnsi="仿宋_GB2312" w:eastAsia="仿宋_GB2312" w:cs="仿宋_GB2312"/>
          <w:sz w:val="30"/>
          <w:szCs w:val="30"/>
          <w:lang w:eastAsia="zh-CN"/>
        </w:rPr>
        <w:t>事故报告中提出的</w:t>
      </w:r>
      <w:r>
        <w:rPr>
          <w:rFonts w:hint="eastAsia" w:ascii="仿宋_GB2312" w:hAnsi="仿宋_GB2312" w:eastAsia="仿宋_GB2312" w:cs="仿宋_GB2312"/>
          <w:sz w:val="30"/>
          <w:szCs w:val="30"/>
        </w:rPr>
        <w:t>涉事企业事故预防与安全整改工作已</w:t>
      </w:r>
      <w:r>
        <w:rPr>
          <w:rFonts w:hint="eastAsia" w:ascii="仿宋_GB2312" w:hAnsi="仿宋_GB2312" w:eastAsia="仿宋_GB2312" w:cs="仿宋_GB2312"/>
          <w:sz w:val="30"/>
          <w:szCs w:val="30"/>
          <w:lang w:eastAsia="zh-CN"/>
        </w:rPr>
        <w:t>全部</w:t>
      </w:r>
      <w:r>
        <w:rPr>
          <w:rFonts w:hint="eastAsia" w:ascii="仿宋_GB2312" w:hAnsi="仿宋_GB2312" w:eastAsia="仿宋_GB2312" w:cs="仿宋_GB2312"/>
          <w:sz w:val="30"/>
          <w:szCs w:val="30"/>
        </w:rPr>
        <w:t>落实。</w:t>
      </w:r>
    </w:p>
    <w:p w14:paraId="355D7F25">
      <w:pPr>
        <w:keepNext w:val="0"/>
        <w:keepLines w:val="0"/>
        <w:pageBreakBefore w:val="0"/>
        <w:widowControl w:val="0"/>
        <w:kinsoku/>
        <w:overflowPunct/>
        <w:topLinePunct w:val="0"/>
        <w:autoSpaceDE/>
        <w:autoSpaceDN/>
        <w:bidi w:val="0"/>
        <w:adjustRightInd/>
        <w:snapToGrid/>
        <w:spacing w:line="560" w:lineRule="exact"/>
        <w:ind w:firstLine="600" w:firstLineChars="200"/>
        <w:textAlignment w:val="auto"/>
        <w:outlineLvl w:val="0"/>
        <w:rPr>
          <w:rFonts w:hint="eastAsia" w:ascii="黑体" w:hAnsi="黑体" w:eastAsia="黑体" w:cs="黑体"/>
          <w:bCs/>
          <w:sz w:val="30"/>
          <w:szCs w:val="30"/>
          <w:lang w:eastAsia="zh-CN"/>
        </w:rPr>
      </w:pPr>
      <w:r>
        <w:rPr>
          <w:rFonts w:hint="eastAsia" w:ascii="黑体" w:hAnsi="黑体" w:eastAsia="黑体" w:cs="黑体"/>
          <w:bCs/>
          <w:sz w:val="30"/>
          <w:szCs w:val="30"/>
          <w:lang w:eastAsia="zh-CN"/>
        </w:rPr>
        <w:t>五、工作建议</w:t>
      </w:r>
    </w:p>
    <w:p w14:paraId="2D50544A">
      <w:pPr>
        <w:keepNext w:val="0"/>
        <w:keepLines w:val="0"/>
        <w:pageBreakBefore w:val="0"/>
        <w:widowControl w:val="0"/>
        <w:kinsoku/>
        <w:overflowPunct/>
        <w:topLinePunct w:val="0"/>
        <w:autoSpaceDE/>
        <w:autoSpaceDN/>
        <w:bidi w:val="0"/>
        <w:adjustRightInd/>
        <w:snapToGrid/>
        <w:spacing w:line="560" w:lineRule="exact"/>
        <w:ind w:firstLine="300" w:firstLineChars="1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为了进一步改善事故责任单位安全状况，提升事故责任单位安全管理工作水平和安全监管工作的成效性，本报告结合此次核查评估情况，谨提出以下持续改进建议：</w:t>
      </w:r>
    </w:p>
    <w:p w14:paraId="5A55A481">
      <w:pPr>
        <w:keepNext w:val="0"/>
        <w:keepLines w:val="0"/>
        <w:pageBreakBefore w:val="0"/>
        <w:widowControl w:val="0"/>
        <w:kinsoku/>
        <w:overflowPunct/>
        <w:topLinePunct w:val="0"/>
        <w:autoSpaceDE/>
        <w:autoSpaceDN/>
        <w:bidi w:val="0"/>
        <w:adjustRightInd/>
        <w:snapToGrid/>
        <w:spacing w:line="560" w:lineRule="exact"/>
        <w:ind w:firstLine="300" w:firstLineChars="1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一）事故责任单位要牢固树立科学发展、安全发展理念，切实履行“党政同责、一岗双责”的有关规定，坚守“发展决不能牺牲人的生命为代价”红线，完善企业安全生产责任制内容，严格落实企业安全生产主体责任。</w:t>
      </w:r>
    </w:p>
    <w:p w14:paraId="3B188F40">
      <w:pPr>
        <w:keepNext w:val="0"/>
        <w:keepLines w:val="0"/>
        <w:pageBreakBefore w:val="0"/>
        <w:widowControl w:val="0"/>
        <w:kinsoku/>
        <w:overflowPunct/>
        <w:topLinePunct w:val="0"/>
        <w:autoSpaceDE/>
        <w:autoSpaceDN/>
        <w:bidi w:val="0"/>
        <w:adjustRightInd/>
        <w:snapToGrid/>
        <w:spacing w:line="560" w:lineRule="exact"/>
        <w:ind w:firstLine="300" w:firstLineChars="1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二）安全生产事关社会稳定，事关广大人民群众生命财产安全，事故责任单位要从思想上对安全生产工作引起高度重视，切实落实有效措施，持续开展事故隐患排查治理工作，对发现重大隐患应当及时向安全监管主管部门和有关部门报告、组织制定并实施事故隐患治理方案；对事故隐患做到整改措施到位、资金到位、期限到位、责任人到位、应急预案到位，全力防范各类事故发生。</w:t>
      </w:r>
    </w:p>
    <w:p w14:paraId="4A58A1C8">
      <w:pPr>
        <w:keepNext w:val="0"/>
        <w:keepLines w:val="0"/>
        <w:pageBreakBefore w:val="0"/>
        <w:widowControl w:val="0"/>
        <w:kinsoku/>
        <w:overflowPunct/>
        <w:topLinePunct w:val="0"/>
        <w:autoSpaceDE/>
        <w:autoSpaceDN/>
        <w:bidi w:val="0"/>
        <w:adjustRightInd/>
        <w:snapToGrid/>
        <w:spacing w:line="560" w:lineRule="exact"/>
        <w:ind w:firstLine="300" w:firstLineChars="1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三）事故责任单位应确保足额的安全投入、专款专用，应关注危险性较大分部分项工程及施工现场易发生重大事故的部位环节的预防监控措施和应急预案的有效落实；应杜绝工程建设领域违规承揽、层层转包、违法分包、无资质挂靠等行为。</w:t>
      </w:r>
    </w:p>
    <w:p w14:paraId="087BADF8">
      <w:pPr>
        <w:keepNext w:val="0"/>
        <w:keepLines w:val="0"/>
        <w:pageBreakBefore w:val="0"/>
        <w:widowControl w:val="0"/>
        <w:kinsoku/>
        <w:overflowPunct/>
        <w:topLinePunct w:val="0"/>
        <w:autoSpaceDE/>
        <w:autoSpaceDN/>
        <w:bidi w:val="0"/>
        <w:adjustRightInd/>
        <w:snapToGrid/>
        <w:spacing w:line="560" w:lineRule="exact"/>
        <w:ind w:firstLine="600" w:firstLineChars="200"/>
        <w:jc w:val="both"/>
        <w:textAlignment w:val="auto"/>
        <w:rPr>
          <w:rFonts w:hint="eastAsia" w:ascii="仿宋_GB2312" w:hAnsi="仿宋_GB2312" w:eastAsia="仿宋_GB2312" w:cs="仿宋_GB2312"/>
          <w:bCs/>
          <w:sz w:val="30"/>
          <w:szCs w:val="30"/>
        </w:rPr>
      </w:pPr>
      <w:r>
        <w:rPr>
          <w:rFonts w:hint="eastAsia" w:ascii="仿宋_GB2312" w:hAnsi="仿宋_GB2312" w:eastAsia="仿宋_GB2312" w:cs="仿宋_GB2312"/>
          <w:sz w:val="30"/>
          <w:szCs w:val="30"/>
        </w:rPr>
        <w:t>（四）事故责任单位必须制定相关的安全管理制度和安全操作规程，并对相关人员进行安全教育培训，</w:t>
      </w:r>
      <w:r>
        <w:rPr>
          <w:rFonts w:hint="eastAsia" w:ascii="仿宋_GB2312" w:hAnsi="仿宋_GB2312" w:eastAsia="仿宋_GB2312" w:cs="仿宋_GB2312"/>
          <w:sz w:val="30"/>
          <w:szCs w:val="30"/>
          <w:lang w:val="en-US" w:eastAsia="zh-CN"/>
        </w:rPr>
        <w:t>尤其应加强危险作业的审批、培训和监管，</w:t>
      </w:r>
      <w:r>
        <w:rPr>
          <w:rFonts w:hint="eastAsia" w:ascii="仿宋_GB2312" w:hAnsi="仿宋_GB2312" w:eastAsia="仿宋_GB2312" w:cs="仿宋_GB2312"/>
          <w:sz w:val="30"/>
          <w:szCs w:val="30"/>
        </w:rPr>
        <w:t>督促相关人员按照安全管理制度和安全操作规程要求进行作业，突出作业风险分析辨识，强化作业现场监护，落实安全防护措施和应急救援设施</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涉及特殊作业的应持证上岗，</w:t>
      </w:r>
      <w:r>
        <w:rPr>
          <w:rFonts w:hint="eastAsia" w:ascii="仿宋_GB2312" w:hAnsi="仿宋_GB2312" w:eastAsia="仿宋_GB2312" w:cs="仿宋_GB2312"/>
          <w:sz w:val="30"/>
          <w:szCs w:val="30"/>
        </w:rPr>
        <w:t>严防事故发生。</w:t>
      </w:r>
    </w:p>
    <w:p w14:paraId="6A4925F7">
      <w:pPr>
        <w:keepNext w:val="0"/>
        <w:keepLines w:val="0"/>
        <w:pageBreakBefore w:val="0"/>
        <w:widowControl w:val="0"/>
        <w:kinsoku/>
        <w:overflowPunct/>
        <w:topLinePunct w:val="0"/>
        <w:autoSpaceDE/>
        <w:autoSpaceDN/>
        <w:bidi w:val="0"/>
        <w:adjustRightInd/>
        <w:snapToGrid/>
        <w:spacing w:line="560" w:lineRule="exact"/>
        <w:ind w:firstLine="600" w:firstLineChars="200"/>
        <w:jc w:val="right"/>
        <w:textAlignment w:val="auto"/>
        <w:rPr>
          <w:rFonts w:hint="eastAsia" w:ascii="仿宋_GB2312" w:hAnsi="仿宋_GB2312" w:eastAsia="仿宋_GB2312" w:cs="仿宋_GB2312"/>
          <w:bCs/>
          <w:sz w:val="30"/>
          <w:szCs w:val="30"/>
        </w:rPr>
      </w:pPr>
    </w:p>
    <w:p w14:paraId="23301E68">
      <w:pPr>
        <w:keepNext w:val="0"/>
        <w:keepLines w:val="0"/>
        <w:pageBreakBefore w:val="0"/>
        <w:widowControl w:val="0"/>
        <w:kinsoku/>
        <w:overflowPunct/>
        <w:topLinePunct w:val="0"/>
        <w:autoSpaceDE/>
        <w:autoSpaceDN/>
        <w:bidi w:val="0"/>
        <w:adjustRightInd/>
        <w:snapToGrid/>
        <w:spacing w:line="560" w:lineRule="exact"/>
        <w:ind w:firstLine="600" w:firstLineChars="200"/>
        <w:jc w:val="right"/>
        <w:textAlignment w:val="auto"/>
        <w:rPr>
          <w:rFonts w:hint="eastAsia" w:ascii="仿宋_GB2312" w:hAnsi="仿宋_GB2312" w:eastAsia="仿宋_GB2312" w:cs="仿宋_GB2312"/>
          <w:bCs/>
          <w:sz w:val="30"/>
          <w:szCs w:val="30"/>
        </w:rPr>
      </w:pPr>
    </w:p>
    <w:p w14:paraId="79EF4F7E">
      <w:pPr>
        <w:keepNext w:val="0"/>
        <w:keepLines w:val="0"/>
        <w:pageBreakBefore w:val="0"/>
        <w:widowControl w:val="0"/>
        <w:kinsoku/>
        <w:overflowPunct/>
        <w:topLinePunct w:val="0"/>
        <w:autoSpaceDE/>
        <w:autoSpaceDN/>
        <w:bidi w:val="0"/>
        <w:adjustRightInd/>
        <w:snapToGrid/>
        <w:spacing w:line="560" w:lineRule="exact"/>
        <w:ind w:firstLine="600" w:firstLineChars="200"/>
        <w:jc w:val="right"/>
        <w:textAlignment w:val="auto"/>
        <w:rPr>
          <w:rFonts w:hint="eastAsia" w:ascii="仿宋_GB2312" w:hAnsi="仿宋_GB2312" w:eastAsia="仿宋_GB2312" w:cs="仿宋_GB2312"/>
          <w:bCs/>
          <w:sz w:val="30"/>
          <w:szCs w:val="30"/>
          <w:lang w:eastAsia="zh-CN"/>
        </w:rPr>
      </w:pPr>
      <w:r>
        <w:rPr>
          <w:rFonts w:hint="eastAsia" w:ascii="仿宋_GB2312" w:hAnsi="仿宋_GB2312" w:eastAsia="仿宋_GB2312" w:cs="仿宋_GB2312"/>
          <w:bCs/>
          <w:sz w:val="30"/>
          <w:szCs w:val="30"/>
          <w:lang w:eastAsia="zh-CN"/>
        </w:rPr>
        <w:t>“9.9”一般触电事故评估组</w:t>
      </w:r>
      <w:bookmarkStart w:id="7" w:name="_GoBack"/>
      <w:bookmarkEnd w:id="7"/>
    </w:p>
    <w:p w14:paraId="7A74C798">
      <w:pPr>
        <w:keepNext w:val="0"/>
        <w:keepLines w:val="0"/>
        <w:pageBreakBefore w:val="0"/>
        <w:widowControl w:val="0"/>
        <w:kinsoku/>
        <w:wordWrap w:val="0"/>
        <w:overflowPunct/>
        <w:topLinePunct w:val="0"/>
        <w:autoSpaceDE/>
        <w:autoSpaceDN/>
        <w:bidi w:val="0"/>
        <w:adjustRightInd/>
        <w:snapToGrid/>
        <w:spacing w:line="560" w:lineRule="exact"/>
        <w:ind w:firstLine="600" w:firstLineChars="200"/>
        <w:jc w:val="right"/>
        <w:textAlignment w:val="auto"/>
        <w:rPr>
          <w:rFonts w:ascii="仿宋_GB2312" w:hAnsi="仿宋_GB2312" w:eastAsia="仿宋_GB2312" w:cs="仿宋_GB2312"/>
          <w:bCs/>
          <w:sz w:val="30"/>
          <w:szCs w:val="30"/>
        </w:rPr>
      </w:pPr>
      <w:r>
        <w:rPr>
          <w:rFonts w:hint="eastAsia" w:ascii="仿宋_GB2312" w:hAnsi="仿宋_GB2312" w:eastAsia="仿宋_GB2312" w:cs="仿宋_GB2312"/>
          <w:bCs/>
          <w:sz w:val="30"/>
          <w:szCs w:val="30"/>
          <w:lang w:val="en-US" w:eastAsia="zh-CN"/>
        </w:rPr>
        <w:t xml:space="preserve">2024年11月11日   </w:t>
      </w:r>
    </w:p>
    <w:sectPr>
      <w:footerReference r:id="rId3" w:type="default"/>
      <w:pgSz w:w="11906" w:h="16838"/>
      <w:pgMar w:top="935" w:right="1588" w:bottom="1090" w:left="1588" w:header="680" w:footer="680"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D552A">
    <w:pPr>
      <w:pStyle w:val="7"/>
    </w:pPr>
    <w:r>
      <w:pict>
        <v:shape id="文本框 2" o:spid="_x0000_s1025" o:spt="202" type="#_x0000_t202" style="position:absolute;left:0pt;margin-left:215.5pt;margin-top:-0.15pt;height:11.2pt;width:14.65pt;mso-position-horizontal-relative:margin;z-index:251659264;mso-width-relative:page;mso-height-relative:page;" filled="f" stroked="f" coordsize="21600,21600">
          <v:path/>
          <v:fill on="f" focussize="0,0"/>
          <v:stroke on="f" weight="0.5pt" joinstyle="miter"/>
          <v:imagedata o:title=""/>
          <o:lock v:ext="edit"/>
          <v:textbox inset="0mm,0mm,0mm,0mm">
            <w:txbxContent>
              <w:p w14:paraId="156709E9">
                <w:pPr>
                  <w:pStyle w:val="7"/>
                </w:pPr>
                <w:r>
                  <w:fldChar w:fldCharType="begin"/>
                </w:r>
                <w:r>
                  <w:instrText xml:space="preserve"> PAGE  \* MERGEFORMAT </w:instrText>
                </w:r>
                <w:r>
                  <w:fldChar w:fldCharType="separate"/>
                </w:r>
                <w:r>
                  <w:t>11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966315"/>
    <w:multiLevelType w:val="multilevel"/>
    <w:tmpl w:val="27966315"/>
    <w:lvl w:ilvl="0" w:tentative="0">
      <w:start w:val="1"/>
      <w:numFmt w:val="japaneseCounting"/>
      <w:pStyle w:val="28"/>
      <w:lvlText w:val="%1、"/>
      <w:lvlJc w:val="left"/>
      <w:pPr>
        <w:ind w:left="165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WIwNjM5ZWJiMDI5ZGJlMzRmOTRiYTdmNzUyMDVkZTcifQ=="/>
  </w:docVars>
  <w:rsids>
    <w:rsidRoot w:val="00AD648B"/>
    <w:rsid w:val="00001700"/>
    <w:rsid w:val="00003E0F"/>
    <w:rsid w:val="00005E53"/>
    <w:rsid w:val="00007686"/>
    <w:rsid w:val="000502F7"/>
    <w:rsid w:val="000511FA"/>
    <w:rsid w:val="00051AC5"/>
    <w:rsid w:val="00054A5E"/>
    <w:rsid w:val="00065100"/>
    <w:rsid w:val="00067AE2"/>
    <w:rsid w:val="000732C3"/>
    <w:rsid w:val="00074505"/>
    <w:rsid w:val="00080AD1"/>
    <w:rsid w:val="00085296"/>
    <w:rsid w:val="00091D2A"/>
    <w:rsid w:val="000B1A0D"/>
    <w:rsid w:val="000B7BA8"/>
    <w:rsid w:val="000C1C9C"/>
    <w:rsid w:val="000C334C"/>
    <w:rsid w:val="000C71B8"/>
    <w:rsid w:val="000D04CA"/>
    <w:rsid w:val="000D1171"/>
    <w:rsid w:val="000D6758"/>
    <w:rsid w:val="000E505A"/>
    <w:rsid w:val="000F484B"/>
    <w:rsid w:val="000F61CC"/>
    <w:rsid w:val="000F64DA"/>
    <w:rsid w:val="00100F11"/>
    <w:rsid w:val="001042ED"/>
    <w:rsid w:val="00111C76"/>
    <w:rsid w:val="001322FD"/>
    <w:rsid w:val="00142DDC"/>
    <w:rsid w:val="001449EB"/>
    <w:rsid w:val="001504F0"/>
    <w:rsid w:val="001512B6"/>
    <w:rsid w:val="00155A3C"/>
    <w:rsid w:val="001578E2"/>
    <w:rsid w:val="00166A5F"/>
    <w:rsid w:val="00171ECE"/>
    <w:rsid w:val="0017684E"/>
    <w:rsid w:val="00185196"/>
    <w:rsid w:val="00185457"/>
    <w:rsid w:val="00192F7E"/>
    <w:rsid w:val="001935C4"/>
    <w:rsid w:val="001B5FA4"/>
    <w:rsid w:val="001B6AEE"/>
    <w:rsid w:val="001B7A7D"/>
    <w:rsid w:val="001C34EB"/>
    <w:rsid w:val="001C65D6"/>
    <w:rsid w:val="001D78B2"/>
    <w:rsid w:val="001E0874"/>
    <w:rsid w:val="00213813"/>
    <w:rsid w:val="00227184"/>
    <w:rsid w:val="002363E0"/>
    <w:rsid w:val="0023703A"/>
    <w:rsid w:val="00242BF7"/>
    <w:rsid w:val="00246069"/>
    <w:rsid w:val="00260D48"/>
    <w:rsid w:val="00261C8B"/>
    <w:rsid w:val="00262983"/>
    <w:rsid w:val="00263EEB"/>
    <w:rsid w:val="00264794"/>
    <w:rsid w:val="00271A34"/>
    <w:rsid w:val="00277B7C"/>
    <w:rsid w:val="00282844"/>
    <w:rsid w:val="00283544"/>
    <w:rsid w:val="002854B9"/>
    <w:rsid w:val="002A06CA"/>
    <w:rsid w:val="002A45DF"/>
    <w:rsid w:val="002A7CEA"/>
    <w:rsid w:val="002B2CCB"/>
    <w:rsid w:val="002D6816"/>
    <w:rsid w:val="002E4D19"/>
    <w:rsid w:val="002F2985"/>
    <w:rsid w:val="002F2E6F"/>
    <w:rsid w:val="002F731C"/>
    <w:rsid w:val="003002C7"/>
    <w:rsid w:val="00302A9C"/>
    <w:rsid w:val="00304450"/>
    <w:rsid w:val="0030680A"/>
    <w:rsid w:val="00315349"/>
    <w:rsid w:val="003170ED"/>
    <w:rsid w:val="00324AF9"/>
    <w:rsid w:val="00331262"/>
    <w:rsid w:val="003326AB"/>
    <w:rsid w:val="00335878"/>
    <w:rsid w:val="00351628"/>
    <w:rsid w:val="00357EC5"/>
    <w:rsid w:val="00360F79"/>
    <w:rsid w:val="00363DEC"/>
    <w:rsid w:val="003727CA"/>
    <w:rsid w:val="003751FC"/>
    <w:rsid w:val="003761F3"/>
    <w:rsid w:val="00382224"/>
    <w:rsid w:val="00383D6D"/>
    <w:rsid w:val="00384B02"/>
    <w:rsid w:val="00387057"/>
    <w:rsid w:val="00387B66"/>
    <w:rsid w:val="003A0653"/>
    <w:rsid w:val="003A4EA4"/>
    <w:rsid w:val="003A7BC4"/>
    <w:rsid w:val="003B6A53"/>
    <w:rsid w:val="003D179A"/>
    <w:rsid w:val="003D6E36"/>
    <w:rsid w:val="003E5C7B"/>
    <w:rsid w:val="00410598"/>
    <w:rsid w:val="004116D9"/>
    <w:rsid w:val="00412E5A"/>
    <w:rsid w:val="0042494F"/>
    <w:rsid w:val="004310B8"/>
    <w:rsid w:val="00432D91"/>
    <w:rsid w:val="00433F76"/>
    <w:rsid w:val="004427B1"/>
    <w:rsid w:val="004615F5"/>
    <w:rsid w:val="00463302"/>
    <w:rsid w:val="00465A47"/>
    <w:rsid w:val="00467648"/>
    <w:rsid w:val="00467910"/>
    <w:rsid w:val="00480CD7"/>
    <w:rsid w:val="00485891"/>
    <w:rsid w:val="004874B9"/>
    <w:rsid w:val="00497DE7"/>
    <w:rsid w:val="004A010A"/>
    <w:rsid w:val="004A1CA1"/>
    <w:rsid w:val="004A2B6E"/>
    <w:rsid w:val="004C0224"/>
    <w:rsid w:val="004C6BEA"/>
    <w:rsid w:val="004D22C7"/>
    <w:rsid w:val="004D4BC9"/>
    <w:rsid w:val="004D693F"/>
    <w:rsid w:val="004E1CF1"/>
    <w:rsid w:val="004E3B31"/>
    <w:rsid w:val="004E4C20"/>
    <w:rsid w:val="004F70AA"/>
    <w:rsid w:val="004F7A54"/>
    <w:rsid w:val="005044BB"/>
    <w:rsid w:val="005108EB"/>
    <w:rsid w:val="00521D0A"/>
    <w:rsid w:val="005315C5"/>
    <w:rsid w:val="0053738C"/>
    <w:rsid w:val="00537AD9"/>
    <w:rsid w:val="00541262"/>
    <w:rsid w:val="005536B4"/>
    <w:rsid w:val="00554969"/>
    <w:rsid w:val="00557D05"/>
    <w:rsid w:val="00564B7F"/>
    <w:rsid w:val="00576F9E"/>
    <w:rsid w:val="005861AC"/>
    <w:rsid w:val="005912ED"/>
    <w:rsid w:val="00592E98"/>
    <w:rsid w:val="00593C48"/>
    <w:rsid w:val="00595A31"/>
    <w:rsid w:val="005A5BA7"/>
    <w:rsid w:val="005B759C"/>
    <w:rsid w:val="005C0BF8"/>
    <w:rsid w:val="005C6480"/>
    <w:rsid w:val="005D28C9"/>
    <w:rsid w:val="005E2555"/>
    <w:rsid w:val="005E5D7B"/>
    <w:rsid w:val="005F2EE4"/>
    <w:rsid w:val="005F3631"/>
    <w:rsid w:val="005F3941"/>
    <w:rsid w:val="006044AC"/>
    <w:rsid w:val="00614E31"/>
    <w:rsid w:val="00620825"/>
    <w:rsid w:val="0063675F"/>
    <w:rsid w:val="00652699"/>
    <w:rsid w:val="00652E95"/>
    <w:rsid w:val="0065699B"/>
    <w:rsid w:val="00671282"/>
    <w:rsid w:val="0067529D"/>
    <w:rsid w:val="006854BC"/>
    <w:rsid w:val="00691384"/>
    <w:rsid w:val="006A115D"/>
    <w:rsid w:val="006A1611"/>
    <w:rsid w:val="006A5C1F"/>
    <w:rsid w:val="006A6EF0"/>
    <w:rsid w:val="006B1E61"/>
    <w:rsid w:val="006B7329"/>
    <w:rsid w:val="006C0B4B"/>
    <w:rsid w:val="006C781E"/>
    <w:rsid w:val="006D33BC"/>
    <w:rsid w:val="006D6F82"/>
    <w:rsid w:val="006F2146"/>
    <w:rsid w:val="006F55EC"/>
    <w:rsid w:val="006F6913"/>
    <w:rsid w:val="0070390F"/>
    <w:rsid w:val="007043E8"/>
    <w:rsid w:val="007112F8"/>
    <w:rsid w:val="00720338"/>
    <w:rsid w:val="00736E95"/>
    <w:rsid w:val="00737679"/>
    <w:rsid w:val="00742ECE"/>
    <w:rsid w:val="007512A6"/>
    <w:rsid w:val="00751A8F"/>
    <w:rsid w:val="00752FEA"/>
    <w:rsid w:val="0075635E"/>
    <w:rsid w:val="00757804"/>
    <w:rsid w:val="007579F7"/>
    <w:rsid w:val="00765AA6"/>
    <w:rsid w:val="00770FC6"/>
    <w:rsid w:val="0077668F"/>
    <w:rsid w:val="00782B61"/>
    <w:rsid w:val="007878C5"/>
    <w:rsid w:val="00796035"/>
    <w:rsid w:val="007A38DE"/>
    <w:rsid w:val="007A4107"/>
    <w:rsid w:val="007A6229"/>
    <w:rsid w:val="007B3787"/>
    <w:rsid w:val="007E14F6"/>
    <w:rsid w:val="007E2BB1"/>
    <w:rsid w:val="007E2E98"/>
    <w:rsid w:val="007E7330"/>
    <w:rsid w:val="007E7338"/>
    <w:rsid w:val="007F0A3A"/>
    <w:rsid w:val="007F77A0"/>
    <w:rsid w:val="0080323D"/>
    <w:rsid w:val="008061A2"/>
    <w:rsid w:val="0080727F"/>
    <w:rsid w:val="00820C32"/>
    <w:rsid w:val="008225EB"/>
    <w:rsid w:val="0082595F"/>
    <w:rsid w:val="008344D6"/>
    <w:rsid w:val="00842074"/>
    <w:rsid w:val="00863304"/>
    <w:rsid w:val="0088503E"/>
    <w:rsid w:val="00887725"/>
    <w:rsid w:val="00892A25"/>
    <w:rsid w:val="008D0A41"/>
    <w:rsid w:val="008D41D3"/>
    <w:rsid w:val="008E2572"/>
    <w:rsid w:val="008F7E6A"/>
    <w:rsid w:val="009030F3"/>
    <w:rsid w:val="009233BB"/>
    <w:rsid w:val="009256A0"/>
    <w:rsid w:val="00926DF9"/>
    <w:rsid w:val="0092765E"/>
    <w:rsid w:val="00927788"/>
    <w:rsid w:val="00930D4F"/>
    <w:rsid w:val="00936B07"/>
    <w:rsid w:val="00937AF6"/>
    <w:rsid w:val="0094070B"/>
    <w:rsid w:val="0094428A"/>
    <w:rsid w:val="009525E8"/>
    <w:rsid w:val="00964D7E"/>
    <w:rsid w:val="0096525F"/>
    <w:rsid w:val="00975AEC"/>
    <w:rsid w:val="00981FE6"/>
    <w:rsid w:val="00982CD4"/>
    <w:rsid w:val="00984147"/>
    <w:rsid w:val="00996741"/>
    <w:rsid w:val="00996D6F"/>
    <w:rsid w:val="009A3FD0"/>
    <w:rsid w:val="009B11DE"/>
    <w:rsid w:val="009B279A"/>
    <w:rsid w:val="009B4BF8"/>
    <w:rsid w:val="009B699C"/>
    <w:rsid w:val="009B6BA1"/>
    <w:rsid w:val="009C0EF5"/>
    <w:rsid w:val="009C1016"/>
    <w:rsid w:val="009C2ED2"/>
    <w:rsid w:val="009C4B0A"/>
    <w:rsid w:val="009E4936"/>
    <w:rsid w:val="009F7599"/>
    <w:rsid w:val="00A008AA"/>
    <w:rsid w:val="00A0594A"/>
    <w:rsid w:val="00A15C1C"/>
    <w:rsid w:val="00A4043A"/>
    <w:rsid w:val="00A43F6A"/>
    <w:rsid w:val="00A52639"/>
    <w:rsid w:val="00A546BD"/>
    <w:rsid w:val="00A57033"/>
    <w:rsid w:val="00A71F10"/>
    <w:rsid w:val="00A76014"/>
    <w:rsid w:val="00A86B1D"/>
    <w:rsid w:val="00A935C5"/>
    <w:rsid w:val="00AA5244"/>
    <w:rsid w:val="00AC3E65"/>
    <w:rsid w:val="00AC7BB7"/>
    <w:rsid w:val="00AC7D42"/>
    <w:rsid w:val="00AD4EAA"/>
    <w:rsid w:val="00AD648B"/>
    <w:rsid w:val="00AE1371"/>
    <w:rsid w:val="00AF4F7A"/>
    <w:rsid w:val="00AF6CAD"/>
    <w:rsid w:val="00B0041B"/>
    <w:rsid w:val="00B004C6"/>
    <w:rsid w:val="00B13B6D"/>
    <w:rsid w:val="00B150E6"/>
    <w:rsid w:val="00B34072"/>
    <w:rsid w:val="00B3558F"/>
    <w:rsid w:val="00B54E07"/>
    <w:rsid w:val="00B600EB"/>
    <w:rsid w:val="00B60259"/>
    <w:rsid w:val="00B64526"/>
    <w:rsid w:val="00B82FB7"/>
    <w:rsid w:val="00B84A2E"/>
    <w:rsid w:val="00B87A1E"/>
    <w:rsid w:val="00B9016F"/>
    <w:rsid w:val="00B90D5B"/>
    <w:rsid w:val="00B9518E"/>
    <w:rsid w:val="00BA0989"/>
    <w:rsid w:val="00BA70CA"/>
    <w:rsid w:val="00BB0115"/>
    <w:rsid w:val="00BB0A86"/>
    <w:rsid w:val="00BC448D"/>
    <w:rsid w:val="00BC4980"/>
    <w:rsid w:val="00BC6829"/>
    <w:rsid w:val="00BD5943"/>
    <w:rsid w:val="00BE76A3"/>
    <w:rsid w:val="00C01C56"/>
    <w:rsid w:val="00C03AF6"/>
    <w:rsid w:val="00C106CE"/>
    <w:rsid w:val="00C1263A"/>
    <w:rsid w:val="00C13041"/>
    <w:rsid w:val="00C31BAE"/>
    <w:rsid w:val="00C35589"/>
    <w:rsid w:val="00C41178"/>
    <w:rsid w:val="00C45D27"/>
    <w:rsid w:val="00C56680"/>
    <w:rsid w:val="00C56926"/>
    <w:rsid w:val="00C57C6B"/>
    <w:rsid w:val="00C611A1"/>
    <w:rsid w:val="00C6153D"/>
    <w:rsid w:val="00C65142"/>
    <w:rsid w:val="00C70394"/>
    <w:rsid w:val="00C749DD"/>
    <w:rsid w:val="00C74A25"/>
    <w:rsid w:val="00C82F6F"/>
    <w:rsid w:val="00CA563D"/>
    <w:rsid w:val="00CA75DD"/>
    <w:rsid w:val="00CB4E51"/>
    <w:rsid w:val="00CB5142"/>
    <w:rsid w:val="00CE001F"/>
    <w:rsid w:val="00CE3AFE"/>
    <w:rsid w:val="00CE6F85"/>
    <w:rsid w:val="00CF1A63"/>
    <w:rsid w:val="00CF5B2A"/>
    <w:rsid w:val="00D0587D"/>
    <w:rsid w:val="00D12DC9"/>
    <w:rsid w:val="00D17768"/>
    <w:rsid w:val="00D20FD1"/>
    <w:rsid w:val="00D22ADA"/>
    <w:rsid w:val="00D37160"/>
    <w:rsid w:val="00D43BAE"/>
    <w:rsid w:val="00D47B9E"/>
    <w:rsid w:val="00D5145E"/>
    <w:rsid w:val="00D525F6"/>
    <w:rsid w:val="00D5782F"/>
    <w:rsid w:val="00D61EB8"/>
    <w:rsid w:val="00D709DE"/>
    <w:rsid w:val="00D71EBA"/>
    <w:rsid w:val="00D725AD"/>
    <w:rsid w:val="00D92569"/>
    <w:rsid w:val="00D92D5E"/>
    <w:rsid w:val="00D962DB"/>
    <w:rsid w:val="00D9687C"/>
    <w:rsid w:val="00D9763C"/>
    <w:rsid w:val="00DB13C1"/>
    <w:rsid w:val="00DB3C8C"/>
    <w:rsid w:val="00DC2708"/>
    <w:rsid w:val="00DD1E0B"/>
    <w:rsid w:val="00DD6180"/>
    <w:rsid w:val="00DE6533"/>
    <w:rsid w:val="00DF36D3"/>
    <w:rsid w:val="00E2758D"/>
    <w:rsid w:val="00E31EE5"/>
    <w:rsid w:val="00E34C75"/>
    <w:rsid w:val="00E55A2E"/>
    <w:rsid w:val="00E604FD"/>
    <w:rsid w:val="00E61E50"/>
    <w:rsid w:val="00E62DE6"/>
    <w:rsid w:val="00E6327A"/>
    <w:rsid w:val="00E656C6"/>
    <w:rsid w:val="00E65C62"/>
    <w:rsid w:val="00E76DA0"/>
    <w:rsid w:val="00E86CC7"/>
    <w:rsid w:val="00EB3301"/>
    <w:rsid w:val="00EC2C13"/>
    <w:rsid w:val="00EE179C"/>
    <w:rsid w:val="00EE51AF"/>
    <w:rsid w:val="00EF3180"/>
    <w:rsid w:val="00EF6289"/>
    <w:rsid w:val="00F001F5"/>
    <w:rsid w:val="00F0206B"/>
    <w:rsid w:val="00F07D77"/>
    <w:rsid w:val="00F11D9F"/>
    <w:rsid w:val="00F14011"/>
    <w:rsid w:val="00F1606C"/>
    <w:rsid w:val="00F22A5C"/>
    <w:rsid w:val="00F23126"/>
    <w:rsid w:val="00F257F8"/>
    <w:rsid w:val="00F2758C"/>
    <w:rsid w:val="00F34043"/>
    <w:rsid w:val="00F67451"/>
    <w:rsid w:val="00F8685F"/>
    <w:rsid w:val="00FB2782"/>
    <w:rsid w:val="00FB7B15"/>
    <w:rsid w:val="00FC06F6"/>
    <w:rsid w:val="00FD47F9"/>
    <w:rsid w:val="00FE30CF"/>
    <w:rsid w:val="015C7990"/>
    <w:rsid w:val="033425B1"/>
    <w:rsid w:val="037D16A8"/>
    <w:rsid w:val="03D177E1"/>
    <w:rsid w:val="03FC2EB9"/>
    <w:rsid w:val="04350D16"/>
    <w:rsid w:val="04BC223F"/>
    <w:rsid w:val="06265F96"/>
    <w:rsid w:val="078773D3"/>
    <w:rsid w:val="07FB13FB"/>
    <w:rsid w:val="08602EE2"/>
    <w:rsid w:val="08FC5965"/>
    <w:rsid w:val="09502F56"/>
    <w:rsid w:val="09842907"/>
    <w:rsid w:val="09DE0E66"/>
    <w:rsid w:val="0A053CDE"/>
    <w:rsid w:val="0A153FA3"/>
    <w:rsid w:val="0BDD4C34"/>
    <w:rsid w:val="0C030BCD"/>
    <w:rsid w:val="0C7373DF"/>
    <w:rsid w:val="0CD53F0D"/>
    <w:rsid w:val="0DC40504"/>
    <w:rsid w:val="0DF53B8E"/>
    <w:rsid w:val="0E1C4FE4"/>
    <w:rsid w:val="0E8A3101"/>
    <w:rsid w:val="0EE56CBC"/>
    <w:rsid w:val="0F0E52A8"/>
    <w:rsid w:val="0F8643D6"/>
    <w:rsid w:val="0FA351D0"/>
    <w:rsid w:val="100C0763"/>
    <w:rsid w:val="102A170C"/>
    <w:rsid w:val="103E5ECA"/>
    <w:rsid w:val="10C67D8D"/>
    <w:rsid w:val="10FD1D28"/>
    <w:rsid w:val="114A3980"/>
    <w:rsid w:val="115F7A7E"/>
    <w:rsid w:val="12727213"/>
    <w:rsid w:val="1331197C"/>
    <w:rsid w:val="13382340"/>
    <w:rsid w:val="13484EA9"/>
    <w:rsid w:val="142C0A49"/>
    <w:rsid w:val="144053D4"/>
    <w:rsid w:val="156D10F1"/>
    <w:rsid w:val="16866384"/>
    <w:rsid w:val="169C77DB"/>
    <w:rsid w:val="1700274F"/>
    <w:rsid w:val="178618BA"/>
    <w:rsid w:val="18007BCB"/>
    <w:rsid w:val="193A32DB"/>
    <w:rsid w:val="1A294349"/>
    <w:rsid w:val="1A2A25F4"/>
    <w:rsid w:val="1C485917"/>
    <w:rsid w:val="1D144C6E"/>
    <w:rsid w:val="1D16725A"/>
    <w:rsid w:val="1D4D70D9"/>
    <w:rsid w:val="1DB12344"/>
    <w:rsid w:val="1DEB177D"/>
    <w:rsid w:val="1EFB1390"/>
    <w:rsid w:val="1F946763"/>
    <w:rsid w:val="1FD47E62"/>
    <w:rsid w:val="1FDD29FA"/>
    <w:rsid w:val="20074427"/>
    <w:rsid w:val="205B3BD8"/>
    <w:rsid w:val="20C45BCD"/>
    <w:rsid w:val="217212D8"/>
    <w:rsid w:val="21DF2C72"/>
    <w:rsid w:val="22237002"/>
    <w:rsid w:val="223B434C"/>
    <w:rsid w:val="22470620"/>
    <w:rsid w:val="22CE2D81"/>
    <w:rsid w:val="22F15352"/>
    <w:rsid w:val="23131B18"/>
    <w:rsid w:val="237A70F6"/>
    <w:rsid w:val="241F3933"/>
    <w:rsid w:val="244E44B5"/>
    <w:rsid w:val="24633535"/>
    <w:rsid w:val="251C69BB"/>
    <w:rsid w:val="25230953"/>
    <w:rsid w:val="26980A5A"/>
    <w:rsid w:val="27261587"/>
    <w:rsid w:val="27D513A4"/>
    <w:rsid w:val="28165677"/>
    <w:rsid w:val="28555562"/>
    <w:rsid w:val="292358FF"/>
    <w:rsid w:val="292872EA"/>
    <w:rsid w:val="29E77D17"/>
    <w:rsid w:val="2A214073"/>
    <w:rsid w:val="2A62494D"/>
    <w:rsid w:val="2A952A67"/>
    <w:rsid w:val="2AF25A29"/>
    <w:rsid w:val="2B31696D"/>
    <w:rsid w:val="2BC929C8"/>
    <w:rsid w:val="2BE8746F"/>
    <w:rsid w:val="2C245E51"/>
    <w:rsid w:val="2C756321"/>
    <w:rsid w:val="2C995A1E"/>
    <w:rsid w:val="2DED2793"/>
    <w:rsid w:val="2E3D4AAA"/>
    <w:rsid w:val="2E8402B7"/>
    <w:rsid w:val="2EFB38F3"/>
    <w:rsid w:val="304271ED"/>
    <w:rsid w:val="308E0F94"/>
    <w:rsid w:val="30B05060"/>
    <w:rsid w:val="313F54DB"/>
    <w:rsid w:val="31716EDC"/>
    <w:rsid w:val="31D04D67"/>
    <w:rsid w:val="31E56A8C"/>
    <w:rsid w:val="32AD51A6"/>
    <w:rsid w:val="32CD7249"/>
    <w:rsid w:val="32F347CF"/>
    <w:rsid w:val="33550FE6"/>
    <w:rsid w:val="33B421B0"/>
    <w:rsid w:val="341C44FF"/>
    <w:rsid w:val="342C67F4"/>
    <w:rsid w:val="34612A9B"/>
    <w:rsid w:val="35130791"/>
    <w:rsid w:val="357F059C"/>
    <w:rsid w:val="371737F3"/>
    <w:rsid w:val="37493898"/>
    <w:rsid w:val="37783AA1"/>
    <w:rsid w:val="384653A1"/>
    <w:rsid w:val="39C46EC5"/>
    <w:rsid w:val="3A2C6DE1"/>
    <w:rsid w:val="3A47776C"/>
    <w:rsid w:val="3A636293"/>
    <w:rsid w:val="3AA420FE"/>
    <w:rsid w:val="3B585B69"/>
    <w:rsid w:val="3BD01C16"/>
    <w:rsid w:val="3BFE3EC3"/>
    <w:rsid w:val="3C1F03E3"/>
    <w:rsid w:val="3C394954"/>
    <w:rsid w:val="3CA31014"/>
    <w:rsid w:val="3D001FC2"/>
    <w:rsid w:val="3DB11AD4"/>
    <w:rsid w:val="3E2B2521"/>
    <w:rsid w:val="3F7D1CC7"/>
    <w:rsid w:val="40CC5C49"/>
    <w:rsid w:val="41B84D85"/>
    <w:rsid w:val="4312520A"/>
    <w:rsid w:val="433A2DEB"/>
    <w:rsid w:val="435667A4"/>
    <w:rsid w:val="4416297F"/>
    <w:rsid w:val="46766CA4"/>
    <w:rsid w:val="46AE1F0C"/>
    <w:rsid w:val="470D77B7"/>
    <w:rsid w:val="47262F6D"/>
    <w:rsid w:val="474271A0"/>
    <w:rsid w:val="47490A0A"/>
    <w:rsid w:val="47EB2576"/>
    <w:rsid w:val="48150576"/>
    <w:rsid w:val="48755B39"/>
    <w:rsid w:val="49356826"/>
    <w:rsid w:val="49E51604"/>
    <w:rsid w:val="4A9067AB"/>
    <w:rsid w:val="4A9E2883"/>
    <w:rsid w:val="4AAA58FE"/>
    <w:rsid w:val="4AB85877"/>
    <w:rsid w:val="4B5856BF"/>
    <w:rsid w:val="4B5F6CE3"/>
    <w:rsid w:val="4C0026D1"/>
    <w:rsid w:val="4C3D00B7"/>
    <w:rsid w:val="4C955487"/>
    <w:rsid w:val="4CA87F80"/>
    <w:rsid w:val="4D4B0D3B"/>
    <w:rsid w:val="4D755501"/>
    <w:rsid w:val="4DA22108"/>
    <w:rsid w:val="4DD21759"/>
    <w:rsid w:val="4DFE2823"/>
    <w:rsid w:val="4E8D3FB1"/>
    <w:rsid w:val="4EB93B36"/>
    <w:rsid w:val="4EC15C1A"/>
    <w:rsid w:val="4EFC48A3"/>
    <w:rsid w:val="4F120AD6"/>
    <w:rsid w:val="4F342E1D"/>
    <w:rsid w:val="4FDC066D"/>
    <w:rsid w:val="4FEB08B0"/>
    <w:rsid w:val="503A57CF"/>
    <w:rsid w:val="50D77DB9"/>
    <w:rsid w:val="518B776F"/>
    <w:rsid w:val="52D03874"/>
    <w:rsid w:val="52F0469B"/>
    <w:rsid w:val="52F61DEB"/>
    <w:rsid w:val="536A7603"/>
    <w:rsid w:val="53A078FC"/>
    <w:rsid w:val="53C44B0C"/>
    <w:rsid w:val="53D224B3"/>
    <w:rsid w:val="53DD2C05"/>
    <w:rsid w:val="540A2BDF"/>
    <w:rsid w:val="546D4869"/>
    <w:rsid w:val="554853EF"/>
    <w:rsid w:val="55D16F8A"/>
    <w:rsid w:val="55D41DE6"/>
    <w:rsid w:val="566F065C"/>
    <w:rsid w:val="56C73F7C"/>
    <w:rsid w:val="570A2928"/>
    <w:rsid w:val="57D66BD7"/>
    <w:rsid w:val="58164E01"/>
    <w:rsid w:val="58361B6C"/>
    <w:rsid w:val="584A07DB"/>
    <w:rsid w:val="584A5AA6"/>
    <w:rsid w:val="584E45F9"/>
    <w:rsid w:val="59647BDA"/>
    <w:rsid w:val="597D1671"/>
    <w:rsid w:val="59ED6F91"/>
    <w:rsid w:val="59F82470"/>
    <w:rsid w:val="5A984AFD"/>
    <w:rsid w:val="5ACE1B1B"/>
    <w:rsid w:val="5B0538E4"/>
    <w:rsid w:val="5C043425"/>
    <w:rsid w:val="5C3F0A59"/>
    <w:rsid w:val="5D945AEA"/>
    <w:rsid w:val="5DA82EB8"/>
    <w:rsid w:val="5DDA485D"/>
    <w:rsid w:val="5E2D4484"/>
    <w:rsid w:val="5EF36C35"/>
    <w:rsid w:val="5F2153BC"/>
    <w:rsid w:val="5F794BE4"/>
    <w:rsid w:val="5F9E7A51"/>
    <w:rsid w:val="600447E0"/>
    <w:rsid w:val="606A01B1"/>
    <w:rsid w:val="610E1381"/>
    <w:rsid w:val="6147235A"/>
    <w:rsid w:val="619B687A"/>
    <w:rsid w:val="61B551C2"/>
    <w:rsid w:val="64CF0348"/>
    <w:rsid w:val="6515190C"/>
    <w:rsid w:val="65736F26"/>
    <w:rsid w:val="659C1F4E"/>
    <w:rsid w:val="65AE191D"/>
    <w:rsid w:val="668D2BB7"/>
    <w:rsid w:val="6693315B"/>
    <w:rsid w:val="67046E3D"/>
    <w:rsid w:val="67582FC1"/>
    <w:rsid w:val="68AA7102"/>
    <w:rsid w:val="68C84020"/>
    <w:rsid w:val="69DA2C84"/>
    <w:rsid w:val="6AB919E4"/>
    <w:rsid w:val="6B75118A"/>
    <w:rsid w:val="6B8511DC"/>
    <w:rsid w:val="6BF9731F"/>
    <w:rsid w:val="6C0E5BFA"/>
    <w:rsid w:val="6CA87DFD"/>
    <w:rsid w:val="6D085F70"/>
    <w:rsid w:val="6D220B35"/>
    <w:rsid w:val="6E531FEA"/>
    <w:rsid w:val="6E533AC5"/>
    <w:rsid w:val="6E8B3862"/>
    <w:rsid w:val="6F084A66"/>
    <w:rsid w:val="6F350038"/>
    <w:rsid w:val="6FFC6D8E"/>
    <w:rsid w:val="70000F34"/>
    <w:rsid w:val="70482D14"/>
    <w:rsid w:val="70985F24"/>
    <w:rsid w:val="72347D73"/>
    <w:rsid w:val="72810416"/>
    <w:rsid w:val="72F966BC"/>
    <w:rsid w:val="735C36AA"/>
    <w:rsid w:val="73CB790F"/>
    <w:rsid w:val="74F43AA0"/>
    <w:rsid w:val="75404D10"/>
    <w:rsid w:val="759E0D5A"/>
    <w:rsid w:val="763D4089"/>
    <w:rsid w:val="76422779"/>
    <w:rsid w:val="766B47B6"/>
    <w:rsid w:val="768A3536"/>
    <w:rsid w:val="77040325"/>
    <w:rsid w:val="786B4E1A"/>
    <w:rsid w:val="786C7F30"/>
    <w:rsid w:val="78F83A53"/>
    <w:rsid w:val="790976F2"/>
    <w:rsid w:val="791F7C53"/>
    <w:rsid w:val="7951234A"/>
    <w:rsid w:val="79B620E2"/>
    <w:rsid w:val="79F53F55"/>
    <w:rsid w:val="7A967CCC"/>
    <w:rsid w:val="7BDF6ADB"/>
    <w:rsid w:val="7BF149AC"/>
    <w:rsid w:val="7C1733C2"/>
    <w:rsid w:val="7C8B19F2"/>
    <w:rsid w:val="7E140468"/>
    <w:rsid w:val="7E94074B"/>
    <w:rsid w:val="7EB24E2B"/>
    <w:rsid w:val="7F2160B0"/>
    <w:rsid w:val="7F6C006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9"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locked/>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firstLineChars="200"/>
    </w:pPr>
    <w:rPr>
      <w:rFonts w:eastAsia="仿宋"/>
    </w:rPr>
  </w:style>
  <w:style w:type="paragraph" w:styleId="4">
    <w:name w:val="annotation text"/>
    <w:basedOn w:val="1"/>
    <w:link w:val="25"/>
    <w:autoRedefine/>
    <w:unhideWhenUsed/>
    <w:qFormat/>
    <w:uiPriority w:val="99"/>
    <w:pPr>
      <w:jc w:val="left"/>
    </w:pPr>
  </w:style>
  <w:style w:type="paragraph" w:styleId="5">
    <w:name w:val="Body Text Indent"/>
    <w:basedOn w:val="1"/>
    <w:next w:val="3"/>
    <w:unhideWhenUsed/>
    <w:qFormat/>
    <w:uiPriority w:val="99"/>
    <w:pPr>
      <w:spacing w:after="120"/>
      <w:ind w:left="420" w:leftChars="200"/>
    </w:pPr>
  </w:style>
  <w:style w:type="paragraph" w:styleId="6">
    <w:name w:val="Date"/>
    <w:basedOn w:val="1"/>
    <w:next w:val="1"/>
    <w:link w:val="18"/>
    <w:autoRedefine/>
    <w:qFormat/>
    <w:uiPriority w:val="99"/>
    <w:pPr>
      <w:ind w:left="100" w:leftChars="2500"/>
    </w:pPr>
  </w:style>
  <w:style w:type="paragraph" w:styleId="7">
    <w:name w:val="footer"/>
    <w:basedOn w:val="1"/>
    <w:link w:val="19"/>
    <w:autoRedefine/>
    <w:qFormat/>
    <w:uiPriority w:val="99"/>
    <w:pPr>
      <w:tabs>
        <w:tab w:val="center" w:pos="4153"/>
        <w:tab w:val="right" w:pos="8306"/>
      </w:tabs>
      <w:snapToGrid w:val="0"/>
      <w:jc w:val="left"/>
    </w:pPr>
    <w:rPr>
      <w:sz w:val="18"/>
      <w:szCs w:val="18"/>
    </w:rPr>
  </w:style>
  <w:style w:type="paragraph" w:styleId="8">
    <w:name w:val="header"/>
    <w:basedOn w:val="1"/>
    <w:link w:val="20"/>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0">
    <w:name w:val="annotation subject"/>
    <w:basedOn w:val="4"/>
    <w:next w:val="4"/>
    <w:link w:val="26"/>
    <w:semiHidden/>
    <w:unhideWhenUsed/>
    <w:qFormat/>
    <w:uiPriority w:val="99"/>
    <w:rPr>
      <w:b/>
      <w:bCs/>
    </w:rPr>
  </w:style>
  <w:style w:type="paragraph" w:styleId="11">
    <w:name w:val="Body Text First Indent 2"/>
    <w:basedOn w:val="5"/>
    <w:qFormat/>
    <w:uiPriority w:val="0"/>
    <w:pPr>
      <w:spacing w:after="0"/>
      <w:ind w:firstLine="420" w:firstLineChars="200"/>
    </w:pPr>
  </w:style>
  <w:style w:type="table" w:styleId="13">
    <w:name w:val="Table Grid"/>
    <w:basedOn w:val="12"/>
    <w:qFormat/>
    <w:locked/>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autoRedefine/>
    <w:qFormat/>
    <w:locked/>
    <w:uiPriority w:val="99"/>
    <w:rPr>
      <w:rFonts w:cs="Times New Roman"/>
      <w:b/>
      <w:bCs/>
    </w:rPr>
  </w:style>
  <w:style w:type="character" w:styleId="16">
    <w:name w:val="Hyperlink"/>
    <w:autoRedefine/>
    <w:unhideWhenUsed/>
    <w:qFormat/>
    <w:uiPriority w:val="99"/>
    <w:rPr>
      <w:color w:val="0000FF"/>
      <w:u w:val="single"/>
    </w:rPr>
  </w:style>
  <w:style w:type="character" w:styleId="17">
    <w:name w:val="annotation reference"/>
    <w:basedOn w:val="14"/>
    <w:semiHidden/>
    <w:unhideWhenUsed/>
    <w:qFormat/>
    <w:uiPriority w:val="99"/>
    <w:rPr>
      <w:sz w:val="21"/>
      <w:szCs w:val="21"/>
    </w:rPr>
  </w:style>
  <w:style w:type="character" w:customStyle="1" w:styleId="18">
    <w:name w:val="日期 字符"/>
    <w:link w:val="6"/>
    <w:semiHidden/>
    <w:qFormat/>
    <w:locked/>
    <w:uiPriority w:val="99"/>
    <w:rPr>
      <w:rFonts w:ascii="Calibri" w:hAnsi="Calibri" w:eastAsia="宋体" w:cs="Times New Roman"/>
      <w:sz w:val="24"/>
      <w:szCs w:val="24"/>
    </w:rPr>
  </w:style>
  <w:style w:type="character" w:customStyle="1" w:styleId="19">
    <w:name w:val="页脚 字符"/>
    <w:link w:val="7"/>
    <w:autoRedefine/>
    <w:qFormat/>
    <w:locked/>
    <w:uiPriority w:val="99"/>
    <w:rPr>
      <w:rFonts w:ascii="Calibri" w:hAnsi="Calibri" w:eastAsia="宋体" w:cs="Times New Roman"/>
      <w:sz w:val="18"/>
      <w:szCs w:val="18"/>
    </w:rPr>
  </w:style>
  <w:style w:type="character" w:customStyle="1" w:styleId="20">
    <w:name w:val="页眉 字符"/>
    <w:link w:val="8"/>
    <w:qFormat/>
    <w:locked/>
    <w:uiPriority w:val="99"/>
    <w:rPr>
      <w:rFonts w:ascii="Calibri" w:hAnsi="Calibri" w:eastAsia="宋体" w:cs="Times New Roman"/>
      <w:sz w:val="18"/>
      <w:szCs w:val="18"/>
    </w:rPr>
  </w:style>
  <w:style w:type="paragraph" w:customStyle="1" w:styleId="21">
    <w:name w:val="List Paragraph1"/>
    <w:basedOn w:val="1"/>
    <w:qFormat/>
    <w:uiPriority w:val="99"/>
    <w:pPr>
      <w:ind w:firstLine="420" w:firstLineChars="200"/>
    </w:pPr>
  </w:style>
  <w:style w:type="paragraph" w:customStyle="1" w:styleId="22">
    <w:name w:val="WPSOffice手动目录 1"/>
    <w:autoRedefine/>
    <w:qFormat/>
    <w:uiPriority w:val="99"/>
    <w:rPr>
      <w:rFonts w:ascii="等线" w:hAnsi="等线" w:eastAsia="等线" w:cs="Times New Roman"/>
      <w:lang w:val="en-US" w:eastAsia="zh-CN" w:bidi="ar-SA"/>
    </w:rPr>
  </w:style>
  <w:style w:type="character" w:customStyle="1" w:styleId="23">
    <w:name w:val="text-selectable"/>
    <w:qFormat/>
    <w:uiPriority w:val="99"/>
    <w:rPr>
      <w:rFonts w:cs="Times New Roman"/>
    </w:rPr>
  </w:style>
  <w:style w:type="character" w:customStyle="1" w:styleId="24">
    <w:name w:val="Unresolved Mention"/>
    <w:autoRedefine/>
    <w:semiHidden/>
    <w:unhideWhenUsed/>
    <w:qFormat/>
    <w:uiPriority w:val="99"/>
    <w:rPr>
      <w:color w:val="605E5C"/>
      <w:shd w:val="clear" w:color="auto" w:fill="E1DFDD"/>
    </w:rPr>
  </w:style>
  <w:style w:type="character" w:customStyle="1" w:styleId="25">
    <w:name w:val="批注文字 字符"/>
    <w:basedOn w:val="14"/>
    <w:link w:val="4"/>
    <w:qFormat/>
    <w:uiPriority w:val="99"/>
    <w:rPr>
      <w:rFonts w:ascii="Calibri" w:hAnsi="Calibri"/>
      <w:kern w:val="2"/>
      <w:sz w:val="21"/>
      <w:szCs w:val="24"/>
    </w:rPr>
  </w:style>
  <w:style w:type="character" w:customStyle="1" w:styleId="26">
    <w:name w:val="批注主题 字符"/>
    <w:basedOn w:val="25"/>
    <w:link w:val="10"/>
    <w:semiHidden/>
    <w:qFormat/>
    <w:uiPriority w:val="99"/>
    <w:rPr>
      <w:rFonts w:ascii="Calibri" w:hAnsi="Calibri"/>
      <w:b/>
      <w:bCs/>
      <w:kern w:val="2"/>
      <w:sz w:val="21"/>
      <w:szCs w:val="24"/>
    </w:rPr>
  </w:style>
  <w:style w:type="paragraph" w:customStyle="1" w:styleId="27">
    <w:name w:val="样式2"/>
    <w:basedOn w:val="2"/>
    <w:qFormat/>
    <w:uiPriority w:val="0"/>
    <w:rPr>
      <w:rFonts w:ascii="仿宋" w:hAnsi="仿宋" w:eastAsia="仿宋"/>
      <w:b w:val="0"/>
    </w:rPr>
  </w:style>
  <w:style w:type="paragraph" w:customStyle="1" w:styleId="28">
    <w:name w:val="样式1"/>
    <w:basedOn w:val="29"/>
    <w:autoRedefine/>
    <w:qFormat/>
    <w:uiPriority w:val="0"/>
    <w:pPr>
      <w:numPr>
        <w:ilvl w:val="0"/>
        <w:numId w:val="1"/>
      </w:numPr>
      <w:ind w:left="0" w:firstLine="0" w:firstLineChars="0"/>
      <w:outlineLvl w:val="0"/>
    </w:pPr>
    <w:rPr>
      <w:rFonts w:ascii="仿宋" w:hAnsi="仿宋" w:eastAsia="仿宋"/>
      <w:b/>
      <w:sz w:val="32"/>
      <w:szCs w:val="32"/>
    </w:rPr>
  </w:style>
  <w:style w:type="paragraph" w:styleId="29">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3452</Words>
  <Characters>3574</Characters>
  <Lines>69</Lines>
  <Paragraphs>19</Paragraphs>
  <TotalTime>2</TotalTime>
  <ScaleCrop>false</ScaleCrop>
  <LinksUpToDate>false</LinksUpToDate>
  <CharactersWithSpaces>3583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2020-02-13T03:23:00Z</dcterms:created>
  <dc:creator>咕咕</dc:creator>
  <cp:lastModifiedBy>吴睿</cp:lastModifiedBy>
  <cp:lastPrinted>2024-05-22T05:53:00Z</cp:lastPrinted>
  <dcterms:modified xsi:type="dcterms:W3CDTF">2025-01-21T02:26:11Z</dcterms:modified>
  <cp:revision>268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EF49B3BD61E84A42B167F62E07EBC044</vt:lpwstr>
  </property>
  <property fmtid="{D5CDD505-2E9C-101B-9397-08002B2CF9AE}" pid="4" name="KSOTemplateDocerSaveRecord">
    <vt:lpwstr>eyJoZGlkIjoiMDEyNjljNzQ1MDAzYTRmZDg1ZWMyNGRiNWUxOGJiYzUiLCJ1c2VySWQiOiIyMzA0MTY2MjcifQ==</vt:lpwstr>
  </property>
</Properties>
</file>