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9A7E6">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i w:val="0"/>
          <w:iCs w:val="0"/>
          <w:caps w:val="0"/>
          <w:color w:val="auto"/>
          <w:spacing w:val="0"/>
          <w:sz w:val="36"/>
          <w:szCs w:val="36"/>
          <w:shd w:val="clear" w:color="auto" w:fill="FFFFFF"/>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静安静安寺上海申鲁建筑安装工程有限公司</w:t>
      </w:r>
    </w:p>
    <w:p w14:paraId="3244CCE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i w:val="0"/>
          <w:iCs w:val="0"/>
          <w:caps w:val="0"/>
          <w:color w:val="auto"/>
          <w:spacing w:val="0"/>
          <w:sz w:val="36"/>
          <w:szCs w:val="36"/>
          <w:shd w:val="clear" w:color="auto" w:fill="FFFFFF"/>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“10.27”一般其他伤害事故整改和防范措施</w:t>
      </w:r>
    </w:p>
    <w:p w14:paraId="76E2DBD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方正小标宋简体" w:cs="黑体"/>
          <w:bCs/>
          <w:sz w:val="36"/>
          <w:szCs w:val="36"/>
          <w:lang w:eastAsia="zh-CN"/>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落实情况评估</w:t>
      </w:r>
      <w:r>
        <w:rPr>
          <w:rFonts w:hint="eastAsia" w:ascii="方正小标宋简体" w:hAnsi="方正小标宋简体" w:eastAsia="方正小标宋简体" w:cs="方正小标宋简体"/>
          <w:i w:val="0"/>
          <w:iCs w:val="0"/>
          <w:caps w:val="0"/>
          <w:color w:val="auto"/>
          <w:spacing w:val="0"/>
          <w:sz w:val="36"/>
          <w:szCs w:val="36"/>
          <w:shd w:val="clear" w:color="auto" w:fill="FFFFFF"/>
          <w:lang w:eastAsia="zh-CN"/>
        </w:rPr>
        <w:t>报告</w:t>
      </w:r>
    </w:p>
    <w:p w14:paraId="60E142E1">
      <w:pPr>
        <w:keepNext w:val="0"/>
        <w:keepLines w:val="0"/>
        <w:pageBreakBefore w:val="0"/>
        <w:widowControl w:val="0"/>
        <w:kinsoku/>
        <w:overflowPunct/>
        <w:topLinePunct w:val="0"/>
        <w:autoSpaceDE/>
        <w:autoSpaceDN/>
        <w:bidi w:val="0"/>
        <w:adjustRightInd/>
        <w:spacing w:line="560" w:lineRule="exact"/>
        <w:jc w:val="center"/>
        <w:textAlignment w:val="auto"/>
        <w:rPr>
          <w:rFonts w:ascii="黑体" w:hAnsi="华文中宋" w:eastAsia="黑体"/>
          <w:bCs/>
          <w:sz w:val="36"/>
          <w:szCs w:val="36"/>
        </w:rPr>
      </w:pPr>
    </w:p>
    <w:p w14:paraId="498343CB">
      <w:pPr>
        <w:keepNext w:val="0"/>
        <w:keepLines w:val="0"/>
        <w:pageBreakBefore w:val="0"/>
        <w:widowControl w:val="0"/>
        <w:kinsoku/>
        <w:overflowPunct/>
        <w:topLinePunct w:val="0"/>
        <w:autoSpaceDE/>
        <w:autoSpaceDN/>
        <w:bidi w:val="0"/>
        <w:adjustRightInd/>
        <w:spacing w:line="560" w:lineRule="exact"/>
        <w:ind w:firstLine="600" w:firstLineChars="200"/>
        <w:textAlignment w:val="auto"/>
        <w:rPr>
          <w:rFonts w:hint="eastAsia" w:ascii="仿宋_GB2312" w:hAnsi="仿宋_GB2312" w:eastAsia="仿宋_GB2312" w:cs="仿宋_GB2312"/>
          <w:bCs/>
          <w:sz w:val="30"/>
          <w:szCs w:val="30"/>
        </w:rPr>
      </w:pPr>
      <w:r>
        <w:rPr>
          <w:rFonts w:hint="eastAsia" w:ascii="黑体" w:hAnsi="黑体" w:eastAsia="黑体" w:cs="黑体"/>
          <w:b w:val="0"/>
          <w:bCs/>
          <w:sz w:val="30"/>
          <w:szCs w:val="30"/>
          <w:lang w:eastAsia="zh-CN"/>
        </w:rPr>
        <w:t>一、基本情况</w:t>
      </w:r>
    </w:p>
    <w:p w14:paraId="01E1807E">
      <w:pPr>
        <w:spacing w:line="560" w:lineRule="exact"/>
        <w:ind w:firstLine="600" w:firstLineChars="200"/>
        <w:rPr>
          <w:rFonts w:hint="eastAsia" w:ascii="仿宋_GB2312" w:hAnsi="仿宋_GB2312" w:eastAsia="仿宋_GB2312" w:cs="仿宋_GB2312"/>
          <w:sz w:val="30"/>
          <w:szCs w:val="30"/>
          <w:lang w:eastAsia="zh-CN"/>
        </w:rPr>
      </w:pPr>
      <w:r>
        <w:rPr>
          <w:rFonts w:hint="default" w:ascii="仿宋_GB2312" w:hAnsi="仿宋_GB2312" w:eastAsia="仿宋_GB2312" w:cs="仿宋_GB2312"/>
          <w:sz w:val="30"/>
          <w:szCs w:val="30"/>
          <w:lang w:eastAsia="zh-CN"/>
        </w:rPr>
        <w:t>2023年</w:t>
      </w:r>
      <w:r>
        <w:rPr>
          <w:rFonts w:hint="default" w:ascii="仿宋_GB2312" w:hAnsi="仿宋_GB2312" w:eastAsia="仿宋_GB2312" w:cs="仿宋_GB2312"/>
          <w:sz w:val="30"/>
          <w:szCs w:val="30"/>
          <w:lang w:val="en-US" w:eastAsia="zh-CN"/>
        </w:rPr>
        <w:t>10</w:t>
      </w:r>
      <w:r>
        <w:rPr>
          <w:rFonts w:hint="default" w:ascii="仿宋_GB2312" w:hAnsi="仿宋_GB2312" w:eastAsia="仿宋_GB2312" w:cs="仿宋_GB2312"/>
          <w:sz w:val="30"/>
          <w:szCs w:val="30"/>
          <w:lang w:eastAsia="zh-CN"/>
        </w:rPr>
        <w:t>月</w:t>
      </w:r>
      <w:r>
        <w:rPr>
          <w:rFonts w:hint="default" w:ascii="仿宋_GB2312" w:hAnsi="仿宋_GB2312" w:eastAsia="仿宋_GB2312" w:cs="仿宋_GB2312"/>
          <w:sz w:val="30"/>
          <w:szCs w:val="30"/>
          <w:lang w:val="en-US" w:eastAsia="zh-CN"/>
        </w:rPr>
        <w:t>27</w:t>
      </w:r>
      <w:r>
        <w:rPr>
          <w:rFonts w:hint="default" w:ascii="仿宋_GB2312" w:hAnsi="仿宋_GB2312" w:eastAsia="仿宋_GB2312" w:cs="仿宋_GB2312"/>
          <w:sz w:val="30"/>
          <w:szCs w:val="30"/>
          <w:lang w:eastAsia="zh-CN"/>
        </w:rPr>
        <w:t>日上午</w:t>
      </w:r>
      <w:r>
        <w:rPr>
          <w:rFonts w:hint="default" w:ascii="仿宋_GB2312" w:hAnsi="仿宋_GB2312" w:eastAsia="仿宋_GB2312" w:cs="仿宋_GB2312"/>
          <w:sz w:val="30"/>
          <w:szCs w:val="30"/>
          <w:lang w:val="en-US" w:eastAsia="zh-CN"/>
        </w:rPr>
        <w:t>9</w:t>
      </w:r>
      <w:r>
        <w:rPr>
          <w:rFonts w:hint="default" w:ascii="仿宋_GB2312" w:hAnsi="仿宋_GB2312" w:eastAsia="仿宋_GB2312" w:cs="仿宋_GB2312"/>
          <w:sz w:val="30"/>
          <w:szCs w:val="30"/>
          <w:lang w:eastAsia="zh-CN"/>
        </w:rPr>
        <w:t>时</w:t>
      </w:r>
      <w:r>
        <w:rPr>
          <w:rFonts w:hint="default" w:ascii="仿宋_GB2312" w:hAnsi="仿宋_GB2312" w:eastAsia="仿宋_GB2312" w:cs="仿宋_GB2312"/>
          <w:sz w:val="30"/>
          <w:szCs w:val="30"/>
          <w:lang w:val="en-US" w:eastAsia="zh-CN"/>
        </w:rPr>
        <w:t>26</w:t>
      </w:r>
      <w:r>
        <w:rPr>
          <w:rFonts w:hint="default" w:ascii="仿宋_GB2312" w:hAnsi="仿宋_GB2312" w:eastAsia="仿宋_GB2312" w:cs="仿宋_GB2312"/>
          <w:sz w:val="30"/>
          <w:szCs w:val="30"/>
          <w:lang w:eastAsia="zh-CN"/>
        </w:rPr>
        <w:t>分许，静安区</w:t>
      </w:r>
      <w:r>
        <w:rPr>
          <w:rFonts w:hint="eastAsia" w:ascii="仿宋_GB2312" w:hAnsi="仿宋_GB2312" w:eastAsia="仿宋_GB2312" w:cs="仿宋_GB2312"/>
          <w:sz w:val="30"/>
          <w:szCs w:val="30"/>
          <w:lang w:eastAsia="zh-CN"/>
        </w:rPr>
        <w:t>静安寺街道</w:t>
      </w:r>
      <w:r>
        <w:rPr>
          <w:rFonts w:hint="default" w:ascii="仿宋_GB2312" w:hAnsi="仿宋_GB2312" w:eastAsia="仿宋_GB2312" w:cs="仿宋_GB2312"/>
          <w:sz w:val="30"/>
          <w:szCs w:val="30"/>
          <w:lang w:eastAsia="zh-CN"/>
        </w:rPr>
        <w:t>延安西路</w:t>
      </w:r>
      <w:r>
        <w:rPr>
          <w:rFonts w:hint="default" w:ascii="仿宋_GB2312" w:hAnsi="仿宋_GB2312" w:eastAsia="仿宋_GB2312" w:cs="仿宋_GB2312"/>
          <w:sz w:val="30"/>
          <w:szCs w:val="30"/>
          <w:lang w:val="en-US" w:eastAsia="zh-CN"/>
        </w:rPr>
        <w:t>221号华东医院2号楼屋</w:t>
      </w:r>
      <w:r>
        <w:rPr>
          <w:rFonts w:hint="eastAsia" w:ascii="仿宋_GB2312" w:hAnsi="仿宋_GB2312" w:eastAsia="仿宋_GB2312" w:cs="仿宋_GB2312"/>
          <w:sz w:val="30"/>
          <w:szCs w:val="30"/>
          <w:lang w:val="en-US" w:eastAsia="zh-CN"/>
        </w:rPr>
        <w:t>顶热泵机组施工现场发生一起其他伤害事故，</w:t>
      </w:r>
      <w:r>
        <w:rPr>
          <w:rFonts w:hint="eastAsia" w:ascii="仿宋_GB2312" w:hAnsi="仿宋_GB2312" w:eastAsia="仿宋_GB2312" w:cs="仿宋_GB2312"/>
          <w:sz w:val="30"/>
          <w:szCs w:val="30"/>
          <w:lang w:eastAsia="zh-CN"/>
        </w:rPr>
        <w:t>事故造成一人死亡。事故发生后，依据相关法律法规，静安区应急管理局会同相关部门组织事故调查组展开调查。静安区人民政府于2023年</w:t>
      </w:r>
      <w:r>
        <w:rPr>
          <w:rFonts w:hint="eastAsia" w:ascii="仿宋_GB2312" w:hAnsi="仿宋_GB2312" w:eastAsia="仿宋_GB2312" w:cs="仿宋_GB2312"/>
          <w:sz w:val="30"/>
          <w:szCs w:val="30"/>
          <w:lang w:val="en-US" w:eastAsia="zh-CN"/>
        </w:rPr>
        <w:t>12月19日</w:t>
      </w:r>
      <w:r>
        <w:rPr>
          <w:rFonts w:hint="eastAsia" w:ascii="仿宋_GB2312" w:hAnsi="仿宋_GB2312" w:eastAsia="仿宋_GB2312" w:cs="仿宋_GB2312"/>
          <w:sz w:val="30"/>
          <w:szCs w:val="30"/>
        </w:rPr>
        <w:t>批复同意事</w:t>
      </w:r>
      <w:r>
        <w:rPr>
          <w:rFonts w:hint="eastAsia" w:ascii="仿宋_GB2312" w:hAnsi="仿宋_GB2312" w:eastAsia="仿宋_GB2312" w:cs="仿宋_GB2312"/>
          <w:sz w:val="30"/>
          <w:szCs w:val="30"/>
          <w:lang w:eastAsia="zh-CN"/>
        </w:rPr>
        <w:t>故调查组提交的《静安静安寺上海申鲁建筑安装工程有限公司“10.27”一般其他伤害事故调查报告》。</w:t>
      </w:r>
    </w:p>
    <w:p w14:paraId="764C193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按照《中华人民共和国安全生产法》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《生产安全事故防范和整改措施落实情况评估办法》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《上海市生产安全事故整改和防范措施落实情况评估办法》等相关法律法规和规范性文件要求，</w:t>
      </w:r>
      <w:r>
        <w:rPr>
          <w:rFonts w:hint="eastAsia" w:ascii="仿宋_GB2312" w:hAnsi="仿宋_GB2312" w:eastAsia="仿宋_GB2312" w:cs="仿宋_GB2312"/>
          <w:sz w:val="30"/>
          <w:szCs w:val="30"/>
          <w:lang w:eastAsia="zh-CN"/>
        </w:rPr>
        <w:t>静安</w:t>
      </w:r>
      <w:r>
        <w:rPr>
          <w:rFonts w:hint="eastAsia" w:ascii="仿宋_GB2312" w:hAnsi="仿宋_GB2312" w:eastAsia="仿宋_GB2312" w:cs="仿宋_GB2312"/>
          <w:sz w:val="30"/>
          <w:szCs w:val="30"/>
        </w:rPr>
        <w:t>区应急局</w:t>
      </w:r>
      <w:r>
        <w:rPr>
          <w:rFonts w:hint="eastAsia" w:ascii="仿宋_GB2312" w:hAnsi="仿宋_GB2312" w:eastAsia="仿宋_GB2312" w:cs="仿宋_GB2312"/>
          <w:sz w:val="30"/>
          <w:szCs w:val="30"/>
          <w:lang w:eastAsia="zh-CN"/>
        </w:rPr>
        <w:t>牵头召集</w:t>
      </w:r>
      <w:r>
        <w:rPr>
          <w:rFonts w:hint="eastAsia" w:ascii="仿宋_GB2312" w:hAnsi="仿宋_GB2312" w:eastAsia="仿宋_GB2312" w:cs="仿宋_GB2312"/>
          <w:sz w:val="30"/>
          <w:szCs w:val="30"/>
        </w:rPr>
        <w:t>区公安分局、区总工会等部门</w:t>
      </w:r>
      <w:r>
        <w:rPr>
          <w:rFonts w:hint="eastAsia" w:ascii="仿宋_GB2312" w:hAnsi="仿宋_GB2312" w:eastAsia="仿宋_GB2312" w:cs="仿宋_GB2312"/>
          <w:sz w:val="30"/>
          <w:szCs w:val="30"/>
          <w:lang w:eastAsia="zh-CN"/>
        </w:rPr>
        <w:t>于</w:t>
      </w:r>
      <w:r>
        <w:rPr>
          <w:rFonts w:hint="eastAsia" w:ascii="仿宋_GB2312" w:hAnsi="仿宋_GB2312" w:eastAsia="仿宋_GB2312" w:cs="仿宋_GB2312"/>
          <w:sz w:val="30"/>
          <w:szCs w:val="30"/>
          <w:lang w:val="en-US" w:eastAsia="zh-CN"/>
        </w:rPr>
        <w:t>2024年10月29日</w:t>
      </w:r>
      <w:r>
        <w:rPr>
          <w:rFonts w:hint="eastAsia" w:ascii="仿宋_GB2312" w:hAnsi="仿宋_GB2312" w:eastAsia="仿宋_GB2312" w:cs="仿宋_GB2312"/>
          <w:sz w:val="30"/>
          <w:szCs w:val="30"/>
        </w:rPr>
        <w:t>组成</w:t>
      </w:r>
      <w:r>
        <w:rPr>
          <w:rFonts w:hint="eastAsia" w:ascii="仿宋_GB2312" w:hAnsi="仿宋_GB2312" w:eastAsia="仿宋_GB2312" w:cs="仿宋_GB2312"/>
          <w:sz w:val="30"/>
          <w:szCs w:val="30"/>
          <w:lang w:eastAsia="zh-CN"/>
        </w:rPr>
        <w:t>静安静安寺上海申鲁建筑安装工程有限公司“10.27”一般其他伤害事故</w:t>
      </w:r>
      <w:r>
        <w:rPr>
          <w:rFonts w:hint="eastAsia" w:ascii="仿宋_GB2312" w:hAnsi="仿宋_GB2312" w:eastAsia="仿宋_GB2312" w:cs="仿宋_GB2312"/>
          <w:sz w:val="30"/>
          <w:szCs w:val="30"/>
        </w:rPr>
        <w:t>评估组（以下简称评估组），</w:t>
      </w:r>
      <w:r>
        <w:rPr>
          <w:rFonts w:hint="eastAsia" w:ascii="仿宋_GB2312" w:hAnsi="仿宋_GB2312" w:eastAsia="仿宋_GB2312" w:cs="仿宋_GB2312"/>
          <w:sz w:val="30"/>
          <w:szCs w:val="30"/>
          <w:lang w:eastAsia="zh-CN"/>
        </w:rPr>
        <w:t>同时</w:t>
      </w:r>
      <w:r>
        <w:rPr>
          <w:rFonts w:hint="eastAsia" w:ascii="仿宋_GB2312" w:hAnsi="仿宋_GB2312" w:eastAsia="仿宋_GB2312" w:cs="仿宋_GB2312"/>
          <w:sz w:val="30"/>
          <w:szCs w:val="30"/>
        </w:rPr>
        <w:t>邀请</w:t>
      </w:r>
      <w:r>
        <w:rPr>
          <w:rFonts w:hint="eastAsia" w:ascii="仿宋_GB2312" w:hAnsi="仿宋_GB2312" w:eastAsia="仿宋_GB2312" w:cs="仿宋_GB2312"/>
          <w:sz w:val="30"/>
          <w:szCs w:val="30"/>
          <w:lang w:eastAsia="zh-CN"/>
        </w:rPr>
        <w:t>区纪委监委、上海森特企业管理服务有限公司（第三方服务机构）</w:t>
      </w:r>
      <w:r>
        <w:rPr>
          <w:rFonts w:hint="eastAsia" w:ascii="仿宋_GB2312" w:hAnsi="仿宋_GB2312" w:eastAsia="仿宋_GB2312" w:cs="仿宋_GB2312"/>
          <w:sz w:val="30"/>
          <w:szCs w:val="30"/>
        </w:rPr>
        <w:t>参加</w:t>
      </w:r>
      <w:r>
        <w:rPr>
          <w:rFonts w:hint="eastAsia" w:ascii="仿宋_GB2312" w:hAnsi="仿宋_GB2312" w:eastAsia="仿宋_GB2312" w:cs="仿宋_GB2312"/>
          <w:sz w:val="30"/>
          <w:szCs w:val="30"/>
          <w:lang w:eastAsia="zh-CN"/>
        </w:rPr>
        <w:t>本次评估</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通过</w:t>
      </w:r>
      <w:r>
        <w:rPr>
          <w:rFonts w:hint="eastAsia" w:ascii="仿宋_GB2312" w:hAnsi="仿宋_GB2312" w:eastAsia="仿宋_GB2312" w:cs="仿宋_GB2312"/>
          <w:sz w:val="30"/>
          <w:szCs w:val="30"/>
        </w:rPr>
        <w:t>资料审查、座谈问询、查阅文件、走访核查</w:t>
      </w:r>
      <w:r>
        <w:rPr>
          <w:rFonts w:hint="eastAsia" w:ascii="仿宋_GB2312" w:hAnsi="仿宋_GB2312" w:eastAsia="仿宋_GB2312" w:cs="仿宋_GB2312"/>
          <w:sz w:val="30"/>
          <w:szCs w:val="30"/>
          <w:lang w:eastAsia="zh-CN"/>
        </w:rPr>
        <w:t>、专业评查等方式，</w:t>
      </w:r>
      <w:r>
        <w:rPr>
          <w:rFonts w:hint="eastAsia" w:ascii="仿宋_GB2312" w:hAnsi="仿宋_GB2312" w:eastAsia="仿宋_GB2312" w:cs="仿宋_GB2312"/>
          <w:sz w:val="30"/>
          <w:szCs w:val="30"/>
        </w:rPr>
        <w:t>对</w:t>
      </w:r>
      <w:r>
        <w:rPr>
          <w:rFonts w:hint="eastAsia" w:ascii="仿宋_GB2312" w:hAnsi="仿宋_GB2312" w:eastAsia="仿宋_GB2312" w:cs="仿宋_GB2312"/>
          <w:sz w:val="30"/>
          <w:szCs w:val="30"/>
          <w:lang w:eastAsia="zh-CN"/>
        </w:rPr>
        <w:t>静安静安寺上海申鲁建筑安装工程有限公司“10.27”一般其他伤害事故的责任追究、</w:t>
      </w:r>
      <w:r>
        <w:rPr>
          <w:rFonts w:hint="eastAsia" w:ascii="仿宋_GB2312" w:hAnsi="仿宋_GB2312" w:eastAsia="仿宋_GB2312" w:cs="仿宋_GB2312"/>
          <w:sz w:val="30"/>
          <w:szCs w:val="30"/>
        </w:rPr>
        <w:t>整改和防范措施落实情况评估</w:t>
      </w:r>
      <w:r>
        <w:rPr>
          <w:rFonts w:hint="eastAsia" w:ascii="仿宋_GB2312" w:hAnsi="仿宋_GB2312" w:eastAsia="仿宋_GB2312" w:cs="仿宋_GB2312"/>
          <w:sz w:val="30"/>
          <w:szCs w:val="30"/>
          <w:lang w:eastAsia="zh-CN"/>
        </w:rPr>
        <w:t>如下：</w:t>
      </w:r>
    </w:p>
    <w:p w14:paraId="39B99549">
      <w:pPr>
        <w:keepNext w:val="0"/>
        <w:keepLines w:val="0"/>
        <w:pageBreakBefore w:val="0"/>
        <w:widowControl w:val="0"/>
        <w:kinsoku/>
        <w:overflowPunct/>
        <w:topLinePunct w:val="0"/>
        <w:autoSpaceDE/>
        <w:autoSpaceDN/>
        <w:bidi w:val="0"/>
        <w:adjustRightInd/>
        <w:spacing w:line="560" w:lineRule="exact"/>
        <w:ind w:firstLine="600" w:firstLineChars="200"/>
        <w:textAlignment w:val="auto"/>
        <w:rPr>
          <w:rFonts w:hint="eastAsia" w:ascii="黑体" w:hAnsi="黑体" w:eastAsia="黑体" w:cs="黑体"/>
          <w:b w:val="0"/>
          <w:bCs/>
          <w:sz w:val="30"/>
          <w:szCs w:val="30"/>
          <w:lang w:eastAsia="zh-CN"/>
        </w:rPr>
      </w:pPr>
      <w:bookmarkStart w:id="0" w:name="_Toc19355"/>
      <w:r>
        <w:rPr>
          <w:rFonts w:hint="eastAsia" w:ascii="黑体" w:hAnsi="黑体" w:eastAsia="黑体" w:cs="黑体"/>
          <w:b w:val="0"/>
          <w:bCs/>
          <w:sz w:val="30"/>
          <w:szCs w:val="30"/>
          <w:lang w:eastAsia="zh-CN"/>
        </w:rPr>
        <w:t>二、事故处理落实情况</w:t>
      </w:r>
      <w:bookmarkEnd w:id="0"/>
    </w:p>
    <w:p w14:paraId="35A35F34">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eastAsia="zh-CN"/>
        </w:rPr>
      </w:pPr>
      <w:r>
        <w:rPr>
          <w:rFonts w:hint="eastAsia" w:ascii="楷体_GB2312" w:hAnsi="楷体_GB2312" w:eastAsia="楷体_GB2312" w:cs="楷体_GB2312"/>
          <w:b/>
          <w:bCs w:val="0"/>
          <w:sz w:val="30"/>
          <w:szCs w:val="30"/>
          <w:lang w:eastAsia="zh-CN"/>
        </w:rPr>
        <w:t>（一）事故责任单位的行政处罚落实情况</w:t>
      </w:r>
    </w:p>
    <w:p w14:paraId="7F19803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针对事故调查报告的处理建议，经</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核实，本</w:t>
      </w:r>
      <w:r>
        <w:rPr>
          <w:rFonts w:hint="eastAsia" w:ascii="仿宋_GB2312" w:hAnsi="仿宋_GB2312" w:eastAsia="仿宋_GB2312" w:cs="仿宋_GB2312"/>
          <w:sz w:val="30"/>
          <w:szCs w:val="30"/>
        </w:rPr>
        <w:t>事故</w:t>
      </w:r>
      <w:r>
        <w:rPr>
          <w:rFonts w:hint="eastAsia" w:ascii="仿宋_GB2312" w:hAnsi="仿宋_GB2312" w:eastAsia="仿宋_GB2312" w:cs="仿宋_GB2312"/>
          <w:sz w:val="30"/>
          <w:szCs w:val="30"/>
          <w:lang w:eastAsia="zh-CN"/>
        </w:rPr>
        <w:t>中</w:t>
      </w:r>
      <w:r>
        <w:rPr>
          <w:rFonts w:hint="eastAsia" w:ascii="仿宋_GB2312" w:hAnsi="仿宋_GB2312" w:eastAsia="仿宋_GB2312" w:cs="仿宋_GB2312"/>
          <w:sz w:val="30"/>
          <w:szCs w:val="30"/>
        </w:rPr>
        <w:t>责任单位</w:t>
      </w:r>
      <w:r>
        <w:rPr>
          <w:rFonts w:hint="eastAsia" w:ascii="仿宋_GB2312" w:hAnsi="仿宋_GB2312" w:eastAsia="仿宋_GB2312" w:cs="仿宋_GB2312"/>
          <w:sz w:val="30"/>
          <w:szCs w:val="30"/>
          <w:lang w:eastAsia="zh-CN"/>
        </w:rPr>
        <w:t>的行政</w:t>
      </w:r>
      <w:r>
        <w:rPr>
          <w:rFonts w:hint="eastAsia" w:ascii="仿宋_GB2312" w:hAnsi="仿宋_GB2312" w:eastAsia="仿宋_GB2312" w:cs="仿宋_GB2312"/>
          <w:sz w:val="30"/>
          <w:szCs w:val="30"/>
        </w:rPr>
        <w:t>处罚</w:t>
      </w:r>
      <w:r>
        <w:rPr>
          <w:rFonts w:hint="eastAsia" w:ascii="仿宋_GB2312" w:hAnsi="仿宋_GB2312" w:eastAsia="仿宋_GB2312" w:cs="仿宋_GB2312"/>
          <w:sz w:val="30"/>
          <w:szCs w:val="30"/>
          <w:lang w:eastAsia="zh-CN"/>
        </w:rPr>
        <w:t>落实情况</w:t>
      </w:r>
      <w:r>
        <w:rPr>
          <w:rFonts w:hint="eastAsia" w:ascii="仿宋_GB2312" w:hAnsi="仿宋_GB2312" w:eastAsia="仿宋_GB2312" w:cs="仿宋_GB2312"/>
          <w:sz w:val="30"/>
          <w:szCs w:val="30"/>
        </w:rPr>
        <w:t>如下：</w:t>
      </w:r>
    </w:p>
    <w:p w14:paraId="55E74E0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4</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23</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上海申鲁建筑安装工程有限公司</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罚款人民币</w:t>
      </w:r>
      <w:r>
        <w:rPr>
          <w:rFonts w:hint="eastAsia" w:ascii="仿宋_GB2312" w:hAnsi="仿宋_GB2312" w:eastAsia="仿宋_GB2312" w:cs="仿宋_GB2312"/>
          <w:sz w:val="30"/>
          <w:szCs w:val="30"/>
          <w:lang w:val="en-US" w:eastAsia="zh-CN"/>
        </w:rPr>
        <w:t>32</w:t>
      </w:r>
      <w:r>
        <w:rPr>
          <w:rFonts w:hint="eastAsia" w:ascii="仿宋_GB2312" w:hAnsi="仿宋_GB2312" w:eastAsia="仿宋_GB2312" w:cs="仿宋_GB2312"/>
          <w:sz w:val="30"/>
          <w:szCs w:val="30"/>
        </w:rPr>
        <w:t>万元的行政处罚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26</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上海申鲁建筑安装工程有限公司</w:t>
      </w:r>
      <w:r>
        <w:rPr>
          <w:rFonts w:hint="eastAsia" w:ascii="仿宋_GB2312" w:hAnsi="仿宋_GB2312" w:eastAsia="仿宋_GB2312" w:cs="仿宋_GB2312"/>
          <w:sz w:val="30"/>
          <w:szCs w:val="30"/>
          <w:lang w:eastAsia="zh-CN"/>
        </w:rPr>
        <w:t>已于20</w:t>
      </w:r>
      <w:r>
        <w:rPr>
          <w:rFonts w:hint="eastAsia" w:ascii="仿宋_GB2312" w:hAnsi="仿宋_GB2312" w:eastAsia="仿宋_GB2312" w:cs="仿宋_GB2312"/>
          <w:sz w:val="30"/>
          <w:szCs w:val="30"/>
          <w:lang w:val="en-US" w:eastAsia="zh-CN"/>
        </w:rPr>
        <w:t>24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lang w:eastAsia="zh-CN"/>
        </w:rPr>
        <w:t>日缴纳全部</w:t>
      </w:r>
      <w:r>
        <w:rPr>
          <w:rFonts w:hint="eastAsia" w:ascii="仿宋_GB2312" w:hAnsi="仿宋_GB2312" w:eastAsia="仿宋_GB2312" w:cs="仿宋_GB2312"/>
          <w:sz w:val="30"/>
          <w:szCs w:val="30"/>
        </w:rPr>
        <w:t>罚款。</w:t>
      </w:r>
    </w:p>
    <w:p w14:paraId="69F4CE7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4</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23</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default" w:ascii="仿宋_GB2312" w:hAnsi="仿宋" w:eastAsia="仿宋_GB2312" w:cs="仿宋"/>
          <w:sz w:val="30"/>
          <w:szCs w:val="30"/>
          <w:lang w:val="en-US" w:eastAsia="zh-CN"/>
        </w:rPr>
        <w:t>上海沪旨起重设备安装工程有限公司</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罚款人民币</w:t>
      </w:r>
      <w:r>
        <w:rPr>
          <w:rFonts w:hint="eastAsia" w:ascii="仿宋_GB2312" w:hAnsi="仿宋_GB2312" w:eastAsia="仿宋_GB2312" w:cs="仿宋_GB2312"/>
          <w:sz w:val="30"/>
          <w:szCs w:val="30"/>
          <w:lang w:val="en-US" w:eastAsia="zh-CN"/>
        </w:rPr>
        <w:t>31</w:t>
      </w:r>
      <w:r>
        <w:rPr>
          <w:rFonts w:hint="eastAsia" w:ascii="仿宋_GB2312" w:hAnsi="仿宋_GB2312" w:eastAsia="仿宋_GB2312" w:cs="仿宋_GB2312"/>
          <w:sz w:val="30"/>
          <w:szCs w:val="30"/>
        </w:rPr>
        <w:t>万元的行政处罚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28</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default" w:ascii="仿宋_GB2312" w:hAnsi="仿宋" w:eastAsia="仿宋_GB2312" w:cs="仿宋"/>
          <w:sz w:val="30"/>
          <w:szCs w:val="30"/>
          <w:lang w:val="en-US" w:eastAsia="zh-CN"/>
        </w:rPr>
        <w:t>上海沪旨起重设备安装工程有限公司</w:t>
      </w:r>
      <w:r>
        <w:rPr>
          <w:rFonts w:hint="eastAsia" w:ascii="仿宋_GB2312" w:hAnsi="仿宋_GB2312" w:eastAsia="仿宋_GB2312" w:cs="仿宋_GB2312"/>
          <w:sz w:val="30"/>
          <w:szCs w:val="30"/>
          <w:lang w:eastAsia="zh-CN"/>
        </w:rPr>
        <w:t>已于20</w:t>
      </w:r>
      <w:r>
        <w:rPr>
          <w:rFonts w:hint="eastAsia" w:ascii="仿宋_GB2312" w:hAnsi="仿宋_GB2312" w:eastAsia="仿宋_GB2312" w:cs="仿宋_GB2312"/>
          <w:sz w:val="30"/>
          <w:szCs w:val="30"/>
          <w:lang w:val="en-US" w:eastAsia="zh-CN"/>
        </w:rPr>
        <w:t>24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lang w:eastAsia="zh-CN"/>
        </w:rPr>
        <w:t>日缴纳全部</w:t>
      </w:r>
      <w:r>
        <w:rPr>
          <w:rFonts w:hint="eastAsia" w:ascii="仿宋_GB2312" w:hAnsi="仿宋_GB2312" w:eastAsia="仿宋_GB2312" w:cs="仿宋_GB2312"/>
          <w:sz w:val="30"/>
          <w:szCs w:val="30"/>
        </w:rPr>
        <w:t>罚款。</w:t>
      </w:r>
    </w:p>
    <w:p w14:paraId="034F129C">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ascii="仿宋_GB2312" w:hAnsi="仿宋_GB2312" w:eastAsia="仿宋_GB2312" w:cs="仿宋_GB2312"/>
          <w:bCs/>
          <w:sz w:val="30"/>
          <w:szCs w:val="30"/>
        </w:rPr>
      </w:pPr>
      <w:r>
        <w:rPr>
          <w:rFonts w:hint="eastAsia" w:ascii="楷体_GB2312" w:hAnsi="楷体_GB2312" w:eastAsia="楷体_GB2312" w:cs="楷体_GB2312"/>
          <w:b/>
          <w:bCs w:val="0"/>
          <w:sz w:val="30"/>
          <w:szCs w:val="30"/>
          <w:lang w:eastAsia="zh-CN"/>
        </w:rPr>
        <w:t>（二）事故责任人员的行政处罚落实情况</w:t>
      </w:r>
    </w:p>
    <w:p w14:paraId="096D380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针对事故调查报告的处理建议，经</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核实，本</w:t>
      </w:r>
      <w:r>
        <w:rPr>
          <w:rFonts w:hint="eastAsia" w:ascii="仿宋_GB2312" w:hAnsi="仿宋_GB2312" w:eastAsia="仿宋_GB2312" w:cs="仿宋_GB2312"/>
          <w:sz w:val="30"/>
          <w:szCs w:val="30"/>
        </w:rPr>
        <w:t>事故</w:t>
      </w:r>
      <w:r>
        <w:rPr>
          <w:rFonts w:hint="eastAsia" w:ascii="仿宋_GB2312" w:hAnsi="仿宋_GB2312" w:eastAsia="仿宋_GB2312" w:cs="仿宋_GB2312"/>
          <w:sz w:val="30"/>
          <w:szCs w:val="30"/>
          <w:lang w:eastAsia="zh-CN"/>
        </w:rPr>
        <w:t>中</w:t>
      </w:r>
      <w:r>
        <w:rPr>
          <w:rFonts w:hint="eastAsia" w:ascii="仿宋_GB2312" w:hAnsi="仿宋_GB2312" w:eastAsia="仿宋_GB2312" w:cs="仿宋_GB2312"/>
          <w:sz w:val="30"/>
          <w:szCs w:val="30"/>
        </w:rPr>
        <w:t>责任</w:t>
      </w:r>
      <w:r>
        <w:rPr>
          <w:rFonts w:hint="eastAsia" w:ascii="仿宋_GB2312" w:hAnsi="仿宋_GB2312" w:eastAsia="仿宋_GB2312" w:cs="仿宋_GB2312"/>
          <w:sz w:val="30"/>
          <w:szCs w:val="30"/>
          <w:lang w:eastAsia="zh-CN"/>
        </w:rPr>
        <w:t>人员的行政</w:t>
      </w:r>
      <w:r>
        <w:rPr>
          <w:rFonts w:hint="eastAsia" w:ascii="仿宋_GB2312" w:hAnsi="仿宋_GB2312" w:eastAsia="仿宋_GB2312" w:cs="仿宋_GB2312"/>
          <w:sz w:val="30"/>
          <w:szCs w:val="30"/>
        </w:rPr>
        <w:t>处罚</w:t>
      </w:r>
      <w:r>
        <w:rPr>
          <w:rFonts w:hint="eastAsia" w:ascii="仿宋_GB2312" w:hAnsi="仿宋_GB2312" w:eastAsia="仿宋_GB2312" w:cs="仿宋_GB2312"/>
          <w:sz w:val="30"/>
          <w:szCs w:val="30"/>
          <w:lang w:eastAsia="zh-CN"/>
        </w:rPr>
        <w:t>落实情况</w:t>
      </w:r>
      <w:r>
        <w:rPr>
          <w:rFonts w:hint="eastAsia" w:ascii="仿宋_GB2312" w:hAnsi="仿宋_GB2312" w:eastAsia="仿宋_GB2312" w:cs="仿宋_GB2312"/>
          <w:sz w:val="30"/>
          <w:szCs w:val="30"/>
        </w:rPr>
        <w:t>如下：</w:t>
      </w:r>
    </w:p>
    <w:p w14:paraId="63AEA70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4</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23</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上海申鲁建筑安装工程有限公司法定代表人高春林</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罚款人民币</w:t>
      </w:r>
      <w:r>
        <w:rPr>
          <w:rFonts w:hint="eastAsia" w:ascii="仿宋_GB2312" w:hAnsi="仿宋_GB2312" w:eastAsia="仿宋_GB2312" w:cs="仿宋_GB2312"/>
          <w:sz w:val="30"/>
          <w:szCs w:val="30"/>
          <w:lang w:val="en-US" w:eastAsia="zh-CN"/>
        </w:rPr>
        <w:t>3.2</w:t>
      </w:r>
      <w:r>
        <w:rPr>
          <w:rFonts w:hint="eastAsia" w:ascii="仿宋_GB2312" w:hAnsi="仿宋_GB2312" w:eastAsia="仿宋_GB2312" w:cs="仿宋_GB2312"/>
          <w:sz w:val="30"/>
          <w:szCs w:val="30"/>
        </w:rPr>
        <w:t>万元的行政处罚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27</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高春林</w:t>
      </w:r>
      <w:r>
        <w:rPr>
          <w:rFonts w:hint="eastAsia" w:ascii="仿宋_GB2312" w:hAnsi="仿宋_GB2312" w:eastAsia="仿宋_GB2312" w:cs="仿宋_GB2312"/>
          <w:sz w:val="30"/>
          <w:szCs w:val="30"/>
          <w:lang w:eastAsia="zh-CN"/>
        </w:rPr>
        <w:t>已</w:t>
      </w:r>
      <w:r>
        <w:rPr>
          <w:rFonts w:hint="eastAsia" w:ascii="仿宋_GB2312" w:hAnsi="仿宋_GB2312" w:eastAsia="仿宋_GB2312" w:cs="仿宋_GB2312"/>
          <w:sz w:val="30"/>
          <w:szCs w:val="30"/>
        </w:rPr>
        <w:t>于</w:t>
      </w:r>
      <w:r>
        <w:rPr>
          <w:rFonts w:hint="eastAsia" w:ascii="仿宋_GB2312" w:hAnsi="仿宋_GB2312" w:eastAsia="仿宋_GB2312" w:cs="仿宋_GB2312"/>
          <w:sz w:val="30"/>
          <w:szCs w:val="30"/>
          <w:lang w:eastAsia="zh-CN"/>
        </w:rPr>
        <w:t>20</w:t>
      </w:r>
      <w:r>
        <w:rPr>
          <w:rFonts w:hint="eastAsia" w:ascii="仿宋_GB2312" w:hAnsi="仿宋_GB2312" w:eastAsia="仿宋_GB2312" w:cs="仿宋_GB2312"/>
          <w:sz w:val="30"/>
          <w:szCs w:val="30"/>
          <w:lang w:val="en-US" w:eastAsia="zh-CN"/>
        </w:rPr>
        <w:t>24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lang w:eastAsia="zh-CN"/>
        </w:rPr>
        <w:t>日</w:t>
      </w:r>
      <w:r>
        <w:rPr>
          <w:rFonts w:hint="eastAsia" w:ascii="仿宋_GB2312" w:hAnsi="仿宋_GB2312" w:eastAsia="仿宋_GB2312" w:cs="仿宋_GB2312"/>
          <w:sz w:val="30"/>
          <w:szCs w:val="30"/>
        </w:rPr>
        <w:t>缴纳</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罚款</w:t>
      </w:r>
      <w:r>
        <w:rPr>
          <w:rFonts w:hint="eastAsia" w:ascii="仿宋_GB2312" w:hAnsi="仿宋_GB2312" w:eastAsia="仿宋_GB2312" w:cs="仿宋_GB2312"/>
          <w:sz w:val="30"/>
          <w:szCs w:val="30"/>
          <w:lang w:eastAsia="zh-CN"/>
        </w:rPr>
        <w:t>。</w:t>
      </w:r>
    </w:p>
    <w:p w14:paraId="7211F78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4</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23</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default" w:ascii="仿宋_GB2312" w:hAnsi="仿宋" w:eastAsia="仿宋_GB2312" w:cs="仿宋"/>
          <w:sz w:val="30"/>
          <w:szCs w:val="30"/>
          <w:lang w:val="en-US" w:eastAsia="zh-CN"/>
        </w:rPr>
        <w:t>上海沪旨起重设备安装工程有限公司</w:t>
      </w:r>
      <w:r>
        <w:rPr>
          <w:rFonts w:hint="eastAsia" w:ascii="仿宋_GB2312" w:hAnsi="仿宋" w:eastAsia="仿宋_GB2312" w:cs="仿宋"/>
          <w:sz w:val="30"/>
          <w:szCs w:val="30"/>
          <w:lang w:val="en-US" w:eastAsia="zh-CN"/>
        </w:rPr>
        <w:t>实际控股</w:t>
      </w:r>
      <w:r>
        <w:rPr>
          <w:rFonts w:hint="eastAsia" w:ascii="仿宋_GB2312" w:hAnsi="仿宋_GB2312" w:eastAsia="仿宋_GB2312" w:cs="仿宋_GB2312"/>
          <w:sz w:val="30"/>
          <w:szCs w:val="30"/>
          <w:lang w:val="en-US" w:eastAsia="zh-CN"/>
        </w:rPr>
        <w:t>人陈宝平</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w:t>
      </w:r>
      <w:r>
        <w:rPr>
          <w:rFonts w:hint="eastAsia" w:ascii="仿宋_GB2312" w:hAnsi="仿宋_GB2312" w:eastAsia="仿宋_GB2312" w:cs="仿宋_GB2312"/>
          <w:sz w:val="30"/>
          <w:szCs w:val="30"/>
          <w:lang w:val="en-US" w:eastAsia="zh-CN"/>
        </w:rPr>
        <w:t>2.4万</w:t>
      </w:r>
      <w:r>
        <w:rPr>
          <w:rFonts w:hint="eastAsia" w:ascii="仿宋_GB2312" w:hAnsi="仿宋_GB2312" w:eastAsia="仿宋_GB2312" w:cs="仿宋_GB2312"/>
          <w:sz w:val="30"/>
          <w:szCs w:val="30"/>
        </w:rPr>
        <w:t>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29</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陈宝平已于</w:t>
      </w:r>
      <w:r>
        <w:rPr>
          <w:rFonts w:hint="eastAsia" w:ascii="仿宋_GB2312" w:hAnsi="仿宋_GB2312" w:eastAsia="仿宋_GB2312" w:cs="仿宋_GB2312"/>
          <w:sz w:val="30"/>
          <w:szCs w:val="30"/>
          <w:lang w:eastAsia="zh-CN"/>
        </w:rPr>
        <w:t>20</w:t>
      </w:r>
      <w:r>
        <w:rPr>
          <w:rFonts w:hint="eastAsia" w:ascii="仿宋_GB2312" w:hAnsi="仿宋_GB2312" w:eastAsia="仿宋_GB2312" w:cs="仿宋_GB2312"/>
          <w:sz w:val="30"/>
          <w:szCs w:val="30"/>
          <w:lang w:val="en-US" w:eastAsia="zh-CN"/>
        </w:rPr>
        <w:t>24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日</w:t>
      </w:r>
      <w:r>
        <w:rPr>
          <w:rFonts w:hint="eastAsia" w:ascii="仿宋_GB2312" w:hAnsi="仿宋_GB2312" w:eastAsia="仿宋_GB2312" w:cs="仿宋_GB2312"/>
          <w:sz w:val="30"/>
          <w:szCs w:val="30"/>
        </w:rPr>
        <w:t>缴纳</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罚款。</w:t>
      </w:r>
    </w:p>
    <w:p w14:paraId="7E38D99E">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eastAsia="zh-CN"/>
        </w:rPr>
      </w:pPr>
      <w:bookmarkStart w:id="1" w:name="_Toc17878"/>
      <w:r>
        <w:rPr>
          <w:rFonts w:hint="eastAsia" w:ascii="楷体_GB2312" w:hAnsi="楷体_GB2312" w:eastAsia="楷体_GB2312" w:cs="楷体_GB2312"/>
          <w:b/>
          <w:bCs w:val="0"/>
          <w:sz w:val="30"/>
          <w:szCs w:val="30"/>
          <w:lang w:eastAsia="zh-CN"/>
        </w:rPr>
        <w:t>（三）事故相关的其他处理情况</w:t>
      </w:r>
    </w:p>
    <w:p w14:paraId="3B4D72F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 w:eastAsia="仿宋_GB2312" w:cs="仿宋"/>
          <w:sz w:val="30"/>
          <w:szCs w:val="30"/>
          <w:lang w:val="en-US" w:eastAsia="zh-CN"/>
        </w:rPr>
      </w:pPr>
      <w:r>
        <w:rPr>
          <w:rFonts w:hint="eastAsia" w:ascii="仿宋_GB2312" w:hAnsi="仿宋_GB2312" w:eastAsia="仿宋_GB2312" w:cs="仿宋_GB2312"/>
          <w:sz w:val="30"/>
          <w:szCs w:val="30"/>
          <w:lang w:val="en-US" w:eastAsia="zh-CN"/>
        </w:rPr>
        <w:t>静安区应急管理局依法对</w:t>
      </w:r>
      <w:r>
        <w:rPr>
          <w:rFonts w:hint="eastAsia" w:ascii="仿宋_GB2312" w:hAnsi="仿宋" w:eastAsia="仿宋_GB2312" w:cs="仿宋"/>
          <w:sz w:val="30"/>
          <w:szCs w:val="30"/>
          <w:lang w:val="en-US" w:eastAsia="zh-CN"/>
        </w:rPr>
        <w:t>上海申鲁建筑安装工程有限公司、</w:t>
      </w:r>
      <w:r>
        <w:rPr>
          <w:rFonts w:hint="default" w:ascii="仿宋_GB2312" w:hAnsi="仿宋" w:eastAsia="仿宋_GB2312" w:cs="仿宋"/>
          <w:sz w:val="30"/>
          <w:szCs w:val="30"/>
          <w:lang w:val="en-US" w:eastAsia="zh-CN"/>
        </w:rPr>
        <w:t>上海沪旨起重设备安装工程有限公司</w:t>
      </w:r>
      <w:r>
        <w:rPr>
          <w:rFonts w:hint="eastAsia" w:ascii="仿宋_GB2312" w:hAnsi="仿宋" w:eastAsia="仿宋_GB2312" w:cs="仿宋"/>
          <w:sz w:val="30"/>
          <w:szCs w:val="30"/>
          <w:lang w:val="en-US" w:eastAsia="zh-CN"/>
        </w:rPr>
        <w:t>主要负责人进行了约谈。</w:t>
      </w:r>
    </w:p>
    <w:p w14:paraId="54ED1BA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仿宋_GB2312" w:hAnsi="仿宋" w:eastAsia="仿宋_GB2312" w:cs="仿宋"/>
          <w:sz w:val="30"/>
          <w:szCs w:val="30"/>
          <w:highlight w:val="none"/>
          <w:lang w:val="en-US" w:eastAsia="zh-CN"/>
        </w:rPr>
      </w:pPr>
      <w:r>
        <w:rPr>
          <w:rFonts w:hint="eastAsia" w:ascii="仿宋_GB2312" w:hAnsi="仿宋" w:eastAsia="仿宋_GB2312" w:cs="仿宋"/>
          <w:sz w:val="30"/>
          <w:szCs w:val="30"/>
          <w:highlight w:val="none"/>
          <w:lang w:val="en-US" w:eastAsia="zh-CN"/>
        </w:rPr>
        <w:t xml:space="preserve">上海申鲁建筑安装工程有限公司根据公司规定，对王嘉可予以2万元的处罚，并对全公司通报。                                               </w:t>
      </w:r>
    </w:p>
    <w:p w14:paraId="66EDD237">
      <w:pPr>
        <w:keepNext w:val="0"/>
        <w:keepLines w:val="0"/>
        <w:pageBreakBefore w:val="0"/>
        <w:widowControl w:val="0"/>
        <w:kinsoku/>
        <w:overflowPunct/>
        <w:topLinePunct w:val="0"/>
        <w:autoSpaceDE/>
        <w:autoSpaceDN/>
        <w:bidi w:val="0"/>
        <w:adjustRightInd/>
        <w:spacing w:line="560" w:lineRule="exact"/>
        <w:ind w:firstLine="600" w:firstLineChars="200"/>
        <w:textAlignment w:val="auto"/>
        <w:rPr>
          <w:rFonts w:ascii="黑体" w:hAnsi="黑体" w:eastAsia="黑体" w:cs="黑体"/>
          <w:bCs/>
          <w:sz w:val="30"/>
          <w:szCs w:val="30"/>
        </w:rPr>
      </w:pPr>
      <w:r>
        <w:rPr>
          <w:rFonts w:hint="eastAsia" w:ascii="黑体" w:hAnsi="黑体" w:eastAsia="黑体" w:cs="黑体"/>
          <w:bCs/>
          <w:sz w:val="30"/>
          <w:szCs w:val="30"/>
          <w:lang w:eastAsia="zh-CN"/>
        </w:rPr>
        <w:t>三</w:t>
      </w:r>
      <w:r>
        <w:rPr>
          <w:rFonts w:hint="eastAsia" w:ascii="黑体" w:hAnsi="黑体" w:eastAsia="黑体" w:cs="黑体"/>
          <w:bCs/>
          <w:sz w:val="30"/>
          <w:szCs w:val="30"/>
        </w:rPr>
        <w:t>、事故整改措施落实情况</w:t>
      </w:r>
      <w:bookmarkEnd w:id="1"/>
    </w:p>
    <w:p w14:paraId="425ADD74">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（一）上海申鲁建筑安装工程有限公司整改落实情况：</w:t>
      </w:r>
    </w:p>
    <w:p w14:paraId="61FB11FE">
      <w:pPr>
        <w:numPr>
          <w:ilvl w:val="0"/>
          <w:numId w:val="0"/>
        </w:numPr>
        <w:ind w:left="0" w:leftChars="0" w:firstLine="639" w:firstLineChars="213"/>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sz w:val="30"/>
          <w:szCs w:val="30"/>
          <w:lang w:val="en-US" w:eastAsia="zh-CN"/>
        </w:rPr>
        <w:t>加强组织领导，提高职责意识，总经理高春林签订安全生产工作承诺书；落实全员安全生产责任制，安全分管副总、综合管理部经理、安全员、工程部经理及员工等逐级签订安全生产责任书；</w:t>
      </w:r>
    </w:p>
    <w:p w14:paraId="7DA00B5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制定风险评价分级管控作业管理制度并对新项目诺华改造项目施工现场进行危险源辨识、评价并采取管控措施；加强作业现场的监督检查，定期对项目施工现场进行安全管理检查及文明施工检查发现问题及时整改。</w:t>
      </w:r>
    </w:p>
    <w:p w14:paraId="0B022165">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（二）上海沪旨起重设备安装工程有限公司整改落实情况</w:t>
      </w:r>
    </w:p>
    <w:p w14:paraId="65686E5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1、落实安全生产主体责任，陈宝平签订总经理安全生产承诺书并开展新项目安全风险辨识、评价及管控；加强对施工现场安全管理，排查隐患及时治理。</w:t>
      </w:r>
    </w:p>
    <w:p w14:paraId="21DDAFA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2、任命项目负责人和安全管理人员，确保作业现场安全。</w:t>
      </w:r>
    </w:p>
    <w:p w14:paraId="310265F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3、对施工人员进行施工现场安全主要事项培训交底，提高施工人员安全意识。</w:t>
      </w:r>
    </w:p>
    <w:p w14:paraId="2B5ED171">
      <w:pPr>
        <w:keepNext w:val="0"/>
        <w:keepLines w:val="0"/>
        <w:pageBreakBefore w:val="0"/>
        <w:widowControl w:val="0"/>
        <w:kinsoku/>
        <w:overflowPunct/>
        <w:topLinePunct w:val="0"/>
        <w:autoSpaceDE/>
        <w:autoSpaceDN/>
        <w:bidi w:val="0"/>
        <w:adjustRightIn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bookmarkStart w:id="2" w:name="_Toc19042"/>
      <w:bookmarkStart w:id="3" w:name="_Toc24793"/>
      <w:r>
        <w:rPr>
          <w:rFonts w:hint="eastAsia" w:ascii="楷体_GB2312" w:hAnsi="楷体_GB2312" w:eastAsia="楷体_GB2312" w:cs="楷体_GB2312"/>
          <w:b/>
          <w:bCs w:val="0"/>
          <w:sz w:val="30"/>
          <w:szCs w:val="30"/>
          <w:lang w:val="en-US" w:eastAsia="zh-CN"/>
        </w:rPr>
        <w:t>（三）善后处理落实情况</w:t>
      </w:r>
      <w:bookmarkEnd w:id="2"/>
      <w:bookmarkEnd w:id="3"/>
    </w:p>
    <w:p w14:paraId="5B28458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lang w:eastAsia="zh-CN"/>
        </w:rPr>
      </w:pPr>
      <w:bookmarkStart w:id="4" w:name="_Toc26160"/>
      <w:bookmarkStart w:id="5" w:name="_Toc32334"/>
      <w:r>
        <w:rPr>
          <w:rFonts w:hint="eastAsia" w:ascii="仿宋_GB2312" w:hAnsi="仿宋_GB2312" w:eastAsia="仿宋_GB2312" w:cs="仿宋_GB2312"/>
          <w:b w:val="0"/>
          <w:sz w:val="30"/>
          <w:szCs w:val="30"/>
        </w:rPr>
        <w:t>此事</w:t>
      </w:r>
      <w:r>
        <w:rPr>
          <w:rFonts w:hint="eastAsia" w:ascii="仿宋_GB2312" w:hAnsi="仿宋_GB2312" w:eastAsia="仿宋_GB2312" w:cs="仿宋_GB2312"/>
          <w:b w:val="0"/>
          <w:color w:val="auto"/>
          <w:sz w:val="30"/>
          <w:szCs w:val="30"/>
        </w:rPr>
        <w:t>故涉及一人死亡，经双方协商达成一致赔偿协议，</w:t>
      </w:r>
      <w:r>
        <w:rPr>
          <w:rFonts w:hint="default" w:ascii="仿宋_GB2312" w:hAnsi="仿宋" w:eastAsia="仿宋_GB2312" w:cs="仿宋"/>
          <w:sz w:val="30"/>
          <w:szCs w:val="30"/>
          <w:lang w:val="en-US" w:eastAsia="zh-CN"/>
        </w:rPr>
        <w:t>上海沪旨起重设备安装工程有限公</w:t>
      </w:r>
      <w:r>
        <w:rPr>
          <w:rFonts w:hint="default" w:ascii="仿宋_GB2312" w:hAnsi="仿宋_GB2312" w:eastAsia="仿宋_GB2312" w:cs="仿宋_GB2312"/>
          <w:color w:val="auto"/>
          <w:sz w:val="30"/>
          <w:szCs w:val="30"/>
          <w:lang w:val="en-US" w:eastAsia="zh-CN"/>
        </w:rPr>
        <w:t>司</w:t>
      </w:r>
      <w:r>
        <w:rPr>
          <w:rFonts w:hint="eastAsia" w:ascii="仿宋_GB2312" w:hAnsi="仿宋_GB2312" w:eastAsia="仿宋_GB2312" w:cs="仿宋_GB2312"/>
          <w:color w:val="auto"/>
          <w:sz w:val="30"/>
          <w:szCs w:val="30"/>
          <w:lang w:val="en-US" w:eastAsia="zh-CN"/>
        </w:rPr>
        <w:t>已支付完成死者家属赔偿金。</w:t>
      </w:r>
      <w:bookmarkEnd w:id="4"/>
      <w:bookmarkEnd w:id="5"/>
    </w:p>
    <w:p w14:paraId="78C9FBF0">
      <w:pPr>
        <w:keepNext w:val="0"/>
        <w:keepLines w:val="0"/>
        <w:pageBreakBefore w:val="0"/>
        <w:widowControl w:val="0"/>
        <w:kinsoku/>
        <w:overflowPunct/>
        <w:topLinePunct w:val="0"/>
        <w:autoSpaceDE/>
        <w:autoSpaceDN/>
        <w:bidi w:val="0"/>
        <w:adjustRightInd/>
        <w:spacing w:line="560" w:lineRule="exact"/>
        <w:ind w:firstLine="600" w:firstLineChars="200"/>
        <w:textAlignment w:val="auto"/>
        <w:outlineLvl w:val="0"/>
        <w:rPr>
          <w:rFonts w:ascii="黑体" w:hAnsi="黑体" w:eastAsia="黑体" w:cs="黑体"/>
          <w:bCs/>
          <w:sz w:val="30"/>
          <w:szCs w:val="30"/>
        </w:rPr>
      </w:pPr>
      <w:bookmarkStart w:id="6" w:name="_Toc3406"/>
      <w:r>
        <w:rPr>
          <w:rFonts w:hint="eastAsia" w:ascii="黑体" w:hAnsi="黑体" w:eastAsia="黑体" w:cs="黑体"/>
          <w:bCs/>
          <w:sz w:val="30"/>
          <w:szCs w:val="30"/>
          <w:lang w:eastAsia="zh-CN"/>
        </w:rPr>
        <w:t>四</w:t>
      </w:r>
      <w:r>
        <w:rPr>
          <w:rFonts w:hint="eastAsia" w:ascii="黑体" w:hAnsi="黑体" w:eastAsia="黑体" w:cs="黑体"/>
          <w:bCs/>
          <w:sz w:val="30"/>
          <w:szCs w:val="30"/>
        </w:rPr>
        <w:t>、评估结论</w:t>
      </w:r>
      <w:bookmarkEnd w:id="6"/>
    </w:p>
    <w:p w14:paraId="4AF8D3E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评估组通过专题会议、人员访谈、资料核查、现场走访等形式，对</w:t>
      </w:r>
      <w:r>
        <w:rPr>
          <w:rFonts w:hint="eastAsia" w:ascii="仿宋_GB2312" w:hAnsi="仿宋_GB2312" w:eastAsia="仿宋_GB2312" w:cs="仿宋_GB2312"/>
          <w:sz w:val="30"/>
          <w:szCs w:val="30"/>
          <w:lang w:eastAsia="zh-CN"/>
        </w:rPr>
        <w:t>静安静安寺上海申鲁建筑安装工程有限公司“10.27”一般其他伤害事故</w:t>
      </w:r>
      <w:r>
        <w:rPr>
          <w:rFonts w:hint="eastAsia" w:ascii="仿宋_GB2312" w:hAnsi="仿宋_GB2312" w:eastAsia="仿宋_GB2312" w:cs="仿宋_GB2312"/>
          <w:sz w:val="30"/>
          <w:szCs w:val="30"/>
        </w:rPr>
        <w:t>责任追究及整改措施落实情况</w:t>
      </w:r>
      <w:r>
        <w:rPr>
          <w:rFonts w:hint="eastAsia" w:ascii="仿宋_GB2312" w:hAnsi="仿宋_GB2312" w:eastAsia="仿宋_GB2312" w:cs="仿宋_GB2312"/>
          <w:sz w:val="30"/>
          <w:szCs w:val="30"/>
          <w:lang w:eastAsia="zh-CN"/>
        </w:rPr>
        <w:t>如下</w:t>
      </w:r>
      <w:r>
        <w:rPr>
          <w:rFonts w:hint="eastAsia" w:ascii="仿宋_GB2312" w:hAnsi="仿宋_GB2312" w:eastAsia="仿宋_GB2312" w:cs="仿宋_GB2312"/>
          <w:sz w:val="30"/>
          <w:szCs w:val="30"/>
        </w:rPr>
        <w:t>：</w:t>
      </w:r>
    </w:p>
    <w:p w14:paraId="2AEFECA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1、</w:t>
      </w:r>
      <w:r>
        <w:rPr>
          <w:rFonts w:hint="eastAsia" w:ascii="仿宋_GB2312" w:hAnsi="仿宋" w:eastAsia="仿宋_GB2312" w:cs="仿宋"/>
          <w:sz w:val="30"/>
          <w:szCs w:val="30"/>
          <w:lang w:val="en-US" w:eastAsia="zh-CN"/>
        </w:rPr>
        <w:t>上海申鲁建筑安装工程有限公司</w:t>
      </w:r>
      <w:r>
        <w:rPr>
          <w:rFonts w:hint="eastAsia" w:ascii="仿宋_GB2312" w:hAnsi="仿宋_GB2312" w:eastAsia="仿宋_GB2312" w:cs="仿宋_GB2312"/>
          <w:sz w:val="30"/>
          <w:szCs w:val="30"/>
          <w:lang w:eastAsia="zh-CN"/>
        </w:rPr>
        <w:t>：已依法缴纳罚款（行政处罚），整改措施落实情况符合整改要求。</w:t>
      </w:r>
    </w:p>
    <w:p w14:paraId="2D86E75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w:t>
      </w:r>
      <w:r>
        <w:rPr>
          <w:rFonts w:hint="default" w:ascii="仿宋_GB2312" w:hAnsi="仿宋" w:eastAsia="仿宋_GB2312" w:cs="仿宋"/>
          <w:sz w:val="30"/>
          <w:szCs w:val="30"/>
          <w:lang w:val="en-US" w:eastAsia="zh-CN"/>
        </w:rPr>
        <w:t>上海沪旨起重设备安装工程有限公司</w:t>
      </w:r>
      <w:r>
        <w:rPr>
          <w:rFonts w:hint="eastAsia" w:ascii="仿宋_GB2312" w:hAnsi="仿宋_GB2312" w:eastAsia="仿宋_GB2312" w:cs="仿宋_GB2312"/>
          <w:sz w:val="30"/>
          <w:szCs w:val="30"/>
          <w:lang w:eastAsia="zh-CN"/>
        </w:rPr>
        <w:t>：已依法缴纳罚款（行政处罚），整改措施落实情况符合整改要求。</w:t>
      </w:r>
    </w:p>
    <w:p w14:paraId="4070938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r>
        <w:rPr>
          <w:rFonts w:hint="eastAsia" w:ascii="仿宋_GB2312" w:hAnsi="仿宋" w:eastAsia="仿宋_GB2312" w:cs="仿宋"/>
          <w:sz w:val="30"/>
          <w:szCs w:val="30"/>
          <w:lang w:val="en-US" w:eastAsia="zh-CN"/>
        </w:rPr>
        <w:t>高春林</w:t>
      </w:r>
      <w:r>
        <w:rPr>
          <w:rFonts w:hint="eastAsia" w:ascii="仿宋_GB2312" w:hAnsi="仿宋_GB2312" w:eastAsia="仿宋_GB2312" w:cs="仿宋_GB2312"/>
          <w:sz w:val="30"/>
          <w:szCs w:val="30"/>
          <w:lang w:eastAsia="zh-CN"/>
        </w:rPr>
        <w:t>：已依法缴纳罚款（行政处罚）。</w:t>
      </w:r>
    </w:p>
    <w:p w14:paraId="6F68223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4、陈宝平</w:t>
      </w:r>
      <w:r>
        <w:rPr>
          <w:rFonts w:hint="eastAsia" w:ascii="仿宋_GB2312" w:hAnsi="仿宋_GB2312" w:eastAsia="仿宋_GB2312" w:cs="仿宋_GB2312"/>
          <w:sz w:val="30"/>
          <w:szCs w:val="30"/>
          <w:lang w:eastAsia="zh-CN"/>
        </w:rPr>
        <w:t>：已依法缴纳罚款（行政处罚）。</w:t>
      </w:r>
    </w:p>
    <w:p w14:paraId="5804161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default" w:ascii="仿宋_GB2312" w:hAnsi="仿宋" w:eastAsia="仿宋_GB2312" w:cs="仿宋"/>
          <w:sz w:val="30"/>
          <w:szCs w:val="30"/>
          <w:highlight w:val="none"/>
          <w:lang w:val="en-US" w:eastAsia="zh-CN"/>
        </w:rPr>
      </w:pPr>
      <w:r>
        <w:rPr>
          <w:rFonts w:hint="eastAsia" w:ascii="仿宋_GB2312" w:hAnsi="仿宋" w:eastAsia="仿宋_GB2312" w:cs="仿宋"/>
          <w:sz w:val="30"/>
          <w:szCs w:val="30"/>
          <w:highlight w:val="none"/>
          <w:lang w:val="en-US" w:eastAsia="zh-CN"/>
        </w:rPr>
        <w:t>5、王嘉可已受到上海申鲁建筑安装工程有限公司内部处理。</w:t>
      </w:r>
    </w:p>
    <w:p w14:paraId="7D4F2B2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综上，事故评估组认定：</w:t>
      </w:r>
      <w:r>
        <w:rPr>
          <w:rFonts w:hint="eastAsia" w:ascii="仿宋_GB2312" w:hAnsi="仿宋_GB2312" w:eastAsia="仿宋_GB2312" w:cs="仿宋_GB2312"/>
          <w:sz w:val="30"/>
          <w:szCs w:val="30"/>
        </w:rPr>
        <w:t>该起事故中，</w:t>
      </w:r>
      <w:r>
        <w:rPr>
          <w:rFonts w:hint="eastAsia" w:ascii="仿宋_GB2312" w:hAnsi="仿宋_GB2312" w:eastAsia="仿宋_GB2312" w:cs="仿宋_GB2312"/>
          <w:sz w:val="30"/>
          <w:szCs w:val="30"/>
          <w:lang w:eastAsia="zh-CN"/>
        </w:rPr>
        <w:t>所有</w:t>
      </w:r>
      <w:r>
        <w:rPr>
          <w:rFonts w:hint="eastAsia" w:ascii="仿宋_GB2312" w:hAnsi="仿宋_GB2312" w:eastAsia="仿宋_GB2312" w:cs="仿宋_GB2312"/>
          <w:sz w:val="30"/>
          <w:szCs w:val="30"/>
        </w:rPr>
        <w:t>责任单位和责任人的责任追究工作已完成，</w:t>
      </w:r>
      <w:r>
        <w:rPr>
          <w:rFonts w:hint="eastAsia" w:ascii="仿宋_GB2312" w:hAnsi="仿宋_GB2312" w:eastAsia="仿宋_GB2312" w:cs="仿宋_GB2312"/>
          <w:sz w:val="30"/>
          <w:szCs w:val="30"/>
          <w:lang w:eastAsia="zh-CN"/>
        </w:rPr>
        <w:t>事故报告中提出的</w:t>
      </w:r>
      <w:r>
        <w:rPr>
          <w:rFonts w:hint="eastAsia" w:ascii="仿宋_GB2312" w:hAnsi="仿宋_GB2312" w:eastAsia="仿宋_GB2312" w:cs="仿宋_GB2312"/>
          <w:sz w:val="30"/>
          <w:szCs w:val="30"/>
        </w:rPr>
        <w:t>涉事企业事故预防与安全整改工作已</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落实。</w:t>
      </w:r>
    </w:p>
    <w:p w14:paraId="355D7F25">
      <w:pPr>
        <w:keepNext w:val="0"/>
        <w:keepLines w:val="0"/>
        <w:pageBreakBefore w:val="0"/>
        <w:widowControl w:val="0"/>
        <w:kinsoku/>
        <w:overflowPunct/>
        <w:topLinePunct w:val="0"/>
        <w:autoSpaceDE/>
        <w:autoSpaceDN/>
        <w:bidi w:val="0"/>
        <w:adjustRightInd/>
        <w:spacing w:line="560" w:lineRule="exact"/>
        <w:ind w:firstLine="600" w:firstLineChars="200"/>
        <w:textAlignment w:val="auto"/>
        <w:outlineLvl w:val="0"/>
        <w:rPr>
          <w:rFonts w:hint="eastAsia" w:ascii="黑体" w:hAnsi="黑体" w:eastAsia="黑体" w:cs="黑体"/>
          <w:bCs/>
          <w:sz w:val="30"/>
          <w:szCs w:val="30"/>
          <w:lang w:eastAsia="zh-CN"/>
        </w:rPr>
      </w:pPr>
      <w:r>
        <w:rPr>
          <w:rFonts w:hint="eastAsia" w:ascii="黑体" w:hAnsi="黑体" w:eastAsia="黑体" w:cs="黑体"/>
          <w:bCs/>
          <w:sz w:val="30"/>
          <w:szCs w:val="30"/>
          <w:lang w:eastAsia="zh-CN"/>
        </w:rPr>
        <w:t>五、工作建议</w:t>
      </w:r>
    </w:p>
    <w:p w14:paraId="2D50544A">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为了进一步改善事故责任单位安全状况，提升事故责任单位安全管理工作水平和安全监管工作的成效性，本报告结合此次核查评估情况，谨提出以下持续改进建议：</w:t>
      </w:r>
    </w:p>
    <w:p w14:paraId="5A55A481">
      <w:pPr>
        <w:ind w:firstLine="300" w:firstLineChars="1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事故责任单位要牢固树立科学发展、安全发展理念，切实履行“党政同责、一岗双责”的有关规定，坚守“发展决不能牺牲人的生命为代价”红线，完善企业安全生产责任制内容，严格落实企业安全生产主体责任。</w:t>
      </w:r>
    </w:p>
    <w:p w14:paraId="3B188F40">
      <w:pPr>
        <w:ind w:firstLine="300" w:firstLineChars="100"/>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二）安全生产事关社会稳定，事关广大人民群众生命财产安全，事故责任单位要从思想上对安全生产工作引起高度重视，切实落实有效措施，持续开展事故隐患排查治理工作，对发现重大隐患应当及时向安全监管主管部门和有关部门报告、组织制定并实施事故隐患治理方案；对事故隐患做到整改措施到位、资金到位、期限到位、责任人到位、应急预案到位，全力防范各类事故发</w:t>
      </w:r>
      <w:r>
        <w:rPr>
          <w:rFonts w:hint="eastAsia" w:ascii="仿宋_GB2312" w:hAnsi="仿宋_GB2312" w:eastAsia="仿宋_GB2312" w:cs="仿宋_GB2312"/>
          <w:color w:val="auto"/>
          <w:sz w:val="30"/>
          <w:szCs w:val="30"/>
        </w:rPr>
        <w:t>生。</w:t>
      </w:r>
    </w:p>
    <w:p w14:paraId="4A58A1C8">
      <w:pPr>
        <w:ind w:firstLine="300" w:firstLineChars="1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（三）事故责任单位应确保足额的安全投入、专款专用，应关注施工现场易发生重大事故环节的预防措施和应急预案的有效落实；</w:t>
      </w:r>
      <w:r>
        <w:rPr>
          <w:rFonts w:hint="eastAsia" w:ascii="仿宋_GB2312" w:hAnsi="仿宋_GB2312" w:eastAsia="仿宋_GB2312" w:cs="仿宋_GB2312"/>
          <w:color w:val="auto"/>
          <w:sz w:val="30"/>
          <w:szCs w:val="30"/>
          <w:lang w:val="en-US" w:eastAsia="zh-CN"/>
        </w:rPr>
        <w:t>加强特种设备作业管理；加强施工作业面安全管理</w:t>
      </w:r>
      <w:r>
        <w:rPr>
          <w:rFonts w:hint="eastAsia" w:ascii="仿宋_GB2312" w:hAnsi="仿宋_GB2312" w:eastAsia="仿宋_GB2312" w:cs="仿宋_GB2312"/>
          <w:color w:val="auto"/>
          <w:sz w:val="30"/>
          <w:szCs w:val="30"/>
        </w:rPr>
        <w:t>。</w:t>
      </w:r>
    </w:p>
    <w:p w14:paraId="1035A68D">
      <w:pPr>
        <w:ind w:firstLine="300" w:firstLineChars="1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（四）事故责任单位必须制定相关的安全管理制度和安全操作规程，并对相关人员进行安全教育培训，</w:t>
      </w:r>
      <w:r>
        <w:rPr>
          <w:rFonts w:hint="eastAsia" w:ascii="仿宋_GB2312" w:hAnsi="仿宋_GB2312" w:eastAsia="仿宋_GB2312" w:cs="仿宋_GB2312"/>
          <w:color w:val="auto"/>
          <w:sz w:val="30"/>
          <w:szCs w:val="30"/>
          <w:lang w:val="en-US" w:eastAsia="zh-CN"/>
        </w:rPr>
        <w:t>尤其应加强作业现场安全管理，</w:t>
      </w:r>
      <w:r>
        <w:rPr>
          <w:rFonts w:hint="eastAsia" w:ascii="仿宋_GB2312" w:hAnsi="仿宋_GB2312" w:eastAsia="仿宋_GB2312" w:cs="仿宋_GB2312"/>
          <w:color w:val="auto"/>
          <w:sz w:val="30"/>
          <w:szCs w:val="30"/>
        </w:rPr>
        <w:t>督促相关人员按照安全管理制度和安全操作规程要求进行作业，突出作业风险分析辨识，强化作业现场监护，落实安全防护措施和应急救援设施</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涉及起重作业应配备安全管理监护人员，</w:t>
      </w:r>
      <w:r>
        <w:rPr>
          <w:rFonts w:hint="eastAsia" w:ascii="仿宋_GB2312" w:hAnsi="仿宋_GB2312" w:eastAsia="仿宋_GB2312" w:cs="仿宋_GB2312"/>
          <w:color w:val="auto"/>
          <w:sz w:val="30"/>
          <w:szCs w:val="30"/>
        </w:rPr>
        <w:t>严防事故发生。</w:t>
      </w:r>
    </w:p>
    <w:p w14:paraId="28803BAA">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rPr>
      </w:pPr>
    </w:p>
    <w:p w14:paraId="01621298">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rPr>
      </w:pPr>
    </w:p>
    <w:p w14:paraId="1F3925CE">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rPr>
      </w:pPr>
    </w:p>
    <w:p w14:paraId="6A4925F7">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rPr>
      </w:pPr>
    </w:p>
    <w:p w14:paraId="79EF4F7E">
      <w:pPr>
        <w:keepNext w:val="0"/>
        <w:keepLines w:val="0"/>
        <w:pageBreakBefore w:val="0"/>
        <w:widowControl w:val="0"/>
        <w:kinsoku/>
        <w:overflowPunct/>
        <w:topLinePunct w:val="0"/>
        <w:autoSpaceDE/>
        <w:autoSpaceDN/>
        <w:bidi w:val="0"/>
        <w:adjustRightInd/>
        <w:spacing w:line="560" w:lineRule="exact"/>
        <w:ind w:firstLine="600" w:firstLineChars="200"/>
        <w:jc w:val="right"/>
        <w:textAlignment w:val="auto"/>
        <w:rPr>
          <w:rFonts w:hint="eastAsia" w:ascii="仿宋_GB2312" w:hAnsi="仿宋_GB2312" w:eastAsia="仿宋_GB2312" w:cs="仿宋_GB2312"/>
          <w:bCs/>
          <w:sz w:val="30"/>
          <w:szCs w:val="30"/>
          <w:lang w:eastAsia="zh-CN"/>
        </w:rPr>
      </w:pPr>
      <w:r>
        <w:rPr>
          <w:rFonts w:hint="eastAsia" w:ascii="仿宋_GB2312" w:hAnsi="仿宋_GB2312" w:eastAsia="仿宋_GB2312" w:cs="仿宋_GB2312"/>
          <w:sz w:val="30"/>
          <w:szCs w:val="30"/>
          <w:lang w:eastAsia="zh-CN"/>
        </w:rPr>
        <w:t>“10.27”一般其他伤害事故</w:t>
      </w:r>
      <w:r>
        <w:rPr>
          <w:rFonts w:hint="eastAsia" w:ascii="仿宋_GB2312" w:hAnsi="仿宋_GB2312" w:eastAsia="仿宋_GB2312" w:cs="仿宋_GB2312"/>
          <w:bCs/>
          <w:sz w:val="30"/>
          <w:szCs w:val="30"/>
          <w:lang w:eastAsia="zh-CN"/>
        </w:rPr>
        <w:t>评估组</w:t>
      </w:r>
    </w:p>
    <w:p w14:paraId="0CC96CD7">
      <w:pPr>
        <w:keepNext w:val="0"/>
        <w:keepLines w:val="0"/>
        <w:pageBreakBefore w:val="0"/>
        <w:widowControl w:val="0"/>
        <w:kinsoku/>
        <w:wordWrap w:val="0"/>
        <w:overflowPunct/>
        <w:topLinePunct w:val="0"/>
        <w:autoSpaceDE/>
        <w:autoSpaceDN/>
        <w:bidi w:val="0"/>
        <w:adjustRightInd/>
        <w:spacing w:line="560" w:lineRule="exact"/>
        <w:ind w:firstLine="600" w:firstLineChars="200"/>
        <w:jc w:val="right"/>
        <w:textAlignment w:val="auto"/>
        <w:rPr>
          <w:rFonts w:ascii="仿宋_GB2312" w:hAnsi="仿宋_GB2312" w:eastAsia="仿宋_GB2312" w:cs="仿宋_GB2312"/>
          <w:bCs/>
          <w:sz w:val="30"/>
          <w:szCs w:val="30"/>
        </w:rPr>
      </w:pPr>
      <w:r>
        <w:rPr>
          <w:rFonts w:hint="eastAsia" w:ascii="仿宋_GB2312" w:hAnsi="仿宋_GB2312" w:eastAsia="仿宋_GB2312" w:cs="仿宋_GB2312"/>
          <w:bCs/>
          <w:sz w:val="30"/>
          <w:szCs w:val="30"/>
          <w:lang w:val="en-US" w:eastAsia="zh-CN"/>
        </w:rPr>
        <w:t xml:space="preserve">2024年12月26日   </w:t>
      </w:r>
      <w:bookmarkStart w:id="7" w:name="_GoBack"/>
      <w:bookmarkEnd w:id="7"/>
    </w:p>
    <w:sectPr>
      <w:footerReference r:id="rId3" w:type="default"/>
      <w:pgSz w:w="11906" w:h="16838"/>
      <w:pgMar w:top="935" w:right="1588" w:bottom="1090" w:left="1588" w:header="680" w:footer="68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D552A">
    <w:pPr>
      <w:pStyle w:val="7"/>
    </w:pPr>
    <w:r>
      <w:pict>
        <v:shape id="文本框 2" o:spid="_x0000_s1025" o:spt="202" type="#_x0000_t202" style="position:absolute;left:0pt;margin-left:215.5pt;margin-top:-0.15pt;height:11.2pt;width:14.65pt;mso-position-horizontal-relative:margin;z-index:251659264;mso-width-relative:page;mso-height-relative:page;" filled="f" stroked="f" coordsize="21600,21600">
          <v:path/>
          <v:fill on="f" focussize="0,0"/>
          <v:stroke on="f" weight="0.5pt" joinstyle="miter"/>
          <v:imagedata o:title=""/>
          <o:lock v:ext="edit"/>
          <v:textbox inset="0mm,0mm,0mm,0mm">
            <w:txbxContent>
              <w:p w14:paraId="156709E9">
                <w:pPr>
                  <w:pStyle w:val="7"/>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66315"/>
    <w:multiLevelType w:val="multilevel"/>
    <w:tmpl w:val="27966315"/>
    <w:lvl w:ilvl="0" w:tentative="0">
      <w:start w:val="1"/>
      <w:numFmt w:val="japaneseCounting"/>
      <w:pStyle w:val="28"/>
      <w:lvlText w:val="%1、"/>
      <w:lvlJc w:val="left"/>
      <w:pPr>
        <w:ind w:left="165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IwNjM5ZWJiMDI5ZGJlMzRmOTRiYTdmNzUyMDVkZTcifQ=="/>
  </w:docVars>
  <w:rsids>
    <w:rsidRoot w:val="00AD648B"/>
    <w:rsid w:val="00001700"/>
    <w:rsid w:val="00003E0F"/>
    <w:rsid w:val="00005E53"/>
    <w:rsid w:val="00007686"/>
    <w:rsid w:val="000502F7"/>
    <w:rsid w:val="000511FA"/>
    <w:rsid w:val="00051AC5"/>
    <w:rsid w:val="00054A5E"/>
    <w:rsid w:val="00065100"/>
    <w:rsid w:val="00067AE2"/>
    <w:rsid w:val="000732C3"/>
    <w:rsid w:val="00074505"/>
    <w:rsid w:val="00080AD1"/>
    <w:rsid w:val="00085296"/>
    <w:rsid w:val="00091D2A"/>
    <w:rsid w:val="000B1A0D"/>
    <w:rsid w:val="000B7BA8"/>
    <w:rsid w:val="000C1C9C"/>
    <w:rsid w:val="000C334C"/>
    <w:rsid w:val="000C71B8"/>
    <w:rsid w:val="000D04CA"/>
    <w:rsid w:val="000D1171"/>
    <w:rsid w:val="000D6758"/>
    <w:rsid w:val="000E505A"/>
    <w:rsid w:val="000F484B"/>
    <w:rsid w:val="000F61CC"/>
    <w:rsid w:val="000F64DA"/>
    <w:rsid w:val="00100F11"/>
    <w:rsid w:val="001042ED"/>
    <w:rsid w:val="00111C76"/>
    <w:rsid w:val="001322FD"/>
    <w:rsid w:val="00142DDC"/>
    <w:rsid w:val="001449EB"/>
    <w:rsid w:val="001504F0"/>
    <w:rsid w:val="001512B6"/>
    <w:rsid w:val="00155A3C"/>
    <w:rsid w:val="001578E2"/>
    <w:rsid w:val="00166A5F"/>
    <w:rsid w:val="00171ECE"/>
    <w:rsid w:val="0017684E"/>
    <w:rsid w:val="00185196"/>
    <w:rsid w:val="00185457"/>
    <w:rsid w:val="00192F7E"/>
    <w:rsid w:val="001935C4"/>
    <w:rsid w:val="001B5FA4"/>
    <w:rsid w:val="001B6AEE"/>
    <w:rsid w:val="001B7A7D"/>
    <w:rsid w:val="001C34EB"/>
    <w:rsid w:val="001C65D6"/>
    <w:rsid w:val="001D78B2"/>
    <w:rsid w:val="001E0874"/>
    <w:rsid w:val="00213813"/>
    <w:rsid w:val="00227184"/>
    <w:rsid w:val="002363E0"/>
    <w:rsid w:val="0023703A"/>
    <w:rsid w:val="00242BF7"/>
    <w:rsid w:val="00246069"/>
    <w:rsid w:val="00260D48"/>
    <w:rsid w:val="00261C8B"/>
    <w:rsid w:val="00262983"/>
    <w:rsid w:val="00263EEB"/>
    <w:rsid w:val="00264794"/>
    <w:rsid w:val="00271A34"/>
    <w:rsid w:val="00277B7C"/>
    <w:rsid w:val="00282844"/>
    <w:rsid w:val="00283544"/>
    <w:rsid w:val="002854B9"/>
    <w:rsid w:val="002A06CA"/>
    <w:rsid w:val="002A45DF"/>
    <w:rsid w:val="002A7CEA"/>
    <w:rsid w:val="002B2CCB"/>
    <w:rsid w:val="002D6816"/>
    <w:rsid w:val="002E4D19"/>
    <w:rsid w:val="002F2985"/>
    <w:rsid w:val="002F2E6F"/>
    <w:rsid w:val="002F731C"/>
    <w:rsid w:val="003002C7"/>
    <w:rsid w:val="00302A9C"/>
    <w:rsid w:val="00304450"/>
    <w:rsid w:val="0030680A"/>
    <w:rsid w:val="00315349"/>
    <w:rsid w:val="003170ED"/>
    <w:rsid w:val="00324AF9"/>
    <w:rsid w:val="00331262"/>
    <w:rsid w:val="003326AB"/>
    <w:rsid w:val="00335878"/>
    <w:rsid w:val="00351628"/>
    <w:rsid w:val="00357EC5"/>
    <w:rsid w:val="00360F79"/>
    <w:rsid w:val="00363DEC"/>
    <w:rsid w:val="003727CA"/>
    <w:rsid w:val="003751FC"/>
    <w:rsid w:val="003761F3"/>
    <w:rsid w:val="00382224"/>
    <w:rsid w:val="00383D6D"/>
    <w:rsid w:val="00384421"/>
    <w:rsid w:val="00384B02"/>
    <w:rsid w:val="00387057"/>
    <w:rsid w:val="00387B66"/>
    <w:rsid w:val="003A0653"/>
    <w:rsid w:val="003A4EA4"/>
    <w:rsid w:val="003A7BC4"/>
    <w:rsid w:val="003B6A53"/>
    <w:rsid w:val="003D179A"/>
    <w:rsid w:val="003D6E36"/>
    <w:rsid w:val="003E5C7B"/>
    <w:rsid w:val="00410598"/>
    <w:rsid w:val="004116D9"/>
    <w:rsid w:val="00412E5A"/>
    <w:rsid w:val="0042494F"/>
    <w:rsid w:val="004310B8"/>
    <w:rsid w:val="00432D91"/>
    <w:rsid w:val="00433F76"/>
    <w:rsid w:val="004427B1"/>
    <w:rsid w:val="004615F5"/>
    <w:rsid w:val="00463302"/>
    <w:rsid w:val="00465A47"/>
    <w:rsid w:val="00467648"/>
    <w:rsid w:val="00467910"/>
    <w:rsid w:val="00480CD7"/>
    <w:rsid w:val="00485891"/>
    <w:rsid w:val="004874B9"/>
    <w:rsid w:val="00497DE7"/>
    <w:rsid w:val="004A010A"/>
    <w:rsid w:val="004A1CA1"/>
    <w:rsid w:val="004A2B6E"/>
    <w:rsid w:val="004C0224"/>
    <w:rsid w:val="004C6BEA"/>
    <w:rsid w:val="004D22C7"/>
    <w:rsid w:val="004D4BC9"/>
    <w:rsid w:val="004D693F"/>
    <w:rsid w:val="004E1CF1"/>
    <w:rsid w:val="004E3B31"/>
    <w:rsid w:val="004E4C20"/>
    <w:rsid w:val="004F70AA"/>
    <w:rsid w:val="004F7A54"/>
    <w:rsid w:val="005044BB"/>
    <w:rsid w:val="005108EB"/>
    <w:rsid w:val="00521D0A"/>
    <w:rsid w:val="005315C5"/>
    <w:rsid w:val="0053738C"/>
    <w:rsid w:val="00537AD9"/>
    <w:rsid w:val="00541262"/>
    <w:rsid w:val="005536B4"/>
    <w:rsid w:val="00554969"/>
    <w:rsid w:val="00557D05"/>
    <w:rsid w:val="00564B7F"/>
    <w:rsid w:val="00576F9E"/>
    <w:rsid w:val="005861AC"/>
    <w:rsid w:val="005912ED"/>
    <w:rsid w:val="00592E98"/>
    <w:rsid w:val="00593C48"/>
    <w:rsid w:val="00595A31"/>
    <w:rsid w:val="005A5BA7"/>
    <w:rsid w:val="005B759C"/>
    <w:rsid w:val="005C0BF8"/>
    <w:rsid w:val="005C6480"/>
    <w:rsid w:val="005D28C9"/>
    <w:rsid w:val="005E2555"/>
    <w:rsid w:val="005E5D7B"/>
    <w:rsid w:val="005F2EE4"/>
    <w:rsid w:val="005F3631"/>
    <w:rsid w:val="005F3941"/>
    <w:rsid w:val="006044AC"/>
    <w:rsid w:val="00614E31"/>
    <w:rsid w:val="00620825"/>
    <w:rsid w:val="0063675F"/>
    <w:rsid w:val="00652699"/>
    <w:rsid w:val="00652E95"/>
    <w:rsid w:val="0065699B"/>
    <w:rsid w:val="00671282"/>
    <w:rsid w:val="0067529D"/>
    <w:rsid w:val="006854BC"/>
    <w:rsid w:val="00691384"/>
    <w:rsid w:val="006A115D"/>
    <w:rsid w:val="006A1611"/>
    <w:rsid w:val="006A5C1F"/>
    <w:rsid w:val="006A6EF0"/>
    <w:rsid w:val="006B1E61"/>
    <w:rsid w:val="006B7329"/>
    <w:rsid w:val="006C0B4B"/>
    <w:rsid w:val="006C781E"/>
    <w:rsid w:val="006D33BC"/>
    <w:rsid w:val="006D6F82"/>
    <w:rsid w:val="006F2146"/>
    <w:rsid w:val="006F55EC"/>
    <w:rsid w:val="006F6913"/>
    <w:rsid w:val="0070390F"/>
    <w:rsid w:val="007043E8"/>
    <w:rsid w:val="007112F8"/>
    <w:rsid w:val="00720338"/>
    <w:rsid w:val="00736E95"/>
    <w:rsid w:val="00737679"/>
    <w:rsid w:val="00742ECE"/>
    <w:rsid w:val="007512A6"/>
    <w:rsid w:val="00751A8F"/>
    <w:rsid w:val="00752FEA"/>
    <w:rsid w:val="0075635E"/>
    <w:rsid w:val="00757804"/>
    <w:rsid w:val="007579F7"/>
    <w:rsid w:val="00765AA6"/>
    <w:rsid w:val="00770FC6"/>
    <w:rsid w:val="0077668F"/>
    <w:rsid w:val="00782B61"/>
    <w:rsid w:val="007878C5"/>
    <w:rsid w:val="00796035"/>
    <w:rsid w:val="007A38DE"/>
    <w:rsid w:val="007A4107"/>
    <w:rsid w:val="007A6229"/>
    <w:rsid w:val="007B3787"/>
    <w:rsid w:val="007E14F6"/>
    <w:rsid w:val="007E2BB1"/>
    <w:rsid w:val="007E2E98"/>
    <w:rsid w:val="007E7330"/>
    <w:rsid w:val="007E7338"/>
    <w:rsid w:val="007F0A3A"/>
    <w:rsid w:val="007F77A0"/>
    <w:rsid w:val="0080323D"/>
    <w:rsid w:val="008061A2"/>
    <w:rsid w:val="0080727F"/>
    <w:rsid w:val="00820C32"/>
    <w:rsid w:val="008225EB"/>
    <w:rsid w:val="0082595F"/>
    <w:rsid w:val="008344D6"/>
    <w:rsid w:val="00842074"/>
    <w:rsid w:val="00863304"/>
    <w:rsid w:val="0088503E"/>
    <w:rsid w:val="00887725"/>
    <w:rsid w:val="00892A25"/>
    <w:rsid w:val="008D0A41"/>
    <w:rsid w:val="008D41D3"/>
    <w:rsid w:val="008E2572"/>
    <w:rsid w:val="008F7E6A"/>
    <w:rsid w:val="009030F3"/>
    <w:rsid w:val="009233BB"/>
    <w:rsid w:val="009256A0"/>
    <w:rsid w:val="00926DF9"/>
    <w:rsid w:val="0092765E"/>
    <w:rsid w:val="00927788"/>
    <w:rsid w:val="00930D4F"/>
    <w:rsid w:val="00936B07"/>
    <w:rsid w:val="00937AF6"/>
    <w:rsid w:val="0094070B"/>
    <w:rsid w:val="0094428A"/>
    <w:rsid w:val="009525E8"/>
    <w:rsid w:val="00964D7E"/>
    <w:rsid w:val="0096525F"/>
    <w:rsid w:val="00975AEC"/>
    <w:rsid w:val="00981FE6"/>
    <w:rsid w:val="00982CD4"/>
    <w:rsid w:val="00984147"/>
    <w:rsid w:val="00996741"/>
    <w:rsid w:val="00996D6F"/>
    <w:rsid w:val="009A3FD0"/>
    <w:rsid w:val="009B11DE"/>
    <w:rsid w:val="009B279A"/>
    <w:rsid w:val="009B4BF8"/>
    <w:rsid w:val="009B699C"/>
    <w:rsid w:val="009B6BA1"/>
    <w:rsid w:val="009C0EF5"/>
    <w:rsid w:val="009C1016"/>
    <w:rsid w:val="009C2ED2"/>
    <w:rsid w:val="009C4B0A"/>
    <w:rsid w:val="009E4936"/>
    <w:rsid w:val="009F7599"/>
    <w:rsid w:val="00A008AA"/>
    <w:rsid w:val="00A0594A"/>
    <w:rsid w:val="00A15C1C"/>
    <w:rsid w:val="00A4043A"/>
    <w:rsid w:val="00A43F6A"/>
    <w:rsid w:val="00A52639"/>
    <w:rsid w:val="00A546BD"/>
    <w:rsid w:val="00A57033"/>
    <w:rsid w:val="00A71F10"/>
    <w:rsid w:val="00A76014"/>
    <w:rsid w:val="00A86B1D"/>
    <w:rsid w:val="00A935C5"/>
    <w:rsid w:val="00AA5244"/>
    <w:rsid w:val="00AC3E65"/>
    <w:rsid w:val="00AC7BB7"/>
    <w:rsid w:val="00AC7D42"/>
    <w:rsid w:val="00AD4EAA"/>
    <w:rsid w:val="00AD648B"/>
    <w:rsid w:val="00AE1371"/>
    <w:rsid w:val="00AF4F7A"/>
    <w:rsid w:val="00AF6CAD"/>
    <w:rsid w:val="00B0041B"/>
    <w:rsid w:val="00B004C6"/>
    <w:rsid w:val="00B13B6D"/>
    <w:rsid w:val="00B150E6"/>
    <w:rsid w:val="00B34072"/>
    <w:rsid w:val="00B3558F"/>
    <w:rsid w:val="00B54E07"/>
    <w:rsid w:val="00B600EB"/>
    <w:rsid w:val="00B60259"/>
    <w:rsid w:val="00B64526"/>
    <w:rsid w:val="00B82FB7"/>
    <w:rsid w:val="00B84A2E"/>
    <w:rsid w:val="00B87A1E"/>
    <w:rsid w:val="00B9016F"/>
    <w:rsid w:val="00B90D5B"/>
    <w:rsid w:val="00B9518E"/>
    <w:rsid w:val="00BA0989"/>
    <w:rsid w:val="00BA70CA"/>
    <w:rsid w:val="00BB0115"/>
    <w:rsid w:val="00BB0A86"/>
    <w:rsid w:val="00BC448D"/>
    <w:rsid w:val="00BC4980"/>
    <w:rsid w:val="00BC6829"/>
    <w:rsid w:val="00BD5943"/>
    <w:rsid w:val="00BE76A3"/>
    <w:rsid w:val="00C01C56"/>
    <w:rsid w:val="00C03AF6"/>
    <w:rsid w:val="00C106CE"/>
    <w:rsid w:val="00C1263A"/>
    <w:rsid w:val="00C13041"/>
    <w:rsid w:val="00C31BAE"/>
    <w:rsid w:val="00C35589"/>
    <w:rsid w:val="00C41178"/>
    <w:rsid w:val="00C45D27"/>
    <w:rsid w:val="00C56680"/>
    <w:rsid w:val="00C56926"/>
    <w:rsid w:val="00C57C6B"/>
    <w:rsid w:val="00C611A1"/>
    <w:rsid w:val="00C6153D"/>
    <w:rsid w:val="00C65142"/>
    <w:rsid w:val="00C70394"/>
    <w:rsid w:val="00C749DD"/>
    <w:rsid w:val="00C74A25"/>
    <w:rsid w:val="00C82F6F"/>
    <w:rsid w:val="00CA563D"/>
    <w:rsid w:val="00CA75DD"/>
    <w:rsid w:val="00CB4E51"/>
    <w:rsid w:val="00CB5142"/>
    <w:rsid w:val="00CE001F"/>
    <w:rsid w:val="00CE3AFE"/>
    <w:rsid w:val="00CE6F85"/>
    <w:rsid w:val="00CF1A63"/>
    <w:rsid w:val="00CF5B2A"/>
    <w:rsid w:val="00D0587D"/>
    <w:rsid w:val="00D12DC9"/>
    <w:rsid w:val="00D17768"/>
    <w:rsid w:val="00D20FD1"/>
    <w:rsid w:val="00D22ADA"/>
    <w:rsid w:val="00D37160"/>
    <w:rsid w:val="00D43BAE"/>
    <w:rsid w:val="00D47B9E"/>
    <w:rsid w:val="00D5145E"/>
    <w:rsid w:val="00D525F6"/>
    <w:rsid w:val="00D5782F"/>
    <w:rsid w:val="00D61EB8"/>
    <w:rsid w:val="00D709DE"/>
    <w:rsid w:val="00D71EBA"/>
    <w:rsid w:val="00D725AD"/>
    <w:rsid w:val="00D92569"/>
    <w:rsid w:val="00D92D5E"/>
    <w:rsid w:val="00D962DB"/>
    <w:rsid w:val="00D9687C"/>
    <w:rsid w:val="00D9763C"/>
    <w:rsid w:val="00DB13C1"/>
    <w:rsid w:val="00DB3C8C"/>
    <w:rsid w:val="00DC2708"/>
    <w:rsid w:val="00DD1E0B"/>
    <w:rsid w:val="00DD6180"/>
    <w:rsid w:val="00DE6533"/>
    <w:rsid w:val="00DF36D3"/>
    <w:rsid w:val="00E2758D"/>
    <w:rsid w:val="00E31EE5"/>
    <w:rsid w:val="00E34C75"/>
    <w:rsid w:val="00E55A2E"/>
    <w:rsid w:val="00E604FD"/>
    <w:rsid w:val="00E61E50"/>
    <w:rsid w:val="00E62DE6"/>
    <w:rsid w:val="00E6327A"/>
    <w:rsid w:val="00E656C6"/>
    <w:rsid w:val="00E65C62"/>
    <w:rsid w:val="00E76DA0"/>
    <w:rsid w:val="00E86CC7"/>
    <w:rsid w:val="00EB3301"/>
    <w:rsid w:val="00EC2C13"/>
    <w:rsid w:val="00EE179C"/>
    <w:rsid w:val="00EE51AF"/>
    <w:rsid w:val="00EF3180"/>
    <w:rsid w:val="00EF6289"/>
    <w:rsid w:val="00F001F5"/>
    <w:rsid w:val="00F0206B"/>
    <w:rsid w:val="00F07D77"/>
    <w:rsid w:val="00F11D9F"/>
    <w:rsid w:val="00F14011"/>
    <w:rsid w:val="00F1606C"/>
    <w:rsid w:val="00F22A5C"/>
    <w:rsid w:val="00F23126"/>
    <w:rsid w:val="00F257F8"/>
    <w:rsid w:val="00F2758C"/>
    <w:rsid w:val="00F34043"/>
    <w:rsid w:val="00F67451"/>
    <w:rsid w:val="00F8685F"/>
    <w:rsid w:val="00FB2782"/>
    <w:rsid w:val="00FB7B15"/>
    <w:rsid w:val="00FC06F6"/>
    <w:rsid w:val="00FD47F9"/>
    <w:rsid w:val="00FE30CF"/>
    <w:rsid w:val="01260595"/>
    <w:rsid w:val="015C7990"/>
    <w:rsid w:val="033425B1"/>
    <w:rsid w:val="037D16A8"/>
    <w:rsid w:val="03D177E1"/>
    <w:rsid w:val="03FC2EB9"/>
    <w:rsid w:val="04350D16"/>
    <w:rsid w:val="04BC223F"/>
    <w:rsid w:val="06265F96"/>
    <w:rsid w:val="078773D3"/>
    <w:rsid w:val="07FB13FB"/>
    <w:rsid w:val="08602EE2"/>
    <w:rsid w:val="0884672B"/>
    <w:rsid w:val="08FC5965"/>
    <w:rsid w:val="0921401C"/>
    <w:rsid w:val="09502F56"/>
    <w:rsid w:val="09842907"/>
    <w:rsid w:val="09DE0E66"/>
    <w:rsid w:val="0A153FA3"/>
    <w:rsid w:val="0BDD4C34"/>
    <w:rsid w:val="0C030BCD"/>
    <w:rsid w:val="0C6A75D8"/>
    <w:rsid w:val="0C7373DF"/>
    <w:rsid w:val="0CD53F0D"/>
    <w:rsid w:val="0DC40504"/>
    <w:rsid w:val="0DF53B8E"/>
    <w:rsid w:val="0E0001AD"/>
    <w:rsid w:val="0E8A3101"/>
    <w:rsid w:val="0EE56CBC"/>
    <w:rsid w:val="0F0E52A8"/>
    <w:rsid w:val="100C0763"/>
    <w:rsid w:val="102A170C"/>
    <w:rsid w:val="103E5ECA"/>
    <w:rsid w:val="10C67D8D"/>
    <w:rsid w:val="10FD1D28"/>
    <w:rsid w:val="114A3980"/>
    <w:rsid w:val="115F7A7E"/>
    <w:rsid w:val="12727213"/>
    <w:rsid w:val="1331197C"/>
    <w:rsid w:val="13382340"/>
    <w:rsid w:val="13484EA9"/>
    <w:rsid w:val="142C0A49"/>
    <w:rsid w:val="156D10F1"/>
    <w:rsid w:val="15D82E23"/>
    <w:rsid w:val="16866384"/>
    <w:rsid w:val="169C77DB"/>
    <w:rsid w:val="1700274F"/>
    <w:rsid w:val="17441C5F"/>
    <w:rsid w:val="178618BA"/>
    <w:rsid w:val="18007BCB"/>
    <w:rsid w:val="190F7D51"/>
    <w:rsid w:val="193A32DB"/>
    <w:rsid w:val="1A0314F5"/>
    <w:rsid w:val="1A2A25F4"/>
    <w:rsid w:val="1C485917"/>
    <w:rsid w:val="1D144C6E"/>
    <w:rsid w:val="1D16725A"/>
    <w:rsid w:val="1D4D70D9"/>
    <w:rsid w:val="1DB12344"/>
    <w:rsid w:val="1DEB177D"/>
    <w:rsid w:val="1EFB1390"/>
    <w:rsid w:val="1F946763"/>
    <w:rsid w:val="1FD47E62"/>
    <w:rsid w:val="1FDD29FA"/>
    <w:rsid w:val="20074427"/>
    <w:rsid w:val="205B3BD8"/>
    <w:rsid w:val="20C45BCD"/>
    <w:rsid w:val="217212D8"/>
    <w:rsid w:val="21DF2C72"/>
    <w:rsid w:val="22237002"/>
    <w:rsid w:val="223B434C"/>
    <w:rsid w:val="22470620"/>
    <w:rsid w:val="22AA3280"/>
    <w:rsid w:val="22CE2D81"/>
    <w:rsid w:val="22F15352"/>
    <w:rsid w:val="23131B18"/>
    <w:rsid w:val="237A70F6"/>
    <w:rsid w:val="241F3933"/>
    <w:rsid w:val="244E44B5"/>
    <w:rsid w:val="24633535"/>
    <w:rsid w:val="250424A4"/>
    <w:rsid w:val="26980A5A"/>
    <w:rsid w:val="27261587"/>
    <w:rsid w:val="27B56EAD"/>
    <w:rsid w:val="27D513A4"/>
    <w:rsid w:val="28165677"/>
    <w:rsid w:val="28561A94"/>
    <w:rsid w:val="292358FF"/>
    <w:rsid w:val="292872EA"/>
    <w:rsid w:val="29E77D17"/>
    <w:rsid w:val="2A214073"/>
    <w:rsid w:val="2A62494D"/>
    <w:rsid w:val="2A952A67"/>
    <w:rsid w:val="2AAC59F6"/>
    <w:rsid w:val="2AF25A29"/>
    <w:rsid w:val="2B31696D"/>
    <w:rsid w:val="2BC929C8"/>
    <w:rsid w:val="2BE8746F"/>
    <w:rsid w:val="2C245E51"/>
    <w:rsid w:val="2C756321"/>
    <w:rsid w:val="2C995A1E"/>
    <w:rsid w:val="2DED2793"/>
    <w:rsid w:val="2E8402B7"/>
    <w:rsid w:val="2EF24E56"/>
    <w:rsid w:val="2EFB38F3"/>
    <w:rsid w:val="304271ED"/>
    <w:rsid w:val="308E0F94"/>
    <w:rsid w:val="30B05060"/>
    <w:rsid w:val="313F54DB"/>
    <w:rsid w:val="31716EDC"/>
    <w:rsid w:val="31D04D67"/>
    <w:rsid w:val="31E56A8C"/>
    <w:rsid w:val="329C31F7"/>
    <w:rsid w:val="32CD7249"/>
    <w:rsid w:val="32F347CF"/>
    <w:rsid w:val="33550FE6"/>
    <w:rsid w:val="33B421B0"/>
    <w:rsid w:val="341C44FF"/>
    <w:rsid w:val="342C67F4"/>
    <w:rsid w:val="34612A9B"/>
    <w:rsid w:val="35130791"/>
    <w:rsid w:val="357F059C"/>
    <w:rsid w:val="371737F3"/>
    <w:rsid w:val="37783AA1"/>
    <w:rsid w:val="384653A1"/>
    <w:rsid w:val="38707387"/>
    <w:rsid w:val="39C46EC5"/>
    <w:rsid w:val="3A2C6DE1"/>
    <w:rsid w:val="3A47776C"/>
    <w:rsid w:val="3A636293"/>
    <w:rsid w:val="3AA420FE"/>
    <w:rsid w:val="3BD01C16"/>
    <w:rsid w:val="3BFE3EC3"/>
    <w:rsid w:val="3C1F03E3"/>
    <w:rsid w:val="3C394954"/>
    <w:rsid w:val="3CA31014"/>
    <w:rsid w:val="3D001FC2"/>
    <w:rsid w:val="3DB11AD4"/>
    <w:rsid w:val="3E2B2521"/>
    <w:rsid w:val="3F7D1CC7"/>
    <w:rsid w:val="40CC5C49"/>
    <w:rsid w:val="416655C5"/>
    <w:rsid w:val="41840582"/>
    <w:rsid w:val="41B84D85"/>
    <w:rsid w:val="4312520A"/>
    <w:rsid w:val="433A2DEB"/>
    <w:rsid w:val="435667A4"/>
    <w:rsid w:val="43FE6C03"/>
    <w:rsid w:val="4416297F"/>
    <w:rsid w:val="46AE1F0C"/>
    <w:rsid w:val="470D77B7"/>
    <w:rsid w:val="47262F6D"/>
    <w:rsid w:val="47281B68"/>
    <w:rsid w:val="474271A0"/>
    <w:rsid w:val="47490A0A"/>
    <w:rsid w:val="47876D4D"/>
    <w:rsid w:val="47EB2576"/>
    <w:rsid w:val="48150576"/>
    <w:rsid w:val="49E51604"/>
    <w:rsid w:val="4A5C41B4"/>
    <w:rsid w:val="4A9067AB"/>
    <w:rsid w:val="4A9E2883"/>
    <w:rsid w:val="4AB85877"/>
    <w:rsid w:val="4B5856BF"/>
    <w:rsid w:val="4B5F6CE3"/>
    <w:rsid w:val="4C0026D1"/>
    <w:rsid w:val="4C955487"/>
    <w:rsid w:val="4CA87F80"/>
    <w:rsid w:val="4D4B0D3B"/>
    <w:rsid w:val="4D755501"/>
    <w:rsid w:val="4DA22108"/>
    <w:rsid w:val="4DD21759"/>
    <w:rsid w:val="4DF07472"/>
    <w:rsid w:val="4E8D3FB1"/>
    <w:rsid w:val="4EB93B36"/>
    <w:rsid w:val="4EC15C1A"/>
    <w:rsid w:val="4EFC48A3"/>
    <w:rsid w:val="4EFD7AE4"/>
    <w:rsid w:val="4F120AD6"/>
    <w:rsid w:val="4F342E1D"/>
    <w:rsid w:val="4FDC066D"/>
    <w:rsid w:val="4FEB08B0"/>
    <w:rsid w:val="503A57CF"/>
    <w:rsid w:val="50BA3594"/>
    <w:rsid w:val="50D77DB9"/>
    <w:rsid w:val="518B776F"/>
    <w:rsid w:val="51EA7301"/>
    <w:rsid w:val="52D03874"/>
    <w:rsid w:val="52F0469B"/>
    <w:rsid w:val="52F61DEB"/>
    <w:rsid w:val="536A7603"/>
    <w:rsid w:val="53A078FC"/>
    <w:rsid w:val="53C44B0C"/>
    <w:rsid w:val="540A2BDF"/>
    <w:rsid w:val="546D4869"/>
    <w:rsid w:val="554853EF"/>
    <w:rsid w:val="55D41DE6"/>
    <w:rsid w:val="566F065C"/>
    <w:rsid w:val="56C73F7C"/>
    <w:rsid w:val="570A2928"/>
    <w:rsid w:val="579150CB"/>
    <w:rsid w:val="57D66BD7"/>
    <w:rsid w:val="58164E01"/>
    <w:rsid w:val="58361B6C"/>
    <w:rsid w:val="584A07DB"/>
    <w:rsid w:val="584A5AA6"/>
    <w:rsid w:val="584E45F9"/>
    <w:rsid w:val="58D465D2"/>
    <w:rsid w:val="59647BDA"/>
    <w:rsid w:val="597D1671"/>
    <w:rsid w:val="59ED6F91"/>
    <w:rsid w:val="59F82470"/>
    <w:rsid w:val="5B0538E4"/>
    <w:rsid w:val="5C3F0A59"/>
    <w:rsid w:val="5DA82EB8"/>
    <w:rsid w:val="5DDA485D"/>
    <w:rsid w:val="5E2D4484"/>
    <w:rsid w:val="5EF36C35"/>
    <w:rsid w:val="5F2153BC"/>
    <w:rsid w:val="5F794BE4"/>
    <w:rsid w:val="5F9E7A51"/>
    <w:rsid w:val="606A01B1"/>
    <w:rsid w:val="607B3777"/>
    <w:rsid w:val="610E1381"/>
    <w:rsid w:val="6147235A"/>
    <w:rsid w:val="619B687A"/>
    <w:rsid w:val="61B551C2"/>
    <w:rsid w:val="64CF0348"/>
    <w:rsid w:val="6515190C"/>
    <w:rsid w:val="65736F26"/>
    <w:rsid w:val="659C1F4E"/>
    <w:rsid w:val="668D2BB7"/>
    <w:rsid w:val="6693315B"/>
    <w:rsid w:val="66E04EF1"/>
    <w:rsid w:val="67046E3D"/>
    <w:rsid w:val="67582FC1"/>
    <w:rsid w:val="68AA7102"/>
    <w:rsid w:val="68C84020"/>
    <w:rsid w:val="69DA2C84"/>
    <w:rsid w:val="6B75118A"/>
    <w:rsid w:val="6BF9731F"/>
    <w:rsid w:val="6C0E5BFA"/>
    <w:rsid w:val="6C9B14F3"/>
    <w:rsid w:val="6CA87DFD"/>
    <w:rsid w:val="6D085F70"/>
    <w:rsid w:val="6D1F7993"/>
    <w:rsid w:val="6D220B35"/>
    <w:rsid w:val="6D3E1204"/>
    <w:rsid w:val="6E1A7E88"/>
    <w:rsid w:val="6E531FEA"/>
    <w:rsid w:val="6E533AC5"/>
    <w:rsid w:val="6F084A66"/>
    <w:rsid w:val="6F350038"/>
    <w:rsid w:val="6FAB6027"/>
    <w:rsid w:val="6FFC6D8E"/>
    <w:rsid w:val="70000F34"/>
    <w:rsid w:val="70482D14"/>
    <w:rsid w:val="70985F24"/>
    <w:rsid w:val="72347D73"/>
    <w:rsid w:val="72580F09"/>
    <w:rsid w:val="72810416"/>
    <w:rsid w:val="72F966BC"/>
    <w:rsid w:val="73CB790F"/>
    <w:rsid w:val="74E920C5"/>
    <w:rsid w:val="74F43AA0"/>
    <w:rsid w:val="75404D10"/>
    <w:rsid w:val="759E0D5A"/>
    <w:rsid w:val="763D4089"/>
    <w:rsid w:val="76422779"/>
    <w:rsid w:val="766B47B6"/>
    <w:rsid w:val="768A3536"/>
    <w:rsid w:val="77040325"/>
    <w:rsid w:val="77A94F80"/>
    <w:rsid w:val="786B4E1A"/>
    <w:rsid w:val="786C7F30"/>
    <w:rsid w:val="78F83A53"/>
    <w:rsid w:val="790976F2"/>
    <w:rsid w:val="791F7C53"/>
    <w:rsid w:val="7951234A"/>
    <w:rsid w:val="79B620E2"/>
    <w:rsid w:val="79F53F55"/>
    <w:rsid w:val="7A967CCC"/>
    <w:rsid w:val="7BDF6ADB"/>
    <w:rsid w:val="7BF149AC"/>
    <w:rsid w:val="7C1733C2"/>
    <w:rsid w:val="7C8B19F2"/>
    <w:rsid w:val="7E140468"/>
    <w:rsid w:val="7EB24E2B"/>
    <w:rsid w:val="7F6C00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locked/>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eastAsia="仿宋"/>
    </w:rPr>
  </w:style>
  <w:style w:type="paragraph" w:styleId="4">
    <w:name w:val="annotation text"/>
    <w:basedOn w:val="1"/>
    <w:link w:val="25"/>
    <w:autoRedefine/>
    <w:unhideWhenUsed/>
    <w:qFormat/>
    <w:uiPriority w:val="99"/>
    <w:pPr>
      <w:jc w:val="left"/>
    </w:pPr>
  </w:style>
  <w:style w:type="paragraph" w:styleId="5">
    <w:name w:val="Body Text Indent"/>
    <w:basedOn w:val="1"/>
    <w:next w:val="3"/>
    <w:unhideWhenUsed/>
    <w:qFormat/>
    <w:uiPriority w:val="99"/>
    <w:pPr>
      <w:spacing w:after="120"/>
      <w:ind w:left="420" w:leftChars="200"/>
    </w:pPr>
  </w:style>
  <w:style w:type="paragraph" w:styleId="6">
    <w:name w:val="Date"/>
    <w:basedOn w:val="1"/>
    <w:next w:val="1"/>
    <w:link w:val="18"/>
    <w:autoRedefine/>
    <w:qFormat/>
    <w:uiPriority w:val="99"/>
    <w:pPr>
      <w:ind w:left="100" w:leftChars="2500"/>
    </w:pPr>
  </w:style>
  <w:style w:type="paragraph" w:styleId="7">
    <w:name w:val="footer"/>
    <w:basedOn w:val="1"/>
    <w:link w:val="19"/>
    <w:autoRedefine/>
    <w:qFormat/>
    <w:uiPriority w:val="99"/>
    <w:pPr>
      <w:tabs>
        <w:tab w:val="center" w:pos="4153"/>
        <w:tab w:val="right" w:pos="8306"/>
      </w:tabs>
      <w:snapToGrid w:val="0"/>
      <w:jc w:val="left"/>
    </w:pPr>
    <w:rPr>
      <w:sz w:val="18"/>
      <w:szCs w:val="18"/>
    </w:rPr>
  </w:style>
  <w:style w:type="paragraph" w:styleId="8">
    <w:name w:val="header"/>
    <w:basedOn w:val="1"/>
    <w:link w:val="20"/>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annotation subject"/>
    <w:basedOn w:val="4"/>
    <w:next w:val="4"/>
    <w:link w:val="26"/>
    <w:semiHidden/>
    <w:unhideWhenUsed/>
    <w:qFormat/>
    <w:uiPriority w:val="99"/>
    <w:rPr>
      <w:b/>
      <w:bCs/>
    </w:rPr>
  </w:style>
  <w:style w:type="paragraph" w:styleId="11">
    <w:name w:val="Body Text First Indent 2"/>
    <w:basedOn w:val="5"/>
    <w:qFormat/>
    <w:uiPriority w:val="0"/>
    <w:pPr>
      <w:spacing w:after="0"/>
      <w:ind w:firstLine="420" w:firstLineChars="200"/>
    </w:pPr>
  </w:style>
  <w:style w:type="table" w:styleId="13">
    <w:name w:val="Table Grid"/>
    <w:basedOn w:val="12"/>
    <w:qFormat/>
    <w:lock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autoRedefine/>
    <w:qFormat/>
    <w:locked/>
    <w:uiPriority w:val="99"/>
    <w:rPr>
      <w:rFonts w:cs="Times New Roman"/>
      <w:b/>
      <w:bCs/>
    </w:rPr>
  </w:style>
  <w:style w:type="character" w:styleId="16">
    <w:name w:val="Hyperlink"/>
    <w:autoRedefine/>
    <w:unhideWhenUsed/>
    <w:qFormat/>
    <w:uiPriority w:val="99"/>
    <w:rPr>
      <w:color w:val="0000FF"/>
      <w:u w:val="single"/>
    </w:rPr>
  </w:style>
  <w:style w:type="character" w:styleId="17">
    <w:name w:val="annotation reference"/>
    <w:basedOn w:val="14"/>
    <w:semiHidden/>
    <w:unhideWhenUsed/>
    <w:qFormat/>
    <w:uiPriority w:val="99"/>
    <w:rPr>
      <w:sz w:val="21"/>
      <w:szCs w:val="21"/>
    </w:rPr>
  </w:style>
  <w:style w:type="character" w:customStyle="1" w:styleId="18">
    <w:name w:val="日期 字符"/>
    <w:link w:val="6"/>
    <w:semiHidden/>
    <w:qFormat/>
    <w:locked/>
    <w:uiPriority w:val="99"/>
    <w:rPr>
      <w:rFonts w:ascii="Calibri" w:hAnsi="Calibri" w:eastAsia="宋体" w:cs="Times New Roman"/>
      <w:sz w:val="24"/>
      <w:szCs w:val="24"/>
    </w:rPr>
  </w:style>
  <w:style w:type="character" w:customStyle="1" w:styleId="19">
    <w:name w:val="页脚 字符"/>
    <w:link w:val="7"/>
    <w:autoRedefine/>
    <w:qFormat/>
    <w:locked/>
    <w:uiPriority w:val="99"/>
    <w:rPr>
      <w:rFonts w:ascii="Calibri" w:hAnsi="Calibri" w:eastAsia="宋体" w:cs="Times New Roman"/>
      <w:sz w:val="18"/>
      <w:szCs w:val="18"/>
    </w:rPr>
  </w:style>
  <w:style w:type="character" w:customStyle="1" w:styleId="20">
    <w:name w:val="页眉 字符"/>
    <w:link w:val="8"/>
    <w:qFormat/>
    <w:locked/>
    <w:uiPriority w:val="99"/>
    <w:rPr>
      <w:rFonts w:ascii="Calibri" w:hAnsi="Calibri" w:eastAsia="宋体" w:cs="Times New Roman"/>
      <w:sz w:val="18"/>
      <w:szCs w:val="18"/>
    </w:rPr>
  </w:style>
  <w:style w:type="paragraph" w:customStyle="1" w:styleId="21">
    <w:name w:val="List Paragraph1"/>
    <w:basedOn w:val="1"/>
    <w:qFormat/>
    <w:uiPriority w:val="99"/>
    <w:pPr>
      <w:ind w:firstLine="420" w:firstLineChars="200"/>
    </w:pPr>
  </w:style>
  <w:style w:type="paragraph" w:customStyle="1" w:styleId="22">
    <w:name w:val="WPSOffice手动目录 1"/>
    <w:autoRedefine/>
    <w:qFormat/>
    <w:uiPriority w:val="99"/>
    <w:rPr>
      <w:rFonts w:ascii="等线" w:hAnsi="等线" w:eastAsia="等线" w:cs="Times New Roman"/>
      <w:lang w:val="en-US" w:eastAsia="zh-CN" w:bidi="ar-SA"/>
    </w:rPr>
  </w:style>
  <w:style w:type="character" w:customStyle="1" w:styleId="23">
    <w:name w:val="text-selectable"/>
    <w:qFormat/>
    <w:uiPriority w:val="99"/>
    <w:rPr>
      <w:rFonts w:cs="Times New Roman"/>
    </w:rPr>
  </w:style>
  <w:style w:type="character" w:customStyle="1" w:styleId="24">
    <w:name w:val="Unresolved Mention"/>
    <w:autoRedefine/>
    <w:semiHidden/>
    <w:unhideWhenUsed/>
    <w:qFormat/>
    <w:uiPriority w:val="99"/>
    <w:rPr>
      <w:color w:val="605E5C"/>
      <w:shd w:val="clear" w:color="auto" w:fill="E1DFDD"/>
    </w:rPr>
  </w:style>
  <w:style w:type="character" w:customStyle="1" w:styleId="25">
    <w:name w:val="批注文字 字符"/>
    <w:basedOn w:val="14"/>
    <w:link w:val="4"/>
    <w:qFormat/>
    <w:uiPriority w:val="99"/>
    <w:rPr>
      <w:rFonts w:ascii="Calibri" w:hAnsi="Calibri"/>
      <w:kern w:val="2"/>
      <w:sz w:val="21"/>
      <w:szCs w:val="24"/>
    </w:rPr>
  </w:style>
  <w:style w:type="character" w:customStyle="1" w:styleId="26">
    <w:name w:val="批注主题 字符"/>
    <w:basedOn w:val="25"/>
    <w:link w:val="10"/>
    <w:semiHidden/>
    <w:qFormat/>
    <w:uiPriority w:val="99"/>
    <w:rPr>
      <w:rFonts w:ascii="Calibri" w:hAnsi="Calibri"/>
      <w:b/>
      <w:bCs/>
      <w:kern w:val="2"/>
      <w:sz w:val="21"/>
      <w:szCs w:val="24"/>
    </w:rPr>
  </w:style>
  <w:style w:type="paragraph" w:customStyle="1" w:styleId="27">
    <w:name w:val="样式2"/>
    <w:basedOn w:val="2"/>
    <w:qFormat/>
    <w:uiPriority w:val="0"/>
    <w:rPr>
      <w:rFonts w:ascii="仿宋" w:hAnsi="仿宋" w:eastAsia="仿宋"/>
      <w:b w:val="0"/>
    </w:rPr>
  </w:style>
  <w:style w:type="paragraph" w:customStyle="1" w:styleId="28">
    <w:name w:val="样式1"/>
    <w:basedOn w:val="29"/>
    <w:autoRedefine/>
    <w:qFormat/>
    <w:uiPriority w:val="0"/>
    <w:pPr>
      <w:numPr>
        <w:ilvl w:val="0"/>
        <w:numId w:val="1"/>
      </w:numPr>
      <w:ind w:left="0" w:firstLine="0" w:firstLineChars="0"/>
      <w:outlineLvl w:val="0"/>
    </w:pPr>
    <w:rPr>
      <w:rFonts w:ascii="仿宋" w:hAnsi="仿宋" w:eastAsia="仿宋"/>
      <w:b/>
      <w:sz w:val="32"/>
      <w:szCs w:val="32"/>
    </w:rPr>
  </w:style>
  <w:style w:type="paragraph" w:styleId="2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2533</Words>
  <Characters>2631</Characters>
  <Lines>69</Lines>
  <Paragraphs>19</Paragraphs>
  <TotalTime>73</TotalTime>
  <ScaleCrop>false</ScaleCrop>
  <LinksUpToDate>false</LinksUpToDate>
  <CharactersWithSpaces>2701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2020-02-13T03:23:00Z</dcterms:created>
  <dc:creator>咕咕</dc:creator>
  <cp:lastModifiedBy>吴睿</cp:lastModifiedBy>
  <cp:lastPrinted>2024-12-20T07:11:00Z</cp:lastPrinted>
  <dcterms:modified xsi:type="dcterms:W3CDTF">2025-01-20T12:43:06Z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EF49B3BD61E84A42B167F62E07EBC044</vt:lpwstr>
  </property>
  <property fmtid="{D5CDD505-2E9C-101B-9397-08002B2CF9AE}" pid="4" name="KSOTemplateDocerSaveRecord">
    <vt:lpwstr>eyJoZGlkIjoiMDEyNjljNzQ1MDAzYTRmZDg1ZWMyNGRiNWUxOGJiYzUiLCJ1c2VySWQiOiIyMzA0MTY2MjcifQ==</vt:lpwstr>
  </property>
</Properties>
</file>