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C8C9BA">
      <w:pPr>
        <w:keepNext w:val="0"/>
        <w:keepLines w:val="0"/>
        <w:pageBreakBefore w:val="0"/>
        <w:widowControl w:val="0"/>
        <w:tabs>
          <w:tab w:val="left" w:pos="613"/>
        </w:tabs>
        <w:kinsoku/>
        <w:wordWrap/>
        <w:overflowPunct/>
        <w:topLinePunct w:val="0"/>
        <w:autoSpaceDE/>
        <w:autoSpaceDN/>
        <w:bidi w:val="0"/>
        <w:adjustRightInd/>
        <w:snapToGrid w:val="0"/>
        <w:spacing w:line="600" w:lineRule="exact"/>
        <w:contextualSpacing/>
        <w:jc w:val="center"/>
        <w:textAlignment w:val="auto"/>
        <w:rPr>
          <w:rFonts w:hint="eastAsia" w:ascii="方正小标宋简体" w:hAnsi="方正小标宋简体" w:eastAsia="方正小标宋简体" w:cs="方正小标宋简体"/>
          <w:b w:val="0"/>
          <w:bCs w:val="0"/>
          <w:sz w:val="44"/>
          <w:szCs w:val="44"/>
          <w:lang w:val="en-US" w:eastAsia="zh-CN"/>
        </w:rPr>
      </w:pPr>
    </w:p>
    <w:p w14:paraId="3FEA1A8B">
      <w:pPr>
        <w:keepNext w:val="0"/>
        <w:keepLines w:val="0"/>
        <w:pageBreakBefore w:val="0"/>
        <w:widowControl w:val="0"/>
        <w:tabs>
          <w:tab w:val="left" w:pos="613"/>
        </w:tabs>
        <w:kinsoku/>
        <w:wordWrap/>
        <w:overflowPunct/>
        <w:topLinePunct w:val="0"/>
        <w:autoSpaceDE/>
        <w:autoSpaceDN/>
        <w:bidi w:val="0"/>
        <w:adjustRightInd/>
        <w:snapToGrid w:val="0"/>
        <w:spacing w:line="600" w:lineRule="exact"/>
        <w:contextualSpacing/>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特殊情形一般事故调查报告</w:t>
      </w:r>
    </w:p>
    <w:p w14:paraId="3D68C026">
      <w:pPr>
        <w:keepNext w:val="0"/>
        <w:keepLines w:val="0"/>
        <w:pageBreakBefore w:val="0"/>
        <w:widowControl w:val="0"/>
        <w:tabs>
          <w:tab w:val="left" w:pos="613"/>
        </w:tabs>
        <w:kinsoku/>
        <w:wordWrap/>
        <w:overflowPunct/>
        <w:topLinePunct w:val="0"/>
        <w:autoSpaceDE/>
        <w:autoSpaceDN/>
        <w:bidi w:val="0"/>
        <w:adjustRightInd/>
        <w:snapToGrid w:val="0"/>
        <w:spacing w:line="600" w:lineRule="exact"/>
        <w:ind w:firstLine="360" w:firstLineChars="100"/>
        <w:contextualSpacing/>
        <w:jc w:val="center"/>
        <w:textAlignment w:val="auto"/>
        <w:rPr>
          <w:rFonts w:hint="eastAsia" w:ascii="方正小标宋简体" w:hAnsi="方正小标宋简体" w:eastAsia="方正小标宋简体" w:cs="方正小标宋简体"/>
          <w:b w:val="0"/>
          <w:bCs w:val="0"/>
          <w:sz w:val="36"/>
          <w:szCs w:val="36"/>
          <w:lang w:val="en-US" w:eastAsia="zh-CN"/>
        </w:rPr>
      </w:pPr>
    </w:p>
    <w:tbl>
      <w:tblPr>
        <w:tblStyle w:val="4"/>
        <w:tblW w:w="93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7"/>
        <w:gridCol w:w="1258"/>
        <w:gridCol w:w="761"/>
        <w:gridCol w:w="660"/>
        <w:gridCol w:w="675"/>
        <w:gridCol w:w="337"/>
        <w:gridCol w:w="855"/>
        <w:gridCol w:w="709"/>
        <w:gridCol w:w="1093"/>
        <w:gridCol w:w="2400"/>
      </w:tblGrid>
      <w:tr w14:paraId="42C32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905" w:type="dxa"/>
            <w:gridSpan w:val="2"/>
            <w:noWrap w:val="0"/>
            <w:vAlign w:val="center"/>
          </w:tcPr>
          <w:p w14:paraId="30317C2A">
            <w:pPr>
              <w:jc w:val="both"/>
              <w:rPr>
                <w:rFonts w:hint="eastAsia" w:ascii="仿宋_GB2312" w:hAnsi="仿宋_GB2312" w:eastAsia="仿宋_GB2312" w:cs="仿宋_GB2312"/>
              </w:rPr>
            </w:pPr>
            <w:r>
              <w:rPr>
                <w:rFonts w:hint="eastAsia" w:ascii="仿宋_GB2312" w:hAnsi="仿宋_GB2312" w:eastAsia="仿宋_GB2312" w:cs="仿宋_GB2312"/>
              </w:rPr>
              <w:t>事故时间</w:t>
            </w:r>
          </w:p>
        </w:tc>
        <w:tc>
          <w:tcPr>
            <w:tcW w:w="2433" w:type="dxa"/>
            <w:gridSpan w:val="4"/>
            <w:noWrap w:val="0"/>
            <w:vAlign w:val="center"/>
          </w:tcPr>
          <w:p w14:paraId="3D16B71D">
            <w:pPr>
              <w:jc w:val="both"/>
              <w:rPr>
                <w:rFonts w:hint="default" w:ascii="仿宋_GB2312" w:hAnsi="仿宋_GB2312" w:eastAsia="仿宋_GB2312" w:cs="仿宋_GB2312"/>
                <w:lang w:val="en-US" w:eastAsia="zh-CN"/>
              </w:rPr>
            </w:pPr>
            <w:r>
              <w:rPr>
                <w:rFonts w:hint="eastAsia" w:ascii="仿宋" w:hAnsi="仿宋" w:eastAsia="仿宋" w:cs="仿宋"/>
                <w:sz w:val="24"/>
                <w:szCs w:val="24"/>
                <w:lang w:val="en-US" w:eastAsia="zh-CN"/>
              </w:rPr>
              <w:t>2024年4月11日</w:t>
            </w:r>
          </w:p>
        </w:tc>
        <w:tc>
          <w:tcPr>
            <w:tcW w:w="1564" w:type="dxa"/>
            <w:gridSpan w:val="2"/>
            <w:noWrap w:val="0"/>
            <w:vAlign w:val="center"/>
          </w:tcPr>
          <w:p w14:paraId="6D2E3017">
            <w:pPr>
              <w:jc w:val="both"/>
              <w:rPr>
                <w:rFonts w:hint="eastAsia" w:ascii="仿宋_GB2312" w:hAnsi="仿宋_GB2312" w:eastAsia="仿宋_GB2312" w:cs="仿宋_GB2312"/>
              </w:rPr>
            </w:pPr>
            <w:r>
              <w:rPr>
                <w:rFonts w:hint="eastAsia" w:ascii="仿宋_GB2312" w:hAnsi="仿宋_GB2312" w:eastAsia="仿宋_GB2312" w:cs="仿宋_GB2312"/>
              </w:rPr>
              <w:t>事故地点</w:t>
            </w:r>
          </w:p>
        </w:tc>
        <w:tc>
          <w:tcPr>
            <w:tcW w:w="3493" w:type="dxa"/>
            <w:gridSpan w:val="2"/>
            <w:noWrap w:val="0"/>
            <w:vAlign w:val="center"/>
          </w:tcPr>
          <w:p w14:paraId="64D4C83C">
            <w:pPr>
              <w:jc w:val="both"/>
              <w:rPr>
                <w:rFonts w:hint="eastAsia" w:ascii="仿宋_GB2312" w:hAnsi="仿宋_GB2312" w:eastAsia="仿宋_GB2312" w:cs="仿宋_GB2312"/>
              </w:rPr>
            </w:pPr>
            <w:r>
              <w:rPr>
                <w:rFonts w:hint="eastAsia" w:ascii="仿宋" w:hAnsi="仿宋" w:eastAsia="仿宋" w:cs="仿宋"/>
                <w:sz w:val="24"/>
                <w:szCs w:val="24"/>
                <w:lang w:val="en-US" w:eastAsia="zh-CN"/>
              </w:rPr>
              <w:t>上海市静安区延长路149号</w:t>
            </w:r>
          </w:p>
        </w:tc>
      </w:tr>
      <w:tr w14:paraId="62872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1905" w:type="dxa"/>
            <w:gridSpan w:val="2"/>
            <w:noWrap w:val="0"/>
            <w:vAlign w:val="center"/>
          </w:tcPr>
          <w:p w14:paraId="2371AF34">
            <w:pPr>
              <w:jc w:val="both"/>
              <w:rPr>
                <w:rFonts w:hint="eastAsia" w:ascii="仿宋_GB2312" w:hAnsi="仿宋_GB2312" w:eastAsia="仿宋_GB2312" w:cs="仿宋_GB2312"/>
              </w:rPr>
            </w:pPr>
            <w:r>
              <w:rPr>
                <w:rFonts w:hint="eastAsia" w:ascii="仿宋_GB2312" w:hAnsi="仿宋_GB2312" w:eastAsia="仿宋_GB2312" w:cs="仿宋_GB2312"/>
              </w:rPr>
              <w:t>事故</w:t>
            </w:r>
            <w:r>
              <w:rPr>
                <w:rFonts w:hint="eastAsia" w:ascii="仿宋_GB2312" w:hAnsi="仿宋_GB2312" w:eastAsia="仿宋_GB2312" w:cs="仿宋_GB2312"/>
                <w:lang w:val="en-US" w:eastAsia="zh-CN"/>
              </w:rPr>
              <w:t>发生</w:t>
            </w:r>
            <w:r>
              <w:rPr>
                <w:rFonts w:hint="eastAsia" w:ascii="仿宋_GB2312" w:hAnsi="仿宋_GB2312" w:eastAsia="仿宋_GB2312" w:cs="仿宋_GB2312"/>
              </w:rPr>
              <w:t>单位</w:t>
            </w:r>
          </w:p>
        </w:tc>
        <w:tc>
          <w:tcPr>
            <w:tcW w:w="2433" w:type="dxa"/>
            <w:gridSpan w:val="4"/>
            <w:noWrap w:val="0"/>
            <w:vAlign w:val="center"/>
          </w:tcPr>
          <w:p w14:paraId="3DC232E7">
            <w:pPr>
              <w:jc w:val="both"/>
              <w:rPr>
                <w:rFonts w:hint="eastAsia" w:ascii="仿宋_GB2312" w:hAnsi="仿宋_GB2312" w:eastAsia="仿宋_GB2312" w:cs="仿宋_GB2312"/>
              </w:rPr>
            </w:pPr>
            <w:r>
              <w:rPr>
                <w:rFonts w:hint="eastAsia" w:ascii="仿宋" w:hAnsi="仿宋" w:eastAsia="仿宋" w:cs="仿宋"/>
                <w:sz w:val="24"/>
                <w:szCs w:val="24"/>
                <w:lang w:val="en-US" w:eastAsia="zh-CN"/>
              </w:rPr>
              <w:t>上海吉威电子系统工程有限公司</w:t>
            </w:r>
          </w:p>
        </w:tc>
        <w:tc>
          <w:tcPr>
            <w:tcW w:w="1564" w:type="dxa"/>
            <w:gridSpan w:val="2"/>
            <w:noWrap w:val="0"/>
            <w:vAlign w:val="center"/>
          </w:tcPr>
          <w:p w14:paraId="068C45EE">
            <w:pPr>
              <w:jc w:val="both"/>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注册地址</w:t>
            </w:r>
          </w:p>
        </w:tc>
        <w:tc>
          <w:tcPr>
            <w:tcW w:w="3493" w:type="dxa"/>
            <w:gridSpan w:val="2"/>
            <w:noWrap w:val="0"/>
            <w:vAlign w:val="center"/>
          </w:tcPr>
          <w:p w14:paraId="58318F78">
            <w:pPr>
              <w:jc w:val="both"/>
              <w:rPr>
                <w:rFonts w:hint="eastAsia" w:ascii="仿宋_GB2312" w:hAnsi="仿宋_GB2312" w:eastAsia="仿宋_GB2312" w:cs="仿宋_GB2312"/>
              </w:rPr>
            </w:pPr>
            <w:r>
              <w:rPr>
                <w:rFonts w:hint="eastAsia" w:ascii="仿宋" w:hAnsi="仿宋" w:eastAsia="仿宋" w:cs="仿宋"/>
                <w:sz w:val="24"/>
                <w:szCs w:val="24"/>
                <w:lang w:val="en-US" w:eastAsia="zh-CN"/>
              </w:rPr>
              <w:t>中国（上海）自由贸易试验区锦绣东路2777弄36号701-706室</w:t>
            </w:r>
          </w:p>
        </w:tc>
      </w:tr>
      <w:tr w14:paraId="07E5E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1905" w:type="dxa"/>
            <w:gridSpan w:val="2"/>
            <w:noWrap w:val="0"/>
            <w:vAlign w:val="center"/>
          </w:tcPr>
          <w:p w14:paraId="6E3CD0AB">
            <w:pPr>
              <w:jc w:val="both"/>
              <w:rPr>
                <w:rFonts w:hint="eastAsia" w:ascii="仿宋_GB2312" w:hAnsi="仿宋_GB2312" w:eastAsia="仿宋_GB2312" w:cs="仿宋_GB2312"/>
              </w:rPr>
            </w:pPr>
            <w:r>
              <w:rPr>
                <w:rFonts w:hint="eastAsia" w:ascii="仿宋_GB2312" w:hAnsi="仿宋_GB2312" w:eastAsia="仿宋_GB2312" w:cs="仿宋_GB2312"/>
                <w:sz w:val="21"/>
                <w:szCs w:val="21"/>
              </w:rPr>
              <w:t>统一社会信用代码</w:t>
            </w:r>
          </w:p>
        </w:tc>
        <w:tc>
          <w:tcPr>
            <w:tcW w:w="2433" w:type="dxa"/>
            <w:gridSpan w:val="4"/>
            <w:noWrap w:val="0"/>
            <w:vAlign w:val="center"/>
          </w:tcPr>
          <w:p w14:paraId="00270249">
            <w:pPr>
              <w:jc w:val="both"/>
              <w:rPr>
                <w:rFonts w:hint="eastAsia" w:ascii="仿宋_GB2312" w:hAnsi="仿宋_GB2312" w:eastAsia="仿宋_GB2312" w:cs="仿宋_GB2312"/>
              </w:rPr>
            </w:pPr>
            <w:r>
              <w:rPr>
                <w:rFonts w:hint="eastAsia" w:ascii="仿宋" w:hAnsi="仿宋" w:eastAsia="仿宋" w:cs="仿宋"/>
                <w:sz w:val="24"/>
                <w:szCs w:val="24"/>
                <w:lang w:val="en-US" w:eastAsia="zh-CN"/>
              </w:rPr>
              <w:t>913100007514647460</w:t>
            </w:r>
          </w:p>
        </w:tc>
        <w:tc>
          <w:tcPr>
            <w:tcW w:w="1564" w:type="dxa"/>
            <w:gridSpan w:val="2"/>
            <w:noWrap w:val="0"/>
            <w:vAlign w:val="center"/>
          </w:tcPr>
          <w:p w14:paraId="0D62A102">
            <w:pPr>
              <w:jc w:val="both"/>
              <w:rPr>
                <w:rFonts w:hint="eastAsia" w:ascii="仿宋_GB2312" w:hAnsi="仿宋_GB2312" w:eastAsia="仿宋_GB2312" w:cs="仿宋_GB2312"/>
              </w:rPr>
            </w:pPr>
            <w:r>
              <w:rPr>
                <w:rFonts w:hint="eastAsia" w:ascii="仿宋_GB2312" w:hAnsi="仿宋_GB2312" w:eastAsia="仿宋_GB2312" w:cs="仿宋_GB2312"/>
              </w:rPr>
              <w:t>事故类型</w:t>
            </w:r>
          </w:p>
        </w:tc>
        <w:tc>
          <w:tcPr>
            <w:tcW w:w="3493" w:type="dxa"/>
            <w:gridSpan w:val="2"/>
            <w:noWrap w:val="0"/>
            <w:vAlign w:val="center"/>
          </w:tcPr>
          <w:p w14:paraId="5F346D86">
            <w:pPr>
              <w:jc w:val="both"/>
              <w:rPr>
                <w:rFonts w:hint="eastAsia" w:ascii="仿宋_GB2312" w:hAnsi="仿宋_GB2312" w:eastAsia="仿宋_GB2312" w:cs="仿宋_GB2312"/>
                <w:lang w:eastAsia="zh-CN"/>
              </w:rPr>
            </w:pPr>
            <w:r>
              <w:rPr>
                <w:rFonts w:hint="eastAsia" w:ascii="仿宋" w:hAnsi="仿宋" w:eastAsia="仿宋" w:cs="仿宋"/>
                <w:sz w:val="24"/>
                <w:szCs w:val="24"/>
                <w:lang w:val="en-US" w:eastAsia="zh-CN"/>
              </w:rPr>
              <w:t>高处坠落</w:t>
            </w:r>
          </w:p>
        </w:tc>
      </w:tr>
      <w:tr w14:paraId="60376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47" w:type="dxa"/>
            <w:vMerge w:val="restart"/>
            <w:noWrap w:val="0"/>
            <w:vAlign w:val="center"/>
          </w:tcPr>
          <w:p w14:paraId="3A532985">
            <w:pPr>
              <w:jc w:val="both"/>
              <w:rPr>
                <w:rFonts w:hint="eastAsia" w:ascii="仿宋_GB2312" w:hAnsi="仿宋_GB2312" w:eastAsia="仿宋_GB2312" w:cs="仿宋_GB2312"/>
              </w:rPr>
            </w:pPr>
            <w:r>
              <w:rPr>
                <w:rFonts w:hint="eastAsia" w:ascii="仿宋_GB2312" w:hAnsi="仿宋_GB2312" w:eastAsia="仿宋_GB2312" w:cs="仿宋_GB2312"/>
              </w:rPr>
              <w:t>伤者信息</w:t>
            </w:r>
          </w:p>
        </w:tc>
        <w:tc>
          <w:tcPr>
            <w:tcW w:w="1258" w:type="dxa"/>
            <w:noWrap w:val="0"/>
            <w:vAlign w:val="center"/>
          </w:tcPr>
          <w:p w14:paraId="7BF0A253">
            <w:pPr>
              <w:jc w:val="both"/>
              <w:rPr>
                <w:rFonts w:hint="eastAsia" w:ascii="仿宋_GB2312" w:hAnsi="仿宋_GB2312" w:eastAsia="仿宋_GB2312" w:cs="仿宋_GB2312"/>
              </w:rPr>
            </w:pPr>
            <w:r>
              <w:rPr>
                <w:rFonts w:hint="eastAsia" w:ascii="仿宋_GB2312" w:hAnsi="仿宋_GB2312" w:eastAsia="仿宋_GB2312" w:cs="仿宋_GB2312"/>
              </w:rPr>
              <w:t>姓名</w:t>
            </w:r>
          </w:p>
        </w:tc>
        <w:tc>
          <w:tcPr>
            <w:tcW w:w="761" w:type="dxa"/>
            <w:noWrap w:val="0"/>
            <w:vAlign w:val="center"/>
          </w:tcPr>
          <w:p w14:paraId="5E542762">
            <w:pPr>
              <w:jc w:val="both"/>
              <w:rPr>
                <w:rFonts w:hint="eastAsia" w:ascii="仿宋_GB2312" w:hAnsi="仿宋_GB2312" w:eastAsia="仿宋_GB2312" w:cs="仿宋_GB2312"/>
              </w:rPr>
            </w:pPr>
            <w:r>
              <w:rPr>
                <w:rFonts w:hint="eastAsia" w:ascii="仿宋_GB2312" w:hAnsi="仿宋_GB2312" w:eastAsia="仿宋_GB2312" w:cs="仿宋_GB2312"/>
              </w:rPr>
              <w:t>年龄</w:t>
            </w:r>
          </w:p>
        </w:tc>
        <w:tc>
          <w:tcPr>
            <w:tcW w:w="660" w:type="dxa"/>
            <w:noWrap w:val="0"/>
            <w:vAlign w:val="center"/>
          </w:tcPr>
          <w:p w14:paraId="457F65B4">
            <w:pPr>
              <w:jc w:val="both"/>
              <w:rPr>
                <w:rFonts w:hint="eastAsia" w:ascii="仿宋_GB2312" w:hAnsi="仿宋_GB2312" w:eastAsia="仿宋_GB2312" w:cs="仿宋_GB2312"/>
              </w:rPr>
            </w:pPr>
            <w:r>
              <w:rPr>
                <w:rFonts w:hint="eastAsia" w:ascii="仿宋_GB2312" w:hAnsi="仿宋_GB2312" w:eastAsia="仿宋_GB2312" w:cs="仿宋_GB2312"/>
              </w:rPr>
              <w:t>性别</w:t>
            </w:r>
          </w:p>
        </w:tc>
        <w:tc>
          <w:tcPr>
            <w:tcW w:w="675" w:type="dxa"/>
            <w:noWrap w:val="0"/>
            <w:vAlign w:val="center"/>
          </w:tcPr>
          <w:p w14:paraId="78A6022E">
            <w:pPr>
              <w:jc w:val="both"/>
              <w:rPr>
                <w:rFonts w:hint="eastAsia" w:ascii="仿宋_GB2312" w:hAnsi="仿宋_GB2312" w:eastAsia="仿宋_GB2312" w:cs="仿宋_GB2312"/>
              </w:rPr>
            </w:pPr>
            <w:r>
              <w:rPr>
                <w:rFonts w:hint="eastAsia" w:ascii="仿宋_GB2312" w:hAnsi="仿宋_GB2312" w:eastAsia="仿宋_GB2312" w:cs="仿宋_GB2312"/>
              </w:rPr>
              <w:t>籍贯</w:t>
            </w:r>
          </w:p>
        </w:tc>
        <w:tc>
          <w:tcPr>
            <w:tcW w:w="2994" w:type="dxa"/>
            <w:gridSpan w:val="4"/>
            <w:noWrap w:val="0"/>
            <w:vAlign w:val="center"/>
          </w:tcPr>
          <w:p w14:paraId="2401C5F9">
            <w:pPr>
              <w:jc w:val="both"/>
              <w:rPr>
                <w:rFonts w:hint="eastAsia" w:ascii="仿宋_GB2312" w:hAnsi="仿宋_GB2312" w:eastAsia="仿宋_GB2312" w:cs="仿宋_GB2312"/>
              </w:rPr>
            </w:pPr>
            <w:r>
              <w:rPr>
                <w:rFonts w:hint="eastAsia" w:ascii="仿宋_GB2312" w:hAnsi="仿宋_GB2312" w:eastAsia="仿宋_GB2312" w:cs="仿宋_GB2312"/>
              </w:rPr>
              <w:t>身份证号码</w:t>
            </w:r>
          </w:p>
        </w:tc>
        <w:tc>
          <w:tcPr>
            <w:tcW w:w="2400" w:type="dxa"/>
            <w:noWrap w:val="0"/>
            <w:vAlign w:val="center"/>
          </w:tcPr>
          <w:p w14:paraId="50CFED0E">
            <w:pPr>
              <w:jc w:val="both"/>
              <w:rPr>
                <w:rFonts w:hint="eastAsia" w:ascii="仿宋_GB2312" w:hAnsi="仿宋_GB2312" w:eastAsia="仿宋_GB2312" w:cs="仿宋_GB2312"/>
              </w:rPr>
            </w:pPr>
            <w:r>
              <w:rPr>
                <w:rFonts w:hint="eastAsia" w:ascii="仿宋_GB2312" w:hAnsi="仿宋_GB2312" w:eastAsia="仿宋_GB2312" w:cs="仿宋_GB2312"/>
              </w:rPr>
              <w:t>所属单位</w:t>
            </w:r>
          </w:p>
        </w:tc>
      </w:tr>
      <w:tr w14:paraId="3989B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647" w:type="dxa"/>
            <w:vMerge w:val="continue"/>
            <w:noWrap w:val="0"/>
            <w:vAlign w:val="center"/>
          </w:tcPr>
          <w:p w14:paraId="3931EBD7">
            <w:pPr>
              <w:jc w:val="both"/>
              <w:rPr>
                <w:rFonts w:hint="eastAsia" w:ascii="仿宋_GB2312" w:hAnsi="仿宋_GB2312" w:eastAsia="仿宋_GB2312" w:cs="仿宋_GB2312"/>
              </w:rPr>
            </w:pPr>
          </w:p>
        </w:tc>
        <w:tc>
          <w:tcPr>
            <w:tcW w:w="1258" w:type="dxa"/>
            <w:noWrap w:val="0"/>
            <w:vAlign w:val="center"/>
          </w:tcPr>
          <w:p w14:paraId="64DE15EC">
            <w:pPr>
              <w:jc w:val="left"/>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吴**</w:t>
            </w:r>
          </w:p>
        </w:tc>
        <w:tc>
          <w:tcPr>
            <w:tcW w:w="761" w:type="dxa"/>
            <w:noWrap w:val="0"/>
            <w:vAlign w:val="center"/>
          </w:tcPr>
          <w:p w14:paraId="4234F052">
            <w:pPr>
              <w:jc w:val="left"/>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w:t>
            </w:r>
          </w:p>
        </w:tc>
        <w:tc>
          <w:tcPr>
            <w:tcW w:w="660" w:type="dxa"/>
            <w:noWrap w:val="0"/>
            <w:vAlign w:val="center"/>
          </w:tcPr>
          <w:p w14:paraId="0D93D6F7">
            <w:pPr>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男</w:t>
            </w:r>
          </w:p>
        </w:tc>
        <w:tc>
          <w:tcPr>
            <w:tcW w:w="675" w:type="dxa"/>
            <w:noWrap w:val="0"/>
            <w:vAlign w:val="center"/>
          </w:tcPr>
          <w:p w14:paraId="45841BFF">
            <w:pPr>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汉</w:t>
            </w:r>
          </w:p>
        </w:tc>
        <w:tc>
          <w:tcPr>
            <w:tcW w:w="2994" w:type="dxa"/>
            <w:gridSpan w:val="4"/>
            <w:noWrap w:val="0"/>
            <w:vAlign w:val="center"/>
          </w:tcPr>
          <w:p w14:paraId="14115572">
            <w:pPr>
              <w:jc w:val="left"/>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321025************</w:t>
            </w:r>
          </w:p>
        </w:tc>
        <w:tc>
          <w:tcPr>
            <w:tcW w:w="2400" w:type="dxa"/>
            <w:noWrap w:val="0"/>
            <w:vAlign w:val="center"/>
          </w:tcPr>
          <w:p w14:paraId="6E2B67FE">
            <w:pPr>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临时用工</w:t>
            </w:r>
          </w:p>
        </w:tc>
      </w:tr>
      <w:tr w14:paraId="6541B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647" w:type="dxa"/>
            <w:vMerge w:val="continue"/>
            <w:noWrap w:val="0"/>
            <w:vAlign w:val="center"/>
          </w:tcPr>
          <w:p w14:paraId="40D312A4">
            <w:pPr>
              <w:jc w:val="both"/>
              <w:rPr>
                <w:rFonts w:hint="eastAsia" w:ascii="仿宋_GB2312" w:hAnsi="仿宋_GB2312" w:eastAsia="仿宋_GB2312" w:cs="仿宋_GB2312"/>
              </w:rPr>
            </w:pPr>
          </w:p>
        </w:tc>
        <w:tc>
          <w:tcPr>
            <w:tcW w:w="1258" w:type="dxa"/>
            <w:noWrap w:val="0"/>
            <w:vAlign w:val="center"/>
          </w:tcPr>
          <w:p w14:paraId="4ABE061B">
            <w:pPr>
              <w:jc w:val="both"/>
              <w:rPr>
                <w:rFonts w:hint="eastAsia" w:ascii="仿宋_GB2312" w:hAnsi="仿宋_GB2312" w:eastAsia="仿宋_GB2312" w:cs="仿宋_GB2312"/>
              </w:rPr>
            </w:pPr>
          </w:p>
        </w:tc>
        <w:tc>
          <w:tcPr>
            <w:tcW w:w="761" w:type="dxa"/>
            <w:noWrap w:val="0"/>
            <w:vAlign w:val="center"/>
          </w:tcPr>
          <w:p w14:paraId="2C5ACE25">
            <w:pPr>
              <w:jc w:val="both"/>
              <w:rPr>
                <w:rFonts w:hint="eastAsia" w:ascii="仿宋_GB2312" w:hAnsi="仿宋_GB2312" w:eastAsia="仿宋_GB2312" w:cs="仿宋_GB2312"/>
              </w:rPr>
            </w:pPr>
          </w:p>
        </w:tc>
        <w:tc>
          <w:tcPr>
            <w:tcW w:w="660" w:type="dxa"/>
            <w:noWrap w:val="0"/>
            <w:vAlign w:val="center"/>
          </w:tcPr>
          <w:p w14:paraId="365EB94C">
            <w:pPr>
              <w:jc w:val="both"/>
              <w:rPr>
                <w:rFonts w:hint="eastAsia" w:ascii="仿宋_GB2312" w:hAnsi="仿宋_GB2312" w:eastAsia="仿宋_GB2312" w:cs="仿宋_GB2312"/>
              </w:rPr>
            </w:pPr>
          </w:p>
        </w:tc>
        <w:tc>
          <w:tcPr>
            <w:tcW w:w="675" w:type="dxa"/>
            <w:noWrap w:val="0"/>
            <w:vAlign w:val="center"/>
          </w:tcPr>
          <w:p w14:paraId="131F4844">
            <w:pPr>
              <w:jc w:val="both"/>
              <w:rPr>
                <w:rFonts w:hint="eastAsia" w:ascii="仿宋_GB2312" w:hAnsi="仿宋_GB2312" w:eastAsia="仿宋_GB2312" w:cs="仿宋_GB2312"/>
              </w:rPr>
            </w:pPr>
          </w:p>
        </w:tc>
        <w:tc>
          <w:tcPr>
            <w:tcW w:w="2994" w:type="dxa"/>
            <w:gridSpan w:val="4"/>
            <w:noWrap w:val="0"/>
            <w:vAlign w:val="center"/>
          </w:tcPr>
          <w:p w14:paraId="31CB529E">
            <w:pPr>
              <w:jc w:val="both"/>
              <w:rPr>
                <w:rFonts w:hint="eastAsia" w:ascii="仿宋_GB2312" w:hAnsi="仿宋_GB2312" w:eastAsia="仿宋_GB2312" w:cs="仿宋_GB2312"/>
              </w:rPr>
            </w:pPr>
          </w:p>
        </w:tc>
        <w:tc>
          <w:tcPr>
            <w:tcW w:w="2400" w:type="dxa"/>
            <w:noWrap w:val="0"/>
            <w:vAlign w:val="center"/>
          </w:tcPr>
          <w:p w14:paraId="0CA38F1F">
            <w:pPr>
              <w:jc w:val="both"/>
              <w:rPr>
                <w:rFonts w:hint="eastAsia" w:ascii="仿宋_GB2312" w:hAnsi="仿宋_GB2312" w:eastAsia="仿宋_GB2312" w:cs="仿宋_GB2312"/>
              </w:rPr>
            </w:pPr>
          </w:p>
        </w:tc>
      </w:tr>
      <w:tr w14:paraId="71631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jc w:val="center"/>
        </w:trPr>
        <w:tc>
          <w:tcPr>
            <w:tcW w:w="647" w:type="dxa"/>
            <w:noWrap w:val="0"/>
            <w:vAlign w:val="center"/>
          </w:tcPr>
          <w:p w14:paraId="53018411">
            <w:pPr>
              <w:jc w:val="both"/>
              <w:rPr>
                <w:rFonts w:hint="eastAsia" w:ascii="仿宋_GB2312" w:hAnsi="仿宋_GB2312" w:eastAsia="仿宋_GB2312" w:cs="仿宋_GB2312"/>
                <w:lang w:eastAsia="zh-CN"/>
              </w:rPr>
            </w:pPr>
            <w:r>
              <w:rPr>
                <w:rFonts w:hint="eastAsia" w:ascii="仿宋_GB2312" w:hAnsi="仿宋_GB2312" w:eastAsia="仿宋_GB2312" w:cs="仿宋_GB2312"/>
                <w:lang w:eastAsia="zh-CN"/>
              </w:rPr>
              <w:t>伤情鉴定结论</w:t>
            </w:r>
          </w:p>
        </w:tc>
        <w:tc>
          <w:tcPr>
            <w:tcW w:w="4546" w:type="dxa"/>
            <w:gridSpan w:val="6"/>
            <w:noWrap w:val="0"/>
            <w:vAlign w:val="center"/>
          </w:tcPr>
          <w:p w14:paraId="01F66DB1">
            <w:pPr>
              <w:jc w:val="both"/>
              <w:rPr>
                <w:rFonts w:hint="default" w:ascii="仿宋_GB2312" w:hAnsi="仿宋_GB2312" w:eastAsia="仿宋_GB2312" w:cs="仿宋_GB2312"/>
                <w:lang w:val="en-US" w:eastAsia="zh-CN"/>
              </w:rPr>
            </w:pPr>
            <w:r>
              <w:rPr>
                <w:rFonts w:hint="eastAsia" w:ascii="仿宋" w:hAnsi="仿宋" w:eastAsia="仿宋" w:cs="仿宋"/>
                <w:sz w:val="24"/>
                <w:szCs w:val="24"/>
                <w:lang w:val="en-US" w:eastAsia="zh-CN"/>
              </w:rPr>
              <w:t>被鉴定人吴**本次事故伤害的损失工作日已达105日，企业职工伤害程度评定为重伤。</w:t>
            </w:r>
          </w:p>
        </w:tc>
        <w:tc>
          <w:tcPr>
            <w:tcW w:w="1802" w:type="dxa"/>
            <w:gridSpan w:val="2"/>
            <w:noWrap w:val="0"/>
            <w:vAlign w:val="center"/>
          </w:tcPr>
          <w:p w14:paraId="3F7C0FBB">
            <w:pPr>
              <w:jc w:val="both"/>
              <w:rPr>
                <w:rFonts w:hint="eastAsia" w:ascii="仿宋_GB2312" w:hAnsi="仿宋_GB2312" w:eastAsia="仿宋_GB2312" w:cs="仿宋_GB2312"/>
                <w:lang w:eastAsia="zh-CN"/>
              </w:rPr>
            </w:pPr>
            <w:r>
              <w:rPr>
                <w:rFonts w:hint="eastAsia" w:ascii="仿宋_GB2312" w:hAnsi="仿宋_GB2312" w:eastAsia="仿宋_GB2312" w:cs="仿宋_GB2312"/>
                <w:lang w:eastAsia="zh-CN"/>
              </w:rPr>
              <w:t>伤情鉴定单位</w:t>
            </w:r>
          </w:p>
          <w:p w14:paraId="0E7239FD">
            <w:pPr>
              <w:jc w:val="both"/>
              <w:rPr>
                <w:rFonts w:hint="eastAsia" w:ascii="仿宋_GB2312" w:hAnsi="仿宋_GB2312" w:eastAsia="仿宋_GB2312" w:cs="仿宋_GB2312"/>
                <w:lang w:eastAsia="zh-CN"/>
              </w:rPr>
            </w:pPr>
            <w:r>
              <w:rPr>
                <w:rFonts w:hint="eastAsia" w:ascii="仿宋_GB2312" w:hAnsi="仿宋_GB2312" w:eastAsia="仿宋_GB2312" w:cs="仿宋_GB2312"/>
                <w:lang w:eastAsia="zh-CN"/>
              </w:rPr>
              <w:t>（需具有国家规定资质）</w:t>
            </w:r>
          </w:p>
        </w:tc>
        <w:tc>
          <w:tcPr>
            <w:tcW w:w="2400" w:type="dxa"/>
            <w:noWrap w:val="0"/>
            <w:vAlign w:val="center"/>
          </w:tcPr>
          <w:p w14:paraId="140DF007">
            <w:pPr>
              <w:jc w:val="center"/>
              <w:rPr>
                <w:rFonts w:hint="default" w:ascii="仿宋_GB2312" w:hAnsi="仿宋_GB2312" w:eastAsia="仿宋_GB2312" w:cs="仿宋_GB2312"/>
                <w:lang w:val="en-US" w:eastAsia="zh-CN"/>
              </w:rPr>
            </w:pPr>
            <w:r>
              <w:rPr>
                <w:rFonts w:hint="eastAsia" w:ascii="仿宋" w:hAnsi="仿宋" w:eastAsia="仿宋" w:cs="仿宋"/>
                <w:sz w:val="24"/>
                <w:szCs w:val="24"/>
                <w:lang w:val="en-US" w:eastAsia="zh-CN"/>
              </w:rPr>
              <w:t>司法鉴定科学研究院</w:t>
            </w:r>
          </w:p>
        </w:tc>
      </w:tr>
      <w:tr w14:paraId="54705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1905" w:type="dxa"/>
            <w:gridSpan w:val="2"/>
            <w:noWrap w:val="0"/>
            <w:vAlign w:val="center"/>
          </w:tcPr>
          <w:p w14:paraId="0CA6CC91">
            <w:pPr>
              <w:jc w:val="both"/>
              <w:rPr>
                <w:rFonts w:hint="eastAsia" w:ascii="仿宋_GB2312" w:hAnsi="仿宋_GB2312" w:eastAsia="仿宋_GB2312" w:cs="仿宋_GB2312"/>
              </w:rPr>
            </w:pPr>
            <w:r>
              <w:rPr>
                <w:rFonts w:hint="eastAsia" w:ascii="仿宋_GB2312" w:hAnsi="仿宋_GB2312" w:eastAsia="仿宋_GB2312" w:cs="仿宋_GB2312"/>
              </w:rPr>
              <w:t>事故基本情况</w:t>
            </w:r>
            <w:r>
              <w:rPr>
                <w:rFonts w:hint="eastAsia" w:ascii="仿宋_GB2312" w:hAnsi="仿宋_GB2312" w:eastAsia="仿宋_GB2312" w:cs="仿宋_GB2312"/>
                <w:lang w:val="en-US" w:eastAsia="zh-CN"/>
              </w:rPr>
              <w:t>及事故性质</w:t>
            </w:r>
            <w:r>
              <w:rPr>
                <w:rFonts w:hint="eastAsia" w:ascii="仿宋_GB2312" w:hAnsi="仿宋_GB2312" w:eastAsia="仿宋_GB2312" w:cs="仿宋_GB2312"/>
              </w:rPr>
              <w:t xml:space="preserve">   </w:t>
            </w:r>
          </w:p>
        </w:tc>
        <w:tc>
          <w:tcPr>
            <w:tcW w:w="7490" w:type="dxa"/>
            <w:gridSpan w:val="8"/>
            <w:noWrap w:val="0"/>
            <w:vAlign w:val="center"/>
          </w:tcPr>
          <w:p w14:paraId="3841172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仿宋_GB2312" w:hAnsi="仿宋_GB2312" w:eastAsia="仿宋_GB2312" w:cs="仿宋_GB2312"/>
                <w:lang w:val="en-US" w:eastAsia="zh-CN"/>
              </w:rPr>
            </w:pPr>
            <w:bookmarkStart w:id="0" w:name="tiao_30_kuan_1_xiang_5"/>
            <w:bookmarkEnd w:id="0"/>
            <w:r>
              <w:rPr>
                <w:rFonts w:hint="eastAsia" w:ascii="仿宋" w:hAnsi="仿宋" w:eastAsia="仿宋" w:cs="仿宋"/>
                <w:sz w:val="24"/>
                <w:szCs w:val="24"/>
                <w:lang w:val="en-US" w:eastAsia="zh-CN"/>
              </w:rPr>
              <w:t>2024年12月18日，接安全生产举报件，静安区上海大学延长路校区发生一起生产安全事故，事故造成一人重伤。</w:t>
            </w:r>
          </w:p>
        </w:tc>
      </w:tr>
      <w:tr w14:paraId="6489D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1905" w:type="dxa"/>
            <w:gridSpan w:val="2"/>
            <w:noWrap w:val="0"/>
            <w:vAlign w:val="center"/>
          </w:tcPr>
          <w:p w14:paraId="254B372D">
            <w:pPr>
              <w:jc w:val="both"/>
              <w:rPr>
                <w:rFonts w:hint="eastAsia" w:ascii="仿宋_GB2312" w:hAnsi="仿宋_GB2312" w:eastAsia="仿宋_GB2312" w:cs="仿宋_GB2312"/>
              </w:rPr>
            </w:pPr>
            <w:r>
              <w:rPr>
                <w:rFonts w:hint="eastAsia" w:ascii="仿宋_GB2312" w:hAnsi="仿宋_GB2312" w:eastAsia="仿宋_GB2312" w:cs="仿宋_GB2312"/>
              </w:rPr>
              <w:t>事故发生单位</w:t>
            </w:r>
          </w:p>
          <w:p w14:paraId="3047D4DE">
            <w:pPr>
              <w:jc w:val="both"/>
              <w:rPr>
                <w:rFonts w:hint="eastAsia" w:ascii="仿宋_GB2312" w:hAnsi="仿宋_GB2312" w:eastAsia="仿宋_GB2312" w:cs="仿宋_GB2312"/>
                <w:lang w:eastAsia="zh-CN"/>
              </w:rPr>
            </w:pPr>
            <w:r>
              <w:rPr>
                <w:rFonts w:hint="eastAsia" w:ascii="仿宋_GB2312" w:hAnsi="仿宋_GB2312" w:eastAsia="仿宋_GB2312" w:cs="仿宋_GB2312"/>
              </w:rPr>
              <w:t>概况</w:t>
            </w:r>
          </w:p>
        </w:tc>
        <w:tc>
          <w:tcPr>
            <w:tcW w:w="7490" w:type="dxa"/>
            <w:gridSpan w:val="8"/>
            <w:noWrap w:val="0"/>
            <w:vAlign w:val="center"/>
          </w:tcPr>
          <w:p w14:paraId="446800A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发包单位：上海大学。</w:t>
            </w:r>
          </w:p>
          <w:p w14:paraId="4241310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施工单位：上海吉威电子系统工程有限公司（以下简称吉威公司），法定代表人高新明，注册资本美元1761.9万，公司类型为有限责任公司(外国法人独资)，成立时间2003年6月30日。建筑业企业资质证书：机电工程施工总承包一级。</w:t>
            </w:r>
          </w:p>
          <w:p w14:paraId="40E1E60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sz w:val="24"/>
                <w:szCs w:val="24"/>
                <w:lang w:eastAsia="zh-CN"/>
              </w:rPr>
            </w:pPr>
            <w:r>
              <w:rPr>
                <w:rFonts w:hint="eastAsia" w:ascii="仿宋" w:hAnsi="仿宋" w:eastAsia="仿宋" w:cs="仿宋"/>
                <w:sz w:val="24"/>
                <w:szCs w:val="24"/>
                <w:lang w:val="en-US" w:eastAsia="zh-CN"/>
              </w:rPr>
              <w:t>劳务单位：泰州润蒙机电安装有限公司（以下简称润蒙公司），法定代表人朱春芳，注册资本人民币500万元，公司类型为有限责任公司（自然人独资），成立时间2020年6月4日。经营范围：各类工程建设活动;消防设施工程;住宅室内装饰装修;施工专业作业;房屋建筑和市政基础设施项目工程总承包;建筑劳务分包。</w:t>
            </w:r>
          </w:p>
        </w:tc>
      </w:tr>
      <w:tr w14:paraId="35A99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1905" w:type="dxa"/>
            <w:gridSpan w:val="2"/>
            <w:noWrap w:val="0"/>
            <w:vAlign w:val="center"/>
          </w:tcPr>
          <w:p w14:paraId="6BDC2503">
            <w:pPr>
              <w:jc w:val="both"/>
              <w:rPr>
                <w:rFonts w:hint="eastAsia" w:ascii="仿宋_GB2312" w:hAnsi="仿宋_GB2312" w:eastAsia="仿宋_GB2312" w:cs="仿宋_GB2312"/>
              </w:rPr>
            </w:pPr>
            <w:r>
              <w:rPr>
                <w:rFonts w:hint="eastAsia" w:ascii="仿宋_GB2312" w:hAnsi="仿宋_GB2312" w:eastAsia="仿宋_GB2312" w:cs="仿宋_GB2312"/>
              </w:rPr>
              <w:t>事故发生经过和事故救援情况</w:t>
            </w:r>
          </w:p>
        </w:tc>
        <w:tc>
          <w:tcPr>
            <w:tcW w:w="7490" w:type="dxa"/>
            <w:gridSpan w:val="8"/>
            <w:noWrap w:val="0"/>
            <w:vAlign w:val="center"/>
          </w:tcPr>
          <w:p w14:paraId="0B272FA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sz w:val="24"/>
                <w:szCs w:val="24"/>
              </w:rPr>
            </w:pPr>
            <w:r>
              <w:rPr>
                <w:rFonts w:hint="default" w:ascii="仿宋" w:hAnsi="仿宋" w:eastAsia="仿宋" w:cs="仿宋"/>
                <w:sz w:val="24"/>
                <w:szCs w:val="24"/>
                <w:lang w:val="en-US" w:eastAsia="zh-CN"/>
              </w:rPr>
              <w:t>吉威公司承揽上海大学延长校区美术学院组团制冷空调设备及其配套材料工程项目，项目施工劳务发包给润蒙公司。</w:t>
            </w:r>
            <w:r>
              <w:rPr>
                <w:rFonts w:hint="eastAsia" w:ascii="仿宋" w:hAnsi="仿宋" w:eastAsia="仿宋" w:cs="仿宋"/>
                <w:sz w:val="24"/>
                <w:szCs w:val="24"/>
                <w:lang w:val="en-US" w:eastAsia="zh-CN"/>
              </w:rPr>
              <w:t>2024年4月11日下午2时许，在上海大学延长路校区美术学院</w:t>
            </w:r>
            <w:r>
              <w:rPr>
                <w:rFonts w:hint="default" w:ascii="仿宋" w:hAnsi="仿宋" w:eastAsia="仿宋" w:cs="仿宋"/>
                <w:sz w:val="24"/>
                <w:szCs w:val="24"/>
                <w:lang w:val="en-US" w:eastAsia="zh-CN"/>
              </w:rPr>
              <w:t>，吉威公司</w:t>
            </w:r>
            <w:r>
              <w:rPr>
                <w:rFonts w:hint="eastAsia" w:ascii="仿宋" w:hAnsi="仿宋" w:eastAsia="仿宋" w:cs="仿宋"/>
                <w:sz w:val="24"/>
                <w:szCs w:val="24"/>
                <w:lang w:val="en-US" w:eastAsia="zh-CN"/>
              </w:rPr>
              <w:t>安排吴**在2楼过道</w:t>
            </w:r>
            <w:r>
              <w:rPr>
                <w:rFonts w:hint="default" w:ascii="仿宋" w:hAnsi="仿宋" w:eastAsia="仿宋" w:cs="仿宋"/>
                <w:sz w:val="24"/>
                <w:szCs w:val="24"/>
                <w:lang w:val="en-US" w:eastAsia="zh-CN"/>
              </w:rPr>
              <w:t>吊顶的综合管道上放电缆线，</w:t>
            </w:r>
            <w:r>
              <w:rPr>
                <w:rFonts w:hint="eastAsia" w:ascii="仿宋" w:hAnsi="仿宋" w:eastAsia="仿宋" w:cs="仿宋"/>
                <w:sz w:val="24"/>
                <w:szCs w:val="24"/>
                <w:lang w:val="en-US" w:eastAsia="zh-CN"/>
              </w:rPr>
              <w:t>该处层高3米左右</w:t>
            </w:r>
            <w:r>
              <w:rPr>
                <w:rFonts w:hint="default" w:ascii="仿宋" w:hAnsi="仿宋" w:eastAsia="仿宋" w:cs="仿宋"/>
                <w:sz w:val="24"/>
                <w:szCs w:val="24"/>
                <w:lang w:val="en-US" w:eastAsia="zh-CN"/>
              </w:rPr>
              <w:t>，</w:t>
            </w:r>
            <w:r>
              <w:rPr>
                <w:rFonts w:hint="eastAsia" w:ascii="仿宋" w:hAnsi="仿宋" w:eastAsia="仿宋" w:cs="仿宋"/>
                <w:sz w:val="24"/>
                <w:szCs w:val="24"/>
                <w:lang w:val="en-US" w:eastAsia="zh-CN"/>
              </w:rPr>
              <w:t>吴**驾驶登高</w:t>
            </w:r>
            <w:r>
              <w:rPr>
                <w:rFonts w:hint="default" w:ascii="仿宋" w:hAnsi="仿宋" w:eastAsia="仿宋" w:cs="仿宋"/>
                <w:sz w:val="24"/>
                <w:szCs w:val="24"/>
                <w:lang w:val="en-US" w:eastAsia="zh-CN"/>
              </w:rPr>
              <w:t>升降</w:t>
            </w:r>
            <w:r>
              <w:rPr>
                <w:rFonts w:hint="eastAsia" w:ascii="仿宋" w:hAnsi="仿宋" w:eastAsia="仿宋" w:cs="仿宋"/>
                <w:sz w:val="24"/>
                <w:szCs w:val="24"/>
                <w:lang w:val="en-US" w:eastAsia="zh-CN"/>
              </w:rPr>
              <w:t>车，开到电缆桥架</w:t>
            </w:r>
            <w:r>
              <w:rPr>
                <w:rFonts w:hint="default" w:ascii="仿宋" w:hAnsi="仿宋" w:eastAsia="仿宋" w:cs="仿宋"/>
                <w:sz w:val="24"/>
                <w:szCs w:val="24"/>
                <w:lang w:val="en-US" w:eastAsia="zh-CN"/>
              </w:rPr>
              <w:t>处</w:t>
            </w:r>
            <w:r>
              <w:rPr>
                <w:rFonts w:hint="eastAsia" w:ascii="仿宋" w:hAnsi="仿宋" w:eastAsia="仿宋" w:cs="仿宋"/>
                <w:sz w:val="24"/>
                <w:szCs w:val="24"/>
                <w:lang w:val="en-US" w:eastAsia="zh-CN"/>
              </w:rPr>
              <w:t>，然后攀爬至桥架上方，站在桥架上进行穿线。因移动过程中，吴**觉得不方便，擅自解开</w:t>
            </w:r>
            <w:r>
              <w:rPr>
                <w:rFonts w:hint="default" w:ascii="仿宋" w:hAnsi="仿宋" w:eastAsia="仿宋" w:cs="仿宋"/>
                <w:sz w:val="24"/>
                <w:szCs w:val="24"/>
                <w:lang w:val="en-US" w:eastAsia="zh-CN"/>
              </w:rPr>
              <w:t>安全带</w:t>
            </w:r>
            <w:r>
              <w:rPr>
                <w:rFonts w:hint="eastAsia" w:ascii="仿宋" w:hAnsi="仿宋" w:eastAsia="仿宋" w:cs="仿宋"/>
                <w:sz w:val="24"/>
                <w:szCs w:val="24"/>
                <w:lang w:val="en-US" w:eastAsia="zh-CN"/>
              </w:rPr>
              <w:t>移动</w:t>
            </w:r>
            <w:r>
              <w:rPr>
                <w:rFonts w:hint="default" w:ascii="仿宋" w:hAnsi="仿宋" w:eastAsia="仿宋" w:cs="仿宋"/>
                <w:sz w:val="24"/>
                <w:szCs w:val="24"/>
                <w:lang w:val="en-US" w:eastAsia="zh-CN"/>
              </w:rPr>
              <w:t>，</w:t>
            </w:r>
            <w:r>
              <w:rPr>
                <w:rFonts w:hint="eastAsia" w:ascii="仿宋" w:hAnsi="仿宋" w:eastAsia="仿宋" w:cs="仿宋"/>
                <w:sz w:val="24"/>
                <w:szCs w:val="24"/>
                <w:lang w:val="en-US" w:eastAsia="zh-CN"/>
              </w:rPr>
              <w:t>一边穿线，一边在桥架上</w:t>
            </w:r>
            <w:r>
              <w:rPr>
                <w:rFonts w:hint="default" w:ascii="仿宋" w:hAnsi="仿宋" w:eastAsia="仿宋" w:cs="仿宋"/>
                <w:sz w:val="24"/>
                <w:szCs w:val="24"/>
                <w:lang w:val="en-US" w:eastAsia="zh-CN"/>
              </w:rPr>
              <w:t>走动</w:t>
            </w:r>
            <w:r>
              <w:rPr>
                <w:rFonts w:hint="eastAsia" w:ascii="仿宋" w:hAnsi="仿宋" w:eastAsia="仿宋" w:cs="仿宋"/>
                <w:sz w:val="24"/>
                <w:szCs w:val="24"/>
                <w:lang w:val="en-US" w:eastAsia="zh-CN"/>
              </w:rPr>
              <w:t>，在移动过程中吴**从桥架上跌落受伤。事发后，吴**被送至第十人民医院救治。经诊断，吴**胸12椎体压缩性骨折。吉威公司、润蒙公司与吴**积极协商，</w:t>
            </w:r>
            <w:r>
              <w:rPr>
                <w:rFonts w:hint="default" w:ascii="仿宋" w:hAnsi="仿宋" w:eastAsia="仿宋" w:cs="仿宋"/>
                <w:sz w:val="24"/>
                <w:szCs w:val="24"/>
                <w:lang w:val="en-US" w:eastAsia="zh-CN"/>
              </w:rPr>
              <w:t>支付</w:t>
            </w:r>
            <w:r>
              <w:rPr>
                <w:rFonts w:hint="eastAsia" w:ascii="仿宋" w:hAnsi="仿宋" w:eastAsia="仿宋" w:cs="仿宋"/>
                <w:sz w:val="24"/>
                <w:szCs w:val="24"/>
                <w:lang w:val="en-US" w:eastAsia="zh-CN"/>
              </w:rPr>
              <w:t>了手术治疗费用及</w:t>
            </w:r>
            <w:r>
              <w:rPr>
                <w:rFonts w:hint="default" w:ascii="仿宋" w:hAnsi="仿宋" w:eastAsia="仿宋" w:cs="仿宋"/>
                <w:sz w:val="24"/>
                <w:szCs w:val="24"/>
                <w:lang w:val="en-US" w:eastAsia="zh-CN"/>
              </w:rPr>
              <w:t>后续</w:t>
            </w:r>
            <w:r>
              <w:rPr>
                <w:rFonts w:hint="eastAsia" w:ascii="仿宋" w:hAnsi="仿宋" w:eastAsia="仿宋" w:cs="仿宋"/>
                <w:sz w:val="24"/>
                <w:szCs w:val="24"/>
                <w:lang w:val="en-US" w:eastAsia="zh-CN"/>
              </w:rPr>
              <w:t>赔偿费用。目前吴**已复工。</w:t>
            </w:r>
          </w:p>
        </w:tc>
      </w:tr>
      <w:tr w14:paraId="640E5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1905" w:type="dxa"/>
            <w:gridSpan w:val="2"/>
            <w:noWrap w:val="0"/>
            <w:vAlign w:val="center"/>
          </w:tcPr>
          <w:p w14:paraId="1AA93511">
            <w:pPr>
              <w:jc w:val="both"/>
              <w:rPr>
                <w:rFonts w:hint="eastAsia" w:ascii="仿宋_GB2312" w:hAnsi="仿宋_GB2312" w:eastAsia="仿宋_GB2312" w:cs="仿宋_GB2312"/>
              </w:rPr>
            </w:pPr>
            <w:r>
              <w:rPr>
                <w:rFonts w:hint="eastAsia" w:ascii="仿宋_GB2312" w:hAnsi="仿宋_GB2312" w:eastAsia="仿宋_GB2312" w:cs="仿宋_GB2312"/>
              </w:rPr>
              <w:t>事故造成的人员伤亡和直接经济损失</w:t>
            </w:r>
          </w:p>
        </w:tc>
        <w:tc>
          <w:tcPr>
            <w:tcW w:w="7490" w:type="dxa"/>
            <w:gridSpan w:val="8"/>
            <w:noWrap w:val="0"/>
            <w:vAlign w:val="center"/>
          </w:tcPr>
          <w:p w14:paraId="24D99A8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重伤一人，伤者吴**（户籍地址为江苏省泰兴市****）。</w:t>
            </w:r>
          </w:p>
          <w:p w14:paraId="7646F033">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sz w:val="24"/>
                <w:szCs w:val="24"/>
                <w:lang w:val="en-US" w:eastAsia="zh-CN"/>
              </w:rPr>
            </w:pPr>
            <w:r>
              <w:rPr>
                <w:rFonts w:hint="eastAsia" w:ascii="仿宋" w:hAnsi="仿宋" w:eastAsia="仿宋" w:cs="仿宋"/>
                <w:sz w:val="24"/>
                <w:szCs w:val="24"/>
                <w:lang w:val="en-US" w:eastAsia="zh-CN"/>
              </w:rPr>
              <w:t>约人民币50万元，主要包括支付伤者的医疗费、部分事故善后处理事务性费用等。</w:t>
            </w:r>
          </w:p>
        </w:tc>
      </w:tr>
      <w:tr w14:paraId="6FCA0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1905" w:type="dxa"/>
            <w:gridSpan w:val="2"/>
            <w:noWrap w:val="0"/>
            <w:vAlign w:val="center"/>
          </w:tcPr>
          <w:p w14:paraId="0096D66A">
            <w:pPr>
              <w:jc w:val="both"/>
              <w:rPr>
                <w:rFonts w:hint="eastAsia" w:ascii="仿宋_GB2312" w:hAnsi="仿宋_GB2312" w:eastAsia="仿宋_GB2312" w:cs="仿宋_GB2312"/>
                <w:lang w:val="en-US" w:eastAsia="zh-CN"/>
              </w:rPr>
            </w:pPr>
            <w:r>
              <w:rPr>
                <w:rFonts w:hint="eastAsia" w:ascii="仿宋_GB2312" w:hAnsi="仿宋_GB2312" w:eastAsia="仿宋_GB2312" w:cs="仿宋_GB2312"/>
              </w:rPr>
              <w:t>事故发生的原因</w:t>
            </w:r>
            <w:r>
              <w:rPr>
                <w:rFonts w:hint="eastAsia" w:ascii="仿宋_GB2312" w:hAnsi="仿宋_GB2312" w:eastAsia="仿宋_GB2312" w:cs="仿宋_GB2312"/>
                <w:lang w:val="en-US" w:eastAsia="zh-CN"/>
              </w:rPr>
              <w:t>及其他问题</w:t>
            </w:r>
          </w:p>
        </w:tc>
        <w:tc>
          <w:tcPr>
            <w:tcW w:w="7490" w:type="dxa"/>
            <w:gridSpan w:val="8"/>
            <w:noWrap w:val="0"/>
            <w:vAlign w:val="center"/>
          </w:tcPr>
          <w:p w14:paraId="78C6322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事故发生直接原因：作业人员吴**（自然人）安全意识淡薄，违反操作规程进行高处作业，不具备涉事作业所需的资格，未佩戴、使用符合国家标准或行业标准的劳动防护用品。</w:t>
            </w:r>
          </w:p>
          <w:p w14:paraId="47C17D8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rPr>
            </w:pPr>
            <w:r>
              <w:rPr>
                <w:rFonts w:hint="eastAsia" w:ascii="仿宋" w:hAnsi="仿宋" w:eastAsia="仿宋" w:cs="仿宋"/>
                <w:sz w:val="24"/>
                <w:szCs w:val="24"/>
                <w:lang w:val="en-US" w:eastAsia="zh-CN"/>
              </w:rPr>
              <w:t>事故发生间接原因：吉威公司项目经理马书林未落实生产经营单位项目负责人安全生产工作职责，</w:t>
            </w:r>
            <w:r>
              <w:rPr>
                <w:rFonts w:hint="default" w:ascii="仿宋" w:hAnsi="仿宋" w:eastAsia="仿宋" w:cs="仿宋"/>
                <w:sz w:val="24"/>
                <w:szCs w:val="24"/>
                <w:lang w:val="en-US" w:eastAsia="zh-CN"/>
              </w:rPr>
              <w:t>未</w:t>
            </w:r>
            <w:r>
              <w:rPr>
                <w:rFonts w:hint="eastAsia" w:ascii="仿宋" w:hAnsi="仿宋" w:eastAsia="仿宋" w:cs="仿宋"/>
                <w:sz w:val="24"/>
                <w:szCs w:val="24"/>
                <w:lang w:val="en-US" w:eastAsia="zh-CN"/>
              </w:rPr>
              <w:t>督促、检查安全生产工作，未及时排查项目现场生产安全事故隐患。</w:t>
            </w:r>
          </w:p>
        </w:tc>
      </w:tr>
      <w:tr w14:paraId="35FB8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1905" w:type="dxa"/>
            <w:gridSpan w:val="2"/>
            <w:noWrap w:val="0"/>
            <w:vAlign w:val="center"/>
          </w:tcPr>
          <w:p w14:paraId="0DF88C50">
            <w:pPr>
              <w:jc w:val="both"/>
              <w:rPr>
                <w:rFonts w:hint="eastAsia" w:ascii="仿宋_GB2312" w:hAnsi="仿宋_GB2312" w:eastAsia="仿宋_GB2312" w:cs="仿宋_GB2312"/>
              </w:rPr>
            </w:pPr>
            <w:r>
              <w:rPr>
                <w:rFonts w:hint="eastAsia" w:ascii="仿宋_GB2312" w:hAnsi="仿宋_GB2312" w:eastAsia="仿宋_GB2312" w:cs="仿宋_GB2312"/>
              </w:rPr>
              <w:t>事故责任的认定以及对事故责任者的处理建议</w:t>
            </w:r>
          </w:p>
        </w:tc>
        <w:tc>
          <w:tcPr>
            <w:tcW w:w="7490" w:type="dxa"/>
            <w:gridSpan w:val="8"/>
            <w:noWrap w:val="0"/>
            <w:vAlign w:val="center"/>
          </w:tcPr>
          <w:p w14:paraId="6293394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吴**（自然人），违反操作规程进行高处作业，不具备涉事登高作业所需的安全知识，未佩戴、使用符合国家标准或行业标准的劳动防护用品。吴**对“4.11”高处坠落重伤事故发生负有责任，建议实际用人单位依照企业内部管理规定予以处理。</w:t>
            </w:r>
          </w:p>
          <w:p w14:paraId="5E7704C3">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rPr>
            </w:pPr>
            <w:r>
              <w:rPr>
                <w:rFonts w:hint="eastAsia" w:ascii="仿宋" w:hAnsi="仿宋" w:eastAsia="仿宋" w:cs="仿宋"/>
                <w:sz w:val="24"/>
                <w:szCs w:val="24"/>
                <w:lang w:val="en-US" w:eastAsia="zh-CN"/>
              </w:rPr>
              <w:t>马书林，吉威公司项目经理。未落实生产经营单位项目负责人安全生产工作职责，未检查本单位安全生产状况，及时排查生产安全事故隐患；未制止和纠正施工人员违反操作规程的行为。马书林对“4.11”高处坠落重伤事故发生负有责任，建议区应急局依法予以行政处罚。</w:t>
            </w:r>
          </w:p>
        </w:tc>
      </w:tr>
      <w:tr w14:paraId="4305A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0" w:hRule="atLeast"/>
          <w:jc w:val="center"/>
        </w:trPr>
        <w:tc>
          <w:tcPr>
            <w:tcW w:w="1905" w:type="dxa"/>
            <w:gridSpan w:val="2"/>
            <w:noWrap w:val="0"/>
            <w:vAlign w:val="center"/>
          </w:tcPr>
          <w:p w14:paraId="6E67DED6">
            <w:pPr>
              <w:jc w:val="both"/>
              <w:rPr>
                <w:rFonts w:hint="eastAsia" w:ascii="仿宋_GB2312" w:hAnsi="仿宋_GB2312" w:eastAsia="仿宋_GB2312" w:cs="仿宋_GB2312"/>
              </w:rPr>
            </w:pPr>
            <w:r>
              <w:rPr>
                <w:rFonts w:hint="eastAsia" w:ascii="仿宋_GB2312" w:hAnsi="仿宋_GB2312" w:eastAsia="仿宋_GB2312" w:cs="仿宋_GB2312"/>
              </w:rPr>
              <w:t>事故防范和整改措施</w:t>
            </w:r>
          </w:p>
        </w:tc>
        <w:tc>
          <w:tcPr>
            <w:tcW w:w="7490" w:type="dxa"/>
            <w:gridSpan w:val="8"/>
            <w:noWrap w:val="0"/>
            <w:vAlign w:val="center"/>
          </w:tcPr>
          <w:p w14:paraId="147311E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吴**要深刻吸取“4.11”高处坠落重伤事故的惨痛教训，在作业过程中，应当严格落实岗位安全责任，遵守本单位的安全生产规章制度和操作规程，服从管理，正确佩戴和使用劳动防护用品。吴**应当接受安全生产教育和培训，掌握本职工作所需的安全生产知识，提高安全生产技能，增强事故预防和应急处理能力。</w:t>
            </w:r>
          </w:p>
          <w:p w14:paraId="02D53AE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rPr>
            </w:pPr>
            <w:r>
              <w:rPr>
                <w:rFonts w:hint="eastAsia" w:ascii="仿宋" w:hAnsi="仿宋" w:eastAsia="仿宋" w:cs="仿宋"/>
                <w:sz w:val="24"/>
                <w:szCs w:val="24"/>
                <w:lang w:val="en-US" w:eastAsia="zh-CN"/>
              </w:rPr>
              <w:t>马书林要深刻吸取“4.11”高处坠落重伤事故的惨痛教训，应当切实履行本单位安全生产规章制度和操作规程，组织实施本单位安全生产教育和培训计划，对安全生产状况进行经常性检查；对检查中发现的安全问题，应当立即处理；不能处理的，应当及时报告本单位有关负责人，有关负责人应当及时处理。</w:t>
            </w:r>
          </w:p>
        </w:tc>
      </w:tr>
    </w:tbl>
    <w:p w14:paraId="5CF07598">
      <w:bookmarkStart w:id="1" w:name="_GoBack"/>
      <w:bookmarkEnd w:id="1"/>
    </w:p>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25088">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F1EDD78">
                          <w:pPr>
                            <w:pStyle w:val="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F1EDD78">
                    <w:pPr>
                      <w:pStyle w:val="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1F160E"/>
    <w:rsid w:val="018A1427"/>
    <w:rsid w:val="01B14C06"/>
    <w:rsid w:val="01CA01AD"/>
    <w:rsid w:val="0612717C"/>
    <w:rsid w:val="077C7A64"/>
    <w:rsid w:val="08027164"/>
    <w:rsid w:val="08EE6740"/>
    <w:rsid w:val="095E0947"/>
    <w:rsid w:val="0B317CE6"/>
    <w:rsid w:val="0F171566"/>
    <w:rsid w:val="11EC3A38"/>
    <w:rsid w:val="135F0966"/>
    <w:rsid w:val="164478A7"/>
    <w:rsid w:val="18617CB6"/>
    <w:rsid w:val="1B1579D4"/>
    <w:rsid w:val="1ED071B2"/>
    <w:rsid w:val="20A305DD"/>
    <w:rsid w:val="22E03145"/>
    <w:rsid w:val="278C2737"/>
    <w:rsid w:val="27EE6F26"/>
    <w:rsid w:val="2A6B7798"/>
    <w:rsid w:val="2F9A465C"/>
    <w:rsid w:val="344C6D07"/>
    <w:rsid w:val="38D1499A"/>
    <w:rsid w:val="3A5C0117"/>
    <w:rsid w:val="3FDB45C6"/>
    <w:rsid w:val="41894C7C"/>
    <w:rsid w:val="42502474"/>
    <w:rsid w:val="42EA48FB"/>
    <w:rsid w:val="46C72C9E"/>
    <w:rsid w:val="49273592"/>
    <w:rsid w:val="4B1F160E"/>
    <w:rsid w:val="4D5505BF"/>
    <w:rsid w:val="54CB33AD"/>
    <w:rsid w:val="58502ABA"/>
    <w:rsid w:val="59CC0396"/>
    <w:rsid w:val="5A696FA1"/>
    <w:rsid w:val="5B413A7A"/>
    <w:rsid w:val="5E096A71"/>
    <w:rsid w:val="5F944AC0"/>
    <w:rsid w:val="61D840E6"/>
    <w:rsid w:val="62DF6FC3"/>
    <w:rsid w:val="64E10CEA"/>
    <w:rsid w:val="65AB2B63"/>
    <w:rsid w:val="66B811E9"/>
    <w:rsid w:val="67D339DD"/>
    <w:rsid w:val="6FCD1025"/>
    <w:rsid w:val="7BD741DE"/>
    <w:rsid w:val="7E5908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1641</Words>
  <Characters>1735</Characters>
  <Lines>0</Lines>
  <Paragraphs>0</Paragraphs>
  <TotalTime>76</TotalTime>
  <ScaleCrop>false</ScaleCrop>
  <LinksUpToDate>false</LinksUpToDate>
  <CharactersWithSpaces>1808</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2025-02-07T01:12:00Z</dcterms:created>
  <dc:creator>YJJZXX</dc:creator>
  <cp:lastModifiedBy>吴睿</cp:lastModifiedBy>
  <dcterms:modified xsi:type="dcterms:W3CDTF">2025-06-09T06:56:42Z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F7CB6D348037401BB7A75CF59E1E84EC_13</vt:lpwstr>
  </property>
  <property fmtid="{D5CDD505-2E9C-101B-9397-08002B2CF9AE}" pid="4" name="KSOTemplateDocerSaveRecord">
    <vt:lpwstr>eyJoZGlkIjoiMDEyNjljNzQ1MDAzYTRmZDg1ZWMyNGRiNWUxOGJiYzUiLCJ1c2VySWQiOiIyMzA0MTY2MjcifQ==</vt:lpwstr>
  </property>
</Properties>
</file>