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56C372">
      <w:pPr>
        <w:spacing w:line="520" w:lineRule="exact"/>
        <w:jc w:val="center"/>
        <w:rPr>
          <w:rFonts w:ascii="华文中宋" w:hAnsi="华文中宋" w:eastAsia="华文中宋"/>
          <w:b/>
          <w:sz w:val="32"/>
          <w:szCs w:val="32"/>
        </w:rPr>
      </w:pPr>
      <w:bookmarkStart w:id="0" w:name="_GoBack"/>
      <w:r>
        <w:rPr>
          <w:rFonts w:hint="eastAsia" w:ascii="华文中宋" w:hAnsi="华文中宋" w:eastAsia="华文中宋"/>
          <w:b/>
          <w:sz w:val="32"/>
          <w:szCs w:val="32"/>
        </w:rPr>
        <w:t>静安天目西上海宝矿钻石物业有限公司</w:t>
      </w:r>
    </w:p>
    <w:bookmarkEnd w:id="0"/>
    <w:p w14:paraId="5EF24A06">
      <w:pPr>
        <w:spacing w:line="520" w:lineRule="exact"/>
        <w:jc w:val="center"/>
        <w:rPr>
          <w:rFonts w:ascii="华文中宋" w:hAnsi="华文中宋" w:eastAsia="华文中宋"/>
          <w:b/>
          <w:sz w:val="32"/>
          <w:szCs w:val="32"/>
        </w:rPr>
      </w:pPr>
      <w:r>
        <w:rPr>
          <w:rFonts w:hint="eastAsia" w:ascii="华文中宋" w:hAnsi="华文中宋" w:eastAsia="华文中宋"/>
          <w:b/>
          <w:sz w:val="32"/>
          <w:szCs w:val="32"/>
        </w:rPr>
        <w:t>“3.10”一般机械伤害事故调查报告</w:t>
      </w:r>
    </w:p>
    <w:p w14:paraId="5CA68EF2">
      <w:pPr>
        <w:spacing w:line="520" w:lineRule="exact"/>
        <w:ind w:firstLine="600" w:firstLineChars="200"/>
        <w:rPr>
          <w:rFonts w:ascii="仿宋" w:hAnsi="仿宋" w:eastAsia="仿宋"/>
          <w:sz w:val="30"/>
          <w:szCs w:val="30"/>
        </w:rPr>
      </w:pPr>
      <w:r>
        <w:rPr>
          <w:rFonts w:hint="eastAsia" w:ascii="仿宋" w:hAnsi="仿宋" w:eastAsia="仿宋"/>
          <w:sz w:val="30"/>
          <w:szCs w:val="30"/>
        </w:rPr>
        <w:t>2025年3月10日10时08分许，静安区长安路888号静安国际中心三楼顶开式冷却塔内发生一起机械伤害事故，造成一人死亡。</w:t>
      </w:r>
    </w:p>
    <w:p w14:paraId="6EDE7F4B">
      <w:pPr>
        <w:spacing w:line="520" w:lineRule="exact"/>
        <w:ind w:firstLine="600" w:firstLineChars="200"/>
        <w:rPr>
          <w:rFonts w:ascii="仿宋" w:hAnsi="仿宋" w:eastAsia="仿宋"/>
          <w:sz w:val="30"/>
          <w:szCs w:val="30"/>
        </w:rPr>
      </w:pPr>
      <w:r>
        <w:rPr>
          <w:rFonts w:hint="eastAsia" w:ascii="仿宋" w:hAnsi="仿宋" w:eastAsia="仿宋"/>
          <w:sz w:val="30"/>
          <w:szCs w:val="30"/>
        </w:rPr>
        <w:t>3月14日区委书记钟晓咏批示“请区应急局牵头，继续会同相关部门查明原因，理清责任，依法追责。请属地街道加强协调，牵头做好善后工作，确保不发生影响社会稳定的事情。”13日区长翟磊批示“认真做好事故调查，举一反三，防止类似事故再次发生，妥善做好善后工作。”</w:t>
      </w:r>
    </w:p>
    <w:p w14:paraId="58CB68BA">
      <w:pPr>
        <w:spacing w:line="520" w:lineRule="exact"/>
        <w:ind w:firstLine="600" w:firstLineChars="200"/>
        <w:rPr>
          <w:rFonts w:ascii="仿宋" w:hAnsi="仿宋" w:eastAsia="仿宋"/>
          <w:sz w:val="30"/>
          <w:szCs w:val="30"/>
        </w:rPr>
      </w:pPr>
      <w:r>
        <w:rPr>
          <w:rFonts w:hint="eastAsia" w:ascii="仿宋" w:hAnsi="仿宋" w:eastAsia="仿宋"/>
          <w:sz w:val="30"/>
          <w:szCs w:val="30"/>
        </w:rPr>
        <w:t>根据《中华人民共和国安全生产法》、国务院《生产安全事故报告和调查处理条例》（国务院令第493号）和《静安区生产安全事故调查处理规定》等有关法律法规和文件规定，区应急局会同市公安局静安分局、区总工会等部门组成了静安区事故调查组，同时邀请区纪委监委派员参加。事故调查组通过现场勘查、调查询问、调取书证、委托鉴定等方式，查清了事故发生经过和事故原因，明确了事故性质，认定了事故责任者，提出了对事故责任者的处理建议及事故防范措施。</w:t>
      </w:r>
    </w:p>
    <w:p w14:paraId="0953C9E0">
      <w:pPr>
        <w:spacing w:line="520" w:lineRule="exact"/>
        <w:ind w:firstLine="600" w:firstLineChars="200"/>
        <w:rPr>
          <w:rFonts w:ascii="仿宋" w:hAnsi="仿宋" w:eastAsia="仿宋"/>
          <w:sz w:val="30"/>
          <w:szCs w:val="30"/>
        </w:rPr>
      </w:pPr>
      <w:r>
        <w:rPr>
          <w:rFonts w:hint="eastAsia" w:ascii="仿宋" w:hAnsi="仿宋" w:eastAsia="仿宋"/>
          <w:sz w:val="30"/>
          <w:szCs w:val="30"/>
        </w:rPr>
        <w:t>经调查认定，静安天目西上海宝矿钻石物业有限公司“3.10”一般机械伤害事故是一起物业管理单位未落施工实现场安全管理责任，施工人员违规作业造成的生产安全责任事故。</w:t>
      </w:r>
    </w:p>
    <w:p w14:paraId="75F358F7">
      <w:pPr>
        <w:spacing w:line="520" w:lineRule="exact"/>
        <w:ind w:firstLine="602" w:firstLineChars="200"/>
        <w:rPr>
          <w:rFonts w:asciiTheme="minorEastAsia" w:hAnsiTheme="minorEastAsia"/>
          <w:b/>
          <w:sz w:val="30"/>
          <w:szCs w:val="30"/>
        </w:rPr>
      </w:pPr>
      <w:r>
        <w:rPr>
          <w:rFonts w:hint="eastAsia" w:asciiTheme="minorEastAsia" w:hAnsiTheme="minorEastAsia"/>
          <w:b/>
          <w:sz w:val="30"/>
          <w:szCs w:val="30"/>
        </w:rPr>
        <w:t>一、基本情况</w:t>
      </w:r>
    </w:p>
    <w:p w14:paraId="14AECA05">
      <w:pPr>
        <w:spacing w:line="520" w:lineRule="exact"/>
        <w:ind w:firstLine="602" w:firstLineChars="200"/>
        <w:rPr>
          <w:rFonts w:ascii="楷体" w:hAnsi="楷体" w:eastAsia="楷体"/>
          <w:b/>
          <w:sz w:val="30"/>
          <w:szCs w:val="30"/>
        </w:rPr>
      </w:pPr>
      <w:r>
        <w:rPr>
          <w:rFonts w:hint="eastAsia" w:ascii="楷体" w:hAnsi="楷体" w:eastAsia="楷体"/>
          <w:b/>
          <w:sz w:val="30"/>
          <w:szCs w:val="30"/>
        </w:rPr>
        <w:t>（一）事故单位基本情况</w:t>
      </w:r>
    </w:p>
    <w:p w14:paraId="01D92CD3">
      <w:pPr>
        <w:spacing w:line="520" w:lineRule="exact"/>
        <w:ind w:firstLine="600" w:firstLineChars="200"/>
        <w:rPr>
          <w:rFonts w:ascii="仿宋" w:hAnsi="仿宋" w:eastAsia="仿宋"/>
          <w:sz w:val="30"/>
          <w:szCs w:val="30"/>
        </w:rPr>
      </w:pPr>
      <w:r>
        <w:rPr>
          <w:rFonts w:hint="eastAsia" w:ascii="仿宋" w:hAnsi="仿宋" w:eastAsia="仿宋"/>
          <w:sz w:val="30"/>
          <w:szCs w:val="30"/>
        </w:rPr>
        <w:t>上海宝矿钻石物业有限公司（以下简称宝矿物业），法定代表人王伟，注册地址为上海市静安区裕通路100号5501D室，注册资本人民币460万元整，企业类型为有限责任公司（非自然人投资或控股的法人独资）。企业经营范围为：物业管理，自有房屋的租赁建筑装潢，日用百货、工艺品、礼品、建筑材料、苗木、花卉的销售，机械设备安装与维修，会展策划与服务，商务信息咨询（除经济），投资管理及咨询，停车场，附设分支机构。【</w:t>
      </w:r>
      <w:r>
        <w:rPr>
          <w:rFonts w:hint="eastAsia" w:ascii="仿宋" w:hAnsi="仿宋" w:eastAsia="仿宋" w:cs="仿宋_GB2312"/>
          <w:sz w:val="30"/>
          <w:szCs w:val="30"/>
        </w:rPr>
        <w:t>依法须经批准的项目，经相关部门批准后方可开展经营活动</w:t>
      </w:r>
      <w:r>
        <w:rPr>
          <w:rFonts w:hint="eastAsia" w:ascii="仿宋" w:hAnsi="仿宋" w:eastAsia="仿宋"/>
          <w:sz w:val="30"/>
          <w:szCs w:val="30"/>
        </w:rPr>
        <w:t>】</w:t>
      </w:r>
    </w:p>
    <w:p w14:paraId="1C689DD9">
      <w:pPr>
        <w:spacing w:line="520" w:lineRule="exact"/>
        <w:ind w:firstLine="602" w:firstLineChars="200"/>
        <w:rPr>
          <w:rFonts w:ascii="楷体" w:hAnsi="楷体" w:eastAsia="楷体"/>
          <w:b/>
          <w:sz w:val="30"/>
          <w:szCs w:val="30"/>
        </w:rPr>
      </w:pPr>
      <w:r>
        <w:rPr>
          <w:rFonts w:hint="eastAsia" w:ascii="楷体" w:hAnsi="楷体" w:eastAsia="楷体"/>
          <w:b/>
          <w:sz w:val="30"/>
          <w:szCs w:val="30"/>
        </w:rPr>
        <w:t>（二）现场物业管理情况</w:t>
      </w:r>
    </w:p>
    <w:p w14:paraId="6DDA1A1B">
      <w:pPr>
        <w:spacing w:line="520" w:lineRule="exact"/>
        <w:ind w:firstLine="600" w:firstLineChars="200"/>
        <w:rPr>
          <w:rFonts w:ascii="仿宋" w:hAnsi="仿宋" w:eastAsia="仿宋"/>
          <w:sz w:val="30"/>
          <w:szCs w:val="30"/>
        </w:rPr>
      </w:pPr>
      <w:r>
        <w:rPr>
          <w:rFonts w:hint="eastAsia" w:ascii="仿宋" w:hAnsi="仿宋" w:eastAsia="仿宋"/>
          <w:sz w:val="30"/>
          <w:szCs w:val="30"/>
        </w:rPr>
        <w:t>事发现场业主单位为上海宝恒置业有限公司，该单位与宝矿物业签有《上海市静安区静安国际中心项目前期物业服务合同》，合同有效期自2022年1月1日至2031年12月31日。宝矿物业安排吴云峰担任项目副经理，实际全面负责静安国际中心项目日常工作。</w:t>
      </w:r>
    </w:p>
    <w:p w14:paraId="22054FFA">
      <w:pPr>
        <w:spacing w:line="520" w:lineRule="exact"/>
        <w:ind w:firstLine="602" w:firstLineChars="200"/>
        <w:rPr>
          <w:rFonts w:ascii="楷体" w:hAnsi="楷体" w:eastAsia="楷体"/>
          <w:b/>
          <w:sz w:val="30"/>
          <w:szCs w:val="30"/>
        </w:rPr>
      </w:pPr>
      <w:r>
        <w:rPr>
          <w:rFonts w:hint="eastAsia" w:ascii="楷体" w:hAnsi="楷体" w:eastAsia="楷体"/>
          <w:b/>
          <w:sz w:val="30"/>
          <w:szCs w:val="30"/>
        </w:rPr>
        <w:t>（三）涉事冷却塔维修情况</w:t>
      </w:r>
    </w:p>
    <w:p w14:paraId="16343DFD">
      <w:pPr>
        <w:spacing w:line="520" w:lineRule="exact"/>
        <w:ind w:firstLine="600" w:firstLineChars="200"/>
        <w:rPr>
          <w:rFonts w:ascii="仿宋" w:hAnsi="仿宋" w:eastAsia="仿宋"/>
          <w:sz w:val="30"/>
          <w:szCs w:val="30"/>
        </w:rPr>
      </w:pPr>
      <w:r>
        <w:rPr>
          <w:rFonts w:hint="eastAsia" w:ascii="仿宋" w:hAnsi="仿宋" w:eastAsia="仿宋"/>
          <w:sz w:val="30"/>
          <w:szCs w:val="30"/>
        </w:rPr>
        <w:t>宝矿物业和上海玫苒冷暖设备工程有限公司（以下简称玫苒公司）签有《洲际商务中心、静安国际中心项目水泵及冷却塔维修服务合同》，服务范围及内容为（1）洲际商务服务中心B1楼空调机房2台75kw及1台100kw荏原水泵维修；（2）静安国际中心B1楼1台75kw及4楼4台冷却塔电击轴承及风叶减速轴轴承维修。宝矿物业安排吴云峰为甲方代表，负责合同履行，对玫苒公司的服务进行监督检查、验收等各项事宜；玫苒公司安排张明根为乙方代表，负责合同履行，保证服务有效开展，按照约定完成各项工作。</w:t>
      </w:r>
    </w:p>
    <w:p w14:paraId="0296D08C">
      <w:pPr>
        <w:spacing w:line="520" w:lineRule="exact"/>
        <w:ind w:firstLine="600" w:firstLineChars="200"/>
        <w:rPr>
          <w:rFonts w:ascii="仿宋" w:hAnsi="仿宋" w:eastAsia="仿宋"/>
          <w:sz w:val="30"/>
          <w:szCs w:val="30"/>
        </w:rPr>
      </w:pPr>
      <w:r>
        <w:rPr>
          <w:rFonts w:hint="eastAsia" w:ascii="仿宋" w:hAnsi="仿宋" w:eastAsia="仿宋"/>
          <w:sz w:val="30"/>
          <w:szCs w:val="30"/>
        </w:rPr>
        <w:t>2025年3月4日至9日，根据宝矿物业要求，玫苒公司安排张明根带领施工人员沈巧荣等三人对静安国际中心4楼（即三楼顶）4台冷却塔进行维修，宝矿物业暖通主管雷立诚负责具体业务对接。</w:t>
      </w:r>
    </w:p>
    <w:p w14:paraId="773CC48A">
      <w:pPr>
        <w:spacing w:line="520" w:lineRule="exact"/>
        <w:ind w:firstLine="602" w:firstLineChars="200"/>
        <w:rPr>
          <w:rFonts w:ascii="楷体" w:hAnsi="楷体" w:eastAsia="楷体"/>
          <w:b/>
          <w:sz w:val="30"/>
          <w:szCs w:val="30"/>
        </w:rPr>
      </w:pPr>
      <w:r>
        <w:rPr>
          <w:rFonts w:hint="eastAsia" w:ascii="楷体" w:hAnsi="楷体" w:eastAsia="楷体"/>
          <w:b/>
          <w:sz w:val="30"/>
          <w:szCs w:val="30"/>
        </w:rPr>
        <w:t>(四)相关人员劳动用工情况</w:t>
      </w:r>
    </w:p>
    <w:p w14:paraId="139B1034">
      <w:pPr>
        <w:spacing w:line="520" w:lineRule="exact"/>
        <w:ind w:firstLine="600" w:firstLineChars="200"/>
        <w:rPr>
          <w:rFonts w:ascii="仿宋" w:hAnsi="仿宋" w:eastAsia="仿宋"/>
          <w:sz w:val="30"/>
          <w:szCs w:val="30"/>
        </w:rPr>
      </w:pPr>
      <w:r>
        <w:rPr>
          <w:rFonts w:hint="eastAsia" w:ascii="仿宋" w:hAnsi="仿宋" w:eastAsia="仿宋"/>
          <w:sz w:val="30"/>
          <w:szCs w:val="30"/>
        </w:rPr>
        <w:t>死者</w:t>
      </w:r>
      <w:r>
        <w:rPr>
          <w:rFonts w:hint="eastAsia" w:ascii="仿宋" w:hAnsi="仿宋" w:eastAsia="仿宋"/>
          <w:sz w:val="30"/>
          <w:szCs w:val="30"/>
          <w:lang w:eastAsia="zh-CN"/>
        </w:rPr>
        <w:t>陈*</w:t>
      </w:r>
      <w:r>
        <w:rPr>
          <w:rFonts w:hint="eastAsia" w:ascii="仿宋" w:hAnsi="仿宋" w:eastAsia="仿宋"/>
          <w:sz w:val="30"/>
          <w:szCs w:val="30"/>
        </w:rPr>
        <w:t>及涉事相关人员吴云峰、雷立诚、陈双双、殷胜凯均为宝矿物业员工，和宝矿公司签有劳动合同（或劳务协议）。经应急部“特种作业操作证及安全生产知识和管理能力考核合格信息查询平台”查询核实，涉事施工人员</w:t>
      </w:r>
      <w:r>
        <w:rPr>
          <w:rFonts w:hint="eastAsia" w:ascii="仿宋" w:hAnsi="仿宋" w:eastAsia="仿宋"/>
          <w:sz w:val="30"/>
          <w:szCs w:val="30"/>
          <w:lang w:eastAsia="zh-CN"/>
        </w:rPr>
        <w:t>陈*</w:t>
      </w:r>
      <w:r>
        <w:rPr>
          <w:rFonts w:hint="eastAsia" w:ascii="仿宋" w:hAnsi="仿宋" w:eastAsia="仿宋"/>
          <w:sz w:val="30"/>
          <w:szCs w:val="30"/>
        </w:rPr>
        <w:t>、殷胜凯均持有高低压电工作业证，且均在有效期内。</w:t>
      </w:r>
    </w:p>
    <w:p w14:paraId="01F24E3A">
      <w:pPr>
        <w:spacing w:line="520" w:lineRule="exact"/>
        <w:ind w:firstLine="602" w:firstLineChars="200"/>
        <w:rPr>
          <w:rFonts w:asciiTheme="minorEastAsia" w:hAnsiTheme="minorEastAsia"/>
          <w:b/>
          <w:sz w:val="30"/>
          <w:szCs w:val="30"/>
        </w:rPr>
      </w:pPr>
      <w:r>
        <w:rPr>
          <w:rFonts w:hint="eastAsia" w:asciiTheme="minorEastAsia" w:hAnsiTheme="minorEastAsia"/>
          <w:b/>
          <w:sz w:val="30"/>
          <w:szCs w:val="30"/>
        </w:rPr>
        <w:t>二、事故发生经过和应急救援及善后处理情况</w:t>
      </w:r>
    </w:p>
    <w:p w14:paraId="538EF1F0">
      <w:pPr>
        <w:spacing w:line="520" w:lineRule="exact"/>
        <w:ind w:firstLine="602" w:firstLineChars="200"/>
        <w:rPr>
          <w:rFonts w:ascii="楷体" w:hAnsi="楷体" w:eastAsia="楷体"/>
          <w:b/>
          <w:sz w:val="30"/>
          <w:szCs w:val="30"/>
        </w:rPr>
      </w:pPr>
      <w:r>
        <w:rPr>
          <w:rFonts w:hint="eastAsia" w:ascii="楷体" w:hAnsi="楷体" w:eastAsia="楷体"/>
          <w:b/>
          <w:sz w:val="30"/>
          <w:szCs w:val="30"/>
        </w:rPr>
        <w:t>（一）事故发生经过及应急救援情况</w:t>
      </w:r>
    </w:p>
    <w:p w14:paraId="65F21FEB">
      <w:pPr>
        <w:spacing w:line="520" w:lineRule="exact"/>
        <w:ind w:firstLine="600" w:firstLineChars="200"/>
        <w:rPr>
          <w:rFonts w:ascii="仿宋" w:hAnsi="仿宋" w:eastAsia="仿宋"/>
          <w:sz w:val="30"/>
          <w:szCs w:val="30"/>
        </w:rPr>
      </w:pPr>
      <w:r>
        <w:rPr>
          <w:rFonts w:hint="eastAsia" w:ascii="仿宋" w:hAnsi="仿宋" w:eastAsia="仿宋"/>
          <w:sz w:val="30"/>
          <w:szCs w:val="30"/>
        </w:rPr>
        <w:t>2025年3月10日上午，张明根联系雷立诚要求安排一名电工进行冷却塔接线调试，雷立诚随即联系当班电工带班组长陈双双，陈即安排当班电工</w:t>
      </w:r>
      <w:r>
        <w:rPr>
          <w:rFonts w:hint="eastAsia" w:ascii="仿宋" w:hAnsi="仿宋" w:eastAsia="仿宋"/>
          <w:sz w:val="30"/>
          <w:szCs w:val="30"/>
          <w:lang w:eastAsia="zh-CN"/>
        </w:rPr>
        <w:t>陈*</w:t>
      </w:r>
      <w:r>
        <w:rPr>
          <w:rFonts w:hint="eastAsia" w:ascii="仿宋" w:hAnsi="仿宋" w:eastAsia="仿宋"/>
          <w:sz w:val="30"/>
          <w:szCs w:val="30"/>
        </w:rPr>
        <w:t>跟随雷立诚进行接线调试。雷立诚、</w:t>
      </w:r>
      <w:r>
        <w:rPr>
          <w:rFonts w:hint="eastAsia" w:ascii="仿宋" w:hAnsi="仿宋" w:eastAsia="仿宋"/>
          <w:sz w:val="30"/>
          <w:szCs w:val="30"/>
          <w:lang w:eastAsia="zh-CN"/>
        </w:rPr>
        <w:t>陈*</w:t>
      </w:r>
      <w:r>
        <w:rPr>
          <w:rFonts w:hint="eastAsia" w:ascii="仿宋" w:hAnsi="仿宋" w:eastAsia="仿宋"/>
          <w:sz w:val="30"/>
          <w:szCs w:val="30"/>
        </w:rPr>
        <w:t>和张明根又同至B1层找到当班空调维修工殷胜凯配合作业。当日上午10时许，沈巧荣、雷立诚和</w:t>
      </w:r>
      <w:r>
        <w:rPr>
          <w:rFonts w:hint="eastAsia" w:ascii="仿宋" w:hAnsi="仿宋" w:eastAsia="仿宋"/>
          <w:sz w:val="30"/>
          <w:szCs w:val="30"/>
          <w:lang w:eastAsia="zh-CN"/>
        </w:rPr>
        <w:t>陈*</w:t>
      </w:r>
      <w:r>
        <w:rPr>
          <w:rFonts w:hint="eastAsia" w:ascii="仿宋" w:hAnsi="仿宋" w:eastAsia="仿宋"/>
          <w:sz w:val="30"/>
          <w:szCs w:val="30"/>
        </w:rPr>
        <w:t>在4楼（即三楼顶），其中沈巧荣在冷却塔外钢结构走道上，雷立诚和</w:t>
      </w:r>
      <w:r>
        <w:rPr>
          <w:rFonts w:hint="eastAsia" w:ascii="仿宋" w:hAnsi="仿宋" w:eastAsia="仿宋"/>
          <w:sz w:val="30"/>
          <w:szCs w:val="30"/>
          <w:lang w:eastAsia="zh-CN"/>
        </w:rPr>
        <w:t>陈*</w:t>
      </w:r>
      <w:r>
        <w:rPr>
          <w:rFonts w:hint="eastAsia" w:ascii="仿宋" w:hAnsi="仿宋" w:eastAsia="仿宋"/>
          <w:sz w:val="30"/>
          <w:szCs w:val="30"/>
        </w:rPr>
        <w:t>先后通过木质自制扶梯进入冷却塔内，雷立诚在查看现场作业环境后又爬出冷却塔，将随身携带的工具包摆放至塔外钢结构走道上，</w:t>
      </w:r>
      <w:r>
        <w:rPr>
          <w:rFonts w:hint="eastAsia" w:ascii="仿宋" w:hAnsi="仿宋" w:eastAsia="仿宋"/>
          <w:sz w:val="30"/>
          <w:szCs w:val="30"/>
          <w:lang w:eastAsia="zh-CN"/>
        </w:rPr>
        <w:t>陈*</w:t>
      </w:r>
      <w:r>
        <w:rPr>
          <w:rFonts w:hint="eastAsia" w:ascii="仿宋" w:hAnsi="仿宋" w:eastAsia="仿宋"/>
          <w:sz w:val="30"/>
          <w:szCs w:val="30"/>
        </w:rPr>
        <w:t>独自进入冷却塔内间登高进行接线调试。张明根和殷胜凯在三楼强电间配合作业，其中殷胜凯按照事前约定，根据</w:t>
      </w:r>
      <w:r>
        <w:rPr>
          <w:rFonts w:hint="eastAsia" w:ascii="仿宋" w:hAnsi="仿宋" w:eastAsia="仿宋"/>
          <w:sz w:val="30"/>
          <w:szCs w:val="30"/>
          <w:lang w:eastAsia="zh-CN"/>
        </w:rPr>
        <w:t>陈*</w:t>
      </w:r>
      <w:r>
        <w:rPr>
          <w:rFonts w:hint="eastAsia" w:ascii="仿宋" w:hAnsi="仿宋" w:eastAsia="仿宋"/>
          <w:sz w:val="30"/>
          <w:szCs w:val="30"/>
        </w:rPr>
        <w:t>移动电话指令推闸送电。上午10时06分许，殷胜凯接到</w:t>
      </w:r>
      <w:r>
        <w:rPr>
          <w:rFonts w:hint="eastAsia" w:ascii="仿宋" w:hAnsi="仿宋" w:eastAsia="仿宋"/>
          <w:sz w:val="30"/>
          <w:szCs w:val="30"/>
          <w:lang w:eastAsia="zh-CN"/>
        </w:rPr>
        <w:t>陈*</w:t>
      </w:r>
      <w:r>
        <w:rPr>
          <w:rFonts w:hint="eastAsia" w:ascii="仿宋" w:hAnsi="仿宋" w:eastAsia="仿宋"/>
          <w:sz w:val="30"/>
          <w:szCs w:val="30"/>
        </w:rPr>
        <w:t>电话并推闸送电；10时08分许，雷立诚通过木质自制扶梯攀爬返回冷却塔时，听到内间的</w:t>
      </w:r>
      <w:r>
        <w:rPr>
          <w:rFonts w:hint="eastAsia" w:ascii="仿宋" w:hAnsi="仿宋" w:eastAsia="仿宋"/>
          <w:sz w:val="30"/>
          <w:szCs w:val="30"/>
          <w:lang w:eastAsia="zh-CN"/>
        </w:rPr>
        <w:t>陈*</w:t>
      </w:r>
      <w:r>
        <w:rPr>
          <w:rFonts w:hint="eastAsia" w:ascii="仿宋" w:hAnsi="仿宋" w:eastAsia="仿宋"/>
          <w:sz w:val="30"/>
          <w:szCs w:val="30"/>
        </w:rPr>
        <w:t>一声惊呼并有人员坠落的响声，即迅速进入内间查看，发现</w:t>
      </w:r>
      <w:r>
        <w:rPr>
          <w:rFonts w:hint="eastAsia" w:ascii="仿宋" w:hAnsi="仿宋" w:eastAsia="仿宋"/>
          <w:sz w:val="30"/>
          <w:szCs w:val="30"/>
          <w:lang w:eastAsia="zh-CN"/>
        </w:rPr>
        <w:t>陈*</w:t>
      </w:r>
      <w:r>
        <w:rPr>
          <w:rFonts w:hint="eastAsia" w:ascii="仿宋" w:hAnsi="仿宋" w:eastAsia="仿宋"/>
          <w:sz w:val="30"/>
          <w:szCs w:val="30"/>
        </w:rPr>
        <w:t>已倒在冷却塔内间底部，额头有大量血迹，雷立诚当即抱起</w:t>
      </w:r>
      <w:r>
        <w:rPr>
          <w:rFonts w:hint="eastAsia" w:ascii="仿宋" w:hAnsi="仿宋" w:eastAsia="仿宋"/>
          <w:sz w:val="30"/>
          <w:szCs w:val="30"/>
          <w:lang w:eastAsia="zh-CN"/>
        </w:rPr>
        <w:t>陈*</w:t>
      </w:r>
      <w:r>
        <w:rPr>
          <w:rFonts w:hint="eastAsia" w:ascii="仿宋" w:hAnsi="仿宋" w:eastAsia="仿宋"/>
          <w:sz w:val="30"/>
          <w:szCs w:val="30"/>
        </w:rPr>
        <w:t>查看受伤情况并拨打120电话急救电话。</w:t>
      </w:r>
    </w:p>
    <w:p w14:paraId="238A33AC">
      <w:pPr>
        <w:spacing w:line="520" w:lineRule="exact"/>
        <w:ind w:firstLine="600" w:firstLineChars="200"/>
        <w:rPr>
          <w:rFonts w:ascii="仿宋" w:hAnsi="仿宋" w:eastAsia="仿宋"/>
          <w:sz w:val="30"/>
          <w:szCs w:val="30"/>
        </w:rPr>
      </w:pPr>
      <w:r>
        <w:rPr>
          <w:rFonts w:hint="eastAsia" w:ascii="仿宋" w:hAnsi="仿宋" w:eastAsia="仿宋"/>
          <w:sz w:val="30"/>
          <w:szCs w:val="30"/>
        </w:rPr>
        <w:t>120急救人员10时16分到场后，因楼顶各类管线及冷却塔等设施设备布局杂乱，伤者和急救担架一时无法从冷却塔出入口传送至钢结构走道，宝矿物业现场人员又联系消防部门到场进行破拆。11时06分120急救人员离开事发地将</w:t>
      </w:r>
      <w:r>
        <w:rPr>
          <w:rFonts w:hint="eastAsia" w:ascii="仿宋" w:hAnsi="仿宋" w:eastAsia="仿宋"/>
          <w:sz w:val="30"/>
          <w:szCs w:val="30"/>
          <w:lang w:eastAsia="zh-CN"/>
        </w:rPr>
        <w:t>陈*</w:t>
      </w:r>
      <w:r>
        <w:rPr>
          <w:rFonts w:hint="eastAsia" w:ascii="仿宋" w:hAnsi="仿宋" w:eastAsia="仿宋"/>
          <w:sz w:val="30"/>
          <w:szCs w:val="30"/>
        </w:rPr>
        <w:t>送至长征医院。因伤势较重，抢救无效，长征医院于当日15时38分宣布</w:t>
      </w:r>
      <w:r>
        <w:rPr>
          <w:rFonts w:hint="eastAsia" w:ascii="仿宋" w:hAnsi="仿宋" w:eastAsia="仿宋"/>
          <w:sz w:val="30"/>
          <w:szCs w:val="30"/>
          <w:lang w:eastAsia="zh-CN"/>
        </w:rPr>
        <w:t>陈*</w:t>
      </w:r>
      <w:r>
        <w:rPr>
          <w:rFonts w:hint="eastAsia" w:ascii="仿宋" w:hAnsi="仿宋" w:eastAsia="仿宋"/>
          <w:sz w:val="30"/>
          <w:szCs w:val="30"/>
        </w:rPr>
        <w:t>死亡，并出具了《居民死亡医学证明书》。</w:t>
      </w:r>
    </w:p>
    <w:p w14:paraId="368E5FED">
      <w:pPr>
        <w:spacing w:line="520" w:lineRule="exact"/>
        <w:ind w:firstLine="602" w:firstLineChars="200"/>
        <w:rPr>
          <w:rFonts w:ascii="楷体" w:hAnsi="楷体" w:eastAsia="楷体"/>
          <w:b/>
          <w:sz w:val="30"/>
          <w:szCs w:val="30"/>
        </w:rPr>
      </w:pPr>
      <w:r>
        <w:rPr>
          <w:rFonts w:hint="eastAsia" w:ascii="楷体" w:hAnsi="楷体" w:eastAsia="楷体"/>
          <w:b/>
          <w:sz w:val="30"/>
          <w:szCs w:val="30"/>
        </w:rPr>
        <w:t>（二）善后处理情况</w:t>
      </w:r>
    </w:p>
    <w:p w14:paraId="1095508C">
      <w:pPr>
        <w:spacing w:line="520" w:lineRule="exact"/>
        <w:ind w:firstLine="600" w:firstLineChars="200"/>
        <w:rPr>
          <w:rFonts w:ascii="仿宋" w:hAnsi="仿宋" w:eastAsia="仿宋"/>
          <w:sz w:val="30"/>
          <w:szCs w:val="30"/>
        </w:rPr>
      </w:pPr>
      <w:r>
        <w:rPr>
          <w:rFonts w:hint="eastAsia" w:ascii="仿宋" w:hAnsi="仿宋" w:eastAsia="仿宋" w:cs="Times New Roman"/>
          <w:sz w:val="30"/>
          <w:szCs w:val="30"/>
        </w:rPr>
        <w:t>事故发生后，</w:t>
      </w:r>
      <w:r>
        <w:rPr>
          <w:rFonts w:hint="eastAsia" w:ascii="仿宋" w:hAnsi="仿宋" w:eastAsia="仿宋"/>
          <w:sz w:val="30"/>
          <w:szCs w:val="30"/>
        </w:rPr>
        <w:t>宝矿物业</w:t>
      </w:r>
      <w:r>
        <w:rPr>
          <w:rFonts w:hint="eastAsia" w:ascii="仿宋" w:hAnsi="仿宋" w:eastAsia="仿宋" w:cs="Times New Roman"/>
          <w:sz w:val="30"/>
          <w:szCs w:val="30"/>
        </w:rPr>
        <w:t>积极开展后事处理工作，</w:t>
      </w:r>
      <w:r>
        <w:rPr>
          <w:rFonts w:hint="eastAsia" w:ascii="仿宋" w:hAnsi="仿宋" w:eastAsia="仿宋"/>
          <w:sz w:val="30"/>
          <w:szCs w:val="30"/>
        </w:rPr>
        <w:t>目前已</w:t>
      </w:r>
      <w:r>
        <w:rPr>
          <w:rFonts w:hint="eastAsia" w:ascii="仿宋" w:hAnsi="仿宋" w:eastAsia="仿宋" w:cs="Times New Roman"/>
          <w:sz w:val="30"/>
          <w:szCs w:val="30"/>
        </w:rPr>
        <w:t>与死者家属达成共识，并签订补偿协议。</w:t>
      </w:r>
    </w:p>
    <w:p w14:paraId="7EDFFC0F">
      <w:pPr>
        <w:spacing w:line="520" w:lineRule="exact"/>
        <w:ind w:firstLine="602" w:firstLineChars="200"/>
        <w:rPr>
          <w:rFonts w:asciiTheme="minorEastAsia" w:hAnsiTheme="minorEastAsia"/>
          <w:b/>
          <w:sz w:val="30"/>
          <w:szCs w:val="30"/>
        </w:rPr>
      </w:pPr>
      <w:r>
        <w:rPr>
          <w:rFonts w:hint="eastAsia" w:asciiTheme="minorEastAsia" w:hAnsiTheme="minorEastAsia"/>
          <w:b/>
          <w:sz w:val="30"/>
          <w:szCs w:val="30"/>
        </w:rPr>
        <w:t>三、事故造成的人员伤亡和直接经济损失</w:t>
      </w:r>
    </w:p>
    <w:p w14:paraId="1C6C0C65">
      <w:pPr>
        <w:spacing w:line="520" w:lineRule="exact"/>
        <w:ind w:firstLine="602" w:firstLineChars="200"/>
        <w:rPr>
          <w:rFonts w:ascii="楷体" w:hAnsi="楷体" w:eastAsia="楷体"/>
          <w:b/>
          <w:sz w:val="30"/>
          <w:szCs w:val="30"/>
        </w:rPr>
      </w:pPr>
      <w:r>
        <w:rPr>
          <w:rFonts w:hint="eastAsia" w:ascii="楷体" w:hAnsi="楷体" w:eastAsia="楷体"/>
          <w:b/>
          <w:sz w:val="30"/>
          <w:szCs w:val="30"/>
        </w:rPr>
        <w:t>（一）人员伤亡情况</w:t>
      </w:r>
    </w:p>
    <w:p w14:paraId="66956793">
      <w:pPr>
        <w:spacing w:line="520" w:lineRule="exact"/>
        <w:ind w:firstLine="600" w:firstLineChars="200"/>
        <w:rPr>
          <w:rFonts w:ascii="仿宋" w:hAnsi="仿宋" w:eastAsia="仿宋"/>
          <w:sz w:val="30"/>
          <w:szCs w:val="30"/>
        </w:rPr>
      </w:pPr>
      <w:r>
        <w:rPr>
          <w:rFonts w:hint="eastAsia" w:ascii="仿宋" w:hAnsi="仿宋" w:eastAsia="仿宋"/>
          <w:sz w:val="30"/>
          <w:szCs w:val="30"/>
        </w:rPr>
        <w:t>死亡一人，死者</w:t>
      </w:r>
      <w:r>
        <w:rPr>
          <w:rFonts w:hint="eastAsia" w:ascii="仿宋" w:hAnsi="仿宋" w:eastAsia="仿宋"/>
          <w:sz w:val="30"/>
          <w:szCs w:val="30"/>
          <w:lang w:eastAsia="zh-CN"/>
        </w:rPr>
        <w:t>陈*</w:t>
      </w:r>
      <w:r>
        <w:rPr>
          <w:rFonts w:hint="eastAsia" w:ascii="仿宋" w:hAnsi="仿宋" w:eastAsia="仿宋"/>
          <w:sz w:val="30"/>
          <w:szCs w:val="30"/>
        </w:rPr>
        <w:t>（男性、汉族、户籍地址为宝山区</w:t>
      </w:r>
      <w:r>
        <w:rPr>
          <w:rFonts w:hint="eastAsia" w:ascii="仿宋" w:hAnsi="仿宋" w:eastAsia="仿宋"/>
          <w:sz w:val="30"/>
          <w:szCs w:val="30"/>
          <w:lang w:val="en-US" w:eastAsia="zh-CN"/>
        </w:rPr>
        <w:t>***</w:t>
      </w:r>
      <w:r>
        <w:rPr>
          <w:rFonts w:hint="eastAsia" w:ascii="仿宋" w:hAnsi="仿宋" w:eastAsia="仿宋"/>
          <w:sz w:val="30"/>
          <w:szCs w:val="30"/>
        </w:rPr>
        <w:t>）。</w:t>
      </w:r>
    </w:p>
    <w:p w14:paraId="50623918">
      <w:pPr>
        <w:spacing w:line="520" w:lineRule="exact"/>
        <w:ind w:firstLine="602" w:firstLineChars="200"/>
        <w:rPr>
          <w:rFonts w:ascii="楷体" w:hAnsi="楷体" w:eastAsia="楷体"/>
          <w:b/>
          <w:sz w:val="30"/>
          <w:szCs w:val="30"/>
        </w:rPr>
      </w:pPr>
      <w:r>
        <w:rPr>
          <w:rFonts w:hint="eastAsia" w:ascii="楷体" w:hAnsi="楷体" w:eastAsia="楷体"/>
          <w:b/>
          <w:sz w:val="30"/>
          <w:szCs w:val="30"/>
        </w:rPr>
        <w:t>（二）直接经济损失</w:t>
      </w:r>
    </w:p>
    <w:p w14:paraId="4AD7BEFF">
      <w:pPr>
        <w:spacing w:line="520" w:lineRule="exact"/>
        <w:ind w:firstLine="600" w:firstLineChars="200"/>
        <w:rPr>
          <w:rFonts w:ascii="仿宋" w:hAnsi="仿宋" w:eastAsia="仿宋"/>
          <w:sz w:val="30"/>
          <w:szCs w:val="30"/>
        </w:rPr>
      </w:pPr>
      <w:r>
        <w:rPr>
          <w:rFonts w:hint="eastAsia" w:ascii="仿宋" w:hAnsi="仿宋" w:eastAsia="仿宋"/>
          <w:sz w:val="30"/>
          <w:szCs w:val="30"/>
        </w:rPr>
        <w:t>事故造成的直接经济损失约人民币180万元，主要包括支付死者家属的补助金、抚恤金和丧葬费、事故善后处理事务性费用、委托检测鉴定费用等。</w:t>
      </w:r>
    </w:p>
    <w:p w14:paraId="4544E3B5">
      <w:pPr>
        <w:spacing w:line="520" w:lineRule="exact"/>
        <w:ind w:firstLine="602" w:firstLineChars="200"/>
        <w:rPr>
          <w:rFonts w:asciiTheme="minorEastAsia" w:hAnsiTheme="minorEastAsia"/>
          <w:b/>
          <w:sz w:val="30"/>
          <w:szCs w:val="30"/>
        </w:rPr>
      </w:pPr>
      <w:r>
        <w:rPr>
          <w:rFonts w:hint="eastAsia" w:asciiTheme="minorEastAsia" w:hAnsiTheme="minorEastAsia"/>
          <w:b/>
          <w:sz w:val="30"/>
          <w:szCs w:val="30"/>
        </w:rPr>
        <w:t>四、事故现场勘查及委托检测鉴定情况</w:t>
      </w:r>
    </w:p>
    <w:p w14:paraId="63EAB879">
      <w:pPr>
        <w:spacing w:line="520" w:lineRule="exact"/>
        <w:ind w:firstLine="602" w:firstLineChars="200"/>
        <w:rPr>
          <w:rFonts w:ascii="楷体" w:hAnsi="楷体" w:eastAsia="楷体"/>
          <w:b/>
          <w:sz w:val="30"/>
          <w:szCs w:val="30"/>
        </w:rPr>
      </w:pPr>
      <w:r>
        <w:rPr>
          <w:rFonts w:hint="eastAsia" w:ascii="楷体" w:hAnsi="楷体" w:eastAsia="楷体"/>
          <w:b/>
          <w:sz w:val="30"/>
          <w:szCs w:val="30"/>
        </w:rPr>
        <w:t>（一）事故现场勘查情况</w:t>
      </w:r>
    </w:p>
    <w:p w14:paraId="25695D02">
      <w:pPr>
        <w:spacing w:line="520" w:lineRule="exact"/>
        <w:ind w:firstLine="600" w:firstLineChars="200"/>
        <w:rPr>
          <w:rFonts w:ascii="仿宋" w:hAnsi="仿宋" w:eastAsia="仿宋"/>
          <w:sz w:val="30"/>
          <w:szCs w:val="30"/>
        </w:rPr>
      </w:pPr>
      <w:r>
        <w:rPr>
          <w:rFonts w:hint="eastAsia" w:ascii="仿宋" w:hAnsi="仿宋" w:eastAsia="仿宋"/>
          <w:sz w:val="30"/>
          <w:szCs w:val="30"/>
        </w:rPr>
        <w:t>事发现场位于静安区长安路888号静安国际中心4楼（即三楼顶）西北侧开式冷却塔内，冷却塔生产单位为荏原冷热系统有限公司，冷却塔型号为CDW-750ASY-SX2。塔内分内外两间，外间尺寸为6.24m（高）*6.79m（宽）*5.2m（长），有一朝西侧出入口，尺寸为1.49m（高）*0.75。（宽），出入口外倚放一木质自制扶梯（长1.9m ）连接至楼顶地面，出入口下侧距离楼顶地面约1.9m。内间尺寸为6.24m（高）*6.79m（宽）*5.3m（长），内间顶部为一台4 叶风扇，风扇下方有一钢结构工作平台，平台离塔底高度3.6m，风扇离塔底高度4.5m。内间东南侧地面可见一大一小两滩模糊血迹，现场未见安全帽、安全绳等劳动防护用品。</w:t>
      </w:r>
    </w:p>
    <w:p w14:paraId="0F2CF39B">
      <w:pPr>
        <w:spacing w:line="520" w:lineRule="exact"/>
        <w:ind w:firstLine="600" w:firstLineChars="200"/>
        <w:rPr>
          <w:rFonts w:ascii="仿宋" w:hAnsi="仿宋" w:eastAsia="仿宋"/>
          <w:sz w:val="30"/>
          <w:szCs w:val="30"/>
        </w:rPr>
      </w:pPr>
      <w:r>
        <w:rPr>
          <w:rFonts w:hint="eastAsia" w:ascii="仿宋" w:hAnsi="仿宋" w:eastAsia="仿宋"/>
          <w:sz w:val="30"/>
          <w:szCs w:val="30"/>
        </w:rPr>
        <w:t>冷却塔东侧、南侧和北侧有一悬空钢结构走道，和冷却塔出入口无直接连接，钢结构走道离楼顶地面约2.5m。南侧钢结构走道有一爬梯（无护笼）可至楼顶地面并行至冷却塔出入口下方。楼顶出入口位于东南角，由于各类管线及冷却塔等设施设备布局杂乱，楼顶地面通行存在阻碍，人员进出均必须通过钢结构走道及爬梯。走道扶手、围栏等多处可见钢结构材质被腐蚀生锈和硬状突出无软包等不安全因素，部分爬梯护笼被拆除后随意摆放在冷却塔四周。</w:t>
      </w:r>
      <w:r>
        <w:rPr>
          <w:rFonts w:ascii="仿宋" w:hAnsi="仿宋" w:eastAsia="仿宋"/>
          <w:sz w:val="30"/>
          <w:szCs w:val="30"/>
        </w:rPr>
        <w:t xml:space="preserve"> </w:t>
      </w:r>
    </w:p>
    <w:p w14:paraId="04B65A05">
      <w:pPr>
        <w:spacing w:line="520" w:lineRule="exact"/>
        <w:ind w:firstLine="602" w:firstLineChars="200"/>
        <w:rPr>
          <w:rFonts w:ascii="楷体" w:hAnsi="楷体" w:eastAsia="楷体"/>
          <w:b/>
          <w:sz w:val="30"/>
          <w:szCs w:val="30"/>
        </w:rPr>
      </w:pPr>
      <w:r>
        <w:rPr>
          <w:rFonts w:hint="eastAsia" w:ascii="楷体" w:hAnsi="楷体" w:eastAsia="楷体"/>
          <w:b/>
          <w:sz w:val="30"/>
          <w:szCs w:val="30"/>
        </w:rPr>
        <w:t>（二）司法鉴定情况</w:t>
      </w:r>
    </w:p>
    <w:p w14:paraId="4D024FAB">
      <w:pPr>
        <w:pStyle w:val="2"/>
        <w:spacing w:line="520" w:lineRule="exact"/>
        <w:ind w:firstLine="600" w:firstLineChars="200"/>
        <w:rPr>
          <w:rFonts w:ascii="仿宋" w:hAnsi="仿宋" w:eastAsia="仿宋" w:cs="Arial"/>
          <w:sz w:val="30"/>
          <w:szCs w:val="30"/>
        </w:rPr>
      </w:pPr>
      <w:r>
        <w:rPr>
          <w:rFonts w:hint="eastAsia" w:ascii="仿宋" w:hAnsi="仿宋" w:eastAsia="仿宋"/>
          <w:sz w:val="30"/>
          <w:szCs w:val="30"/>
        </w:rPr>
        <w:t>受事故调查组委托，司法鉴定科学研究院对死者</w:t>
      </w:r>
      <w:r>
        <w:rPr>
          <w:rFonts w:hint="eastAsia" w:ascii="仿宋" w:hAnsi="仿宋" w:eastAsia="仿宋"/>
          <w:sz w:val="30"/>
          <w:szCs w:val="30"/>
          <w:lang w:eastAsia="zh-CN"/>
        </w:rPr>
        <w:t>陈*</w:t>
      </w:r>
      <w:r>
        <w:rPr>
          <w:rFonts w:hint="eastAsia" w:ascii="仿宋" w:hAnsi="仿宋" w:eastAsia="仿宋"/>
          <w:sz w:val="30"/>
          <w:szCs w:val="30"/>
        </w:rPr>
        <w:t>进行了法医学尸表检验。</w:t>
      </w:r>
      <w:r>
        <w:rPr>
          <w:rFonts w:hint="eastAsia" w:ascii="仿宋" w:hAnsi="仿宋" w:eastAsia="仿宋" w:cs="Arial"/>
          <w:sz w:val="30"/>
          <w:szCs w:val="30"/>
        </w:rPr>
        <w:t>尸表检验发现：死者</w:t>
      </w:r>
      <w:r>
        <w:rPr>
          <w:rFonts w:hint="eastAsia" w:ascii="仿宋" w:hAnsi="仿宋" w:eastAsia="仿宋"/>
          <w:sz w:val="30"/>
          <w:szCs w:val="30"/>
        </w:rPr>
        <w:t>右颞顶部及额部近发际处挫裂创，额部皮肤青紫、擦伤；胸部皮下气肿，胸骨及双侧肋骨多发骨折，双侧胸腔积血；四肢多处皮肤青紫、擦伤。上述头、胸部损伤严重</w:t>
      </w:r>
      <w:r>
        <w:rPr>
          <w:rFonts w:hint="eastAsia" w:ascii="仿宋" w:hAnsi="仿宋" w:eastAsia="仿宋" w:cs="Arial"/>
          <w:sz w:val="30"/>
          <w:szCs w:val="30"/>
        </w:rPr>
        <w:t>，结合案情，死者遭机械致伤后高坠可以形成。死者体表未检见皮肤电流损伤征象。</w:t>
      </w:r>
    </w:p>
    <w:p w14:paraId="4F9E7AB9">
      <w:pPr>
        <w:pStyle w:val="2"/>
        <w:spacing w:line="520" w:lineRule="exact"/>
        <w:ind w:firstLine="600" w:firstLineChars="200"/>
        <w:rPr>
          <w:rFonts w:ascii="仿宋" w:hAnsi="仿宋" w:eastAsia="仿宋" w:cs="Arial"/>
          <w:sz w:val="30"/>
          <w:szCs w:val="30"/>
        </w:rPr>
      </w:pPr>
      <w:r>
        <w:rPr>
          <w:rFonts w:hint="eastAsia" w:ascii="仿宋" w:hAnsi="仿宋" w:eastAsia="仿宋" w:cs="Arial"/>
          <w:sz w:val="30"/>
          <w:szCs w:val="30"/>
        </w:rPr>
        <w:t>根据尸表检验所见并结合案情综合分析：</w:t>
      </w:r>
      <w:r>
        <w:rPr>
          <w:rFonts w:hint="eastAsia" w:ascii="仿宋" w:hAnsi="仿宋" w:eastAsia="仿宋" w:cs="Arial"/>
          <w:sz w:val="30"/>
          <w:szCs w:val="30"/>
          <w:lang w:eastAsia="zh-CN"/>
        </w:rPr>
        <w:t>陈*</w:t>
      </w:r>
      <w:r>
        <w:rPr>
          <w:rFonts w:hint="eastAsia" w:ascii="仿宋" w:hAnsi="仿宋" w:eastAsia="仿宋" w:cs="Arial"/>
          <w:sz w:val="30"/>
          <w:szCs w:val="30"/>
        </w:rPr>
        <w:t>的死亡原因符合遭机械致伤后高坠，引起头、胸部损伤。</w:t>
      </w:r>
    </w:p>
    <w:p w14:paraId="4175B8C7">
      <w:pPr>
        <w:pStyle w:val="2"/>
        <w:spacing w:line="520" w:lineRule="exact"/>
        <w:ind w:firstLine="602" w:firstLineChars="200"/>
        <w:rPr>
          <w:rFonts w:ascii="仿宋" w:hAnsi="仿宋" w:eastAsia="仿宋"/>
          <w:sz w:val="30"/>
          <w:szCs w:val="30"/>
        </w:rPr>
      </w:pPr>
      <w:r>
        <w:rPr>
          <w:rFonts w:hint="eastAsia" w:ascii="仿宋" w:hAnsi="仿宋" w:eastAsia="仿宋"/>
          <w:b/>
          <w:sz w:val="30"/>
          <w:szCs w:val="30"/>
        </w:rPr>
        <w:t>鉴定意见：</w:t>
      </w:r>
      <w:r>
        <w:rPr>
          <w:rFonts w:hint="eastAsia" w:ascii="仿宋" w:hAnsi="仿宋" w:eastAsia="仿宋" w:cs="Arial"/>
          <w:sz w:val="30"/>
          <w:szCs w:val="30"/>
          <w:lang w:eastAsia="zh-CN"/>
        </w:rPr>
        <w:t>陈*</w:t>
      </w:r>
      <w:r>
        <w:rPr>
          <w:rFonts w:hint="eastAsia" w:ascii="仿宋" w:hAnsi="仿宋" w:eastAsia="仿宋" w:cs="Arial"/>
          <w:sz w:val="30"/>
          <w:szCs w:val="30"/>
        </w:rPr>
        <w:t>符合遭机械致伤后高坠，引起头、胸部损伤死亡。</w:t>
      </w:r>
    </w:p>
    <w:p w14:paraId="55098476">
      <w:pPr>
        <w:spacing w:line="520" w:lineRule="exact"/>
        <w:ind w:firstLine="602" w:firstLineChars="200"/>
        <w:rPr>
          <w:rFonts w:asciiTheme="minorEastAsia" w:hAnsiTheme="minorEastAsia"/>
          <w:b/>
          <w:sz w:val="30"/>
          <w:szCs w:val="30"/>
        </w:rPr>
      </w:pPr>
      <w:r>
        <w:rPr>
          <w:rFonts w:hint="eastAsia" w:asciiTheme="minorEastAsia" w:hAnsiTheme="minorEastAsia"/>
          <w:b/>
          <w:sz w:val="30"/>
          <w:szCs w:val="30"/>
        </w:rPr>
        <w:t>五、事故原因分析</w:t>
      </w:r>
    </w:p>
    <w:p w14:paraId="24AFCFDF">
      <w:pPr>
        <w:spacing w:line="520" w:lineRule="exact"/>
        <w:ind w:firstLine="602" w:firstLineChars="200"/>
        <w:rPr>
          <w:rFonts w:ascii="楷体" w:hAnsi="楷体" w:eastAsia="楷体"/>
          <w:b/>
          <w:sz w:val="30"/>
          <w:szCs w:val="30"/>
        </w:rPr>
      </w:pPr>
      <w:r>
        <w:rPr>
          <w:rFonts w:hint="eastAsia" w:ascii="楷体" w:hAnsi="楷体" w:eastAsia="楷体"/>
          <w:b/>
          <w:sz w:val="30"/>
          <w:szCs w:val="30"/>
        </w:rPr>
        <w:t>（一）直接原因</w:t>
      </w:r>
    </w:p>
    <w:p w14:paraId="52DE19F3">
      <w:pPr>
        <w:spacing w:line="520" w:lineRule="exact"/>
        <w:ind w:firstLine="600" w:firstLineChars="200"/>
        <w:rPr>
          <w:rFonts w:ascii="仿宋" w:hAnsi="仿宋" w:eastAsia="仿宋"/>
          <w:sz w:val="30"/>
          <w:szCs w:val="30"/>
        </w:rPr>
      </w:pPr>
      <w:r>
        <w:rPr>
          <w:rFonts w:hint="eastAsia" w:ascii="仿宋" w:hAnsi="仿宋" w:eastAsia="仿宋"/>
          <w:sz w:val="30"/>
          <w:szCs w:val="30"/>
        </w:rPr>
        <w:t>死者</w:t>
      </w:r>
      <w:r>
        <w:rPr>
          <w:rFonts w:hint="eastAsia" w:ascii="仿宋" w:hAnsi="仿宋" w:eastAsia="仿宋"/>
          <w:sz w:val="30"/>
          <w:szCs w:val="30"/>
          <w:lang w:eastAsia="zh-CN"/>
        </w:rPr>
        <w:t>陈*</w:t>
      </w:r>
      <w:r>
        <w:rPr>
          <w:rFonts w:hint="eastAsia" w:ascii="仿宋" w:hAnsi="仿宋" w:eastAsia="仿宋"/>
          <w:sz w:val="30"/>
          <w:szCs w:val="30"/>
        </w:rPr>
        <w:t>安全意识淡薄，违反《冷却塔使用说明书【方型】CDW-S型》中第6项运转准备</w:t>
      </w:r>
      <w:r>
        <w:rPr>
          <w:rStyle w:val="8"/>
          <w:rFonts w:ascii="仿宋" w:hAnsi="仿宋" w:eastAsia="仿宋"/>
          <w:sz w:val="30"/>
          <w:szCs w:val="30"/>
        </w:rPr>
        <w:footnoteReference w:id="0"/>
      </w:r>
      <w:r>
        <w:rPr>
          <w:rFonts w:hint="eastAsia" w:ascii="仿宋" w:hAnsi="仿宋" w:eastAsia="仿宋"/>
          <w:sz w:val="30"/>
          <w:szCs w:val="30"/>
        </w:rPr>
        <w:t>和第9项维护管理</w:t>
      </w:r>
      <w:r>
        <w:rPr>
          <w:rStyle w:val="8"/>
          <w:rFonts w:ascii="仿宋" w:hAnsi="仿宋" w:eastAsia="仿宋"/>
          <w:sz w:val="30"/>
          <w:szCs w:val="30"/>
        </w:rPr>
        <w:footnoteReference w:id="1"/>
      </w:r>
      <w:r>
        <w:rPr>
          <w:rFonts w:hint="eastAsia" w:ascii="仿宋" w:hAnsi="仿宋" w:eastAsia="仿宋"/>
          <w:sz w:val="30"/>
          <w:szCs w:val="30"/>
        </w:rPr>
        <w:t>明确的操作规程，导致其本人被风扇页面碰擦头部并坠落死亡。</w:t>
      </w:r>
    </w:p>
    <w:p w14:paraId="4FBACFCF">
      <w:pPr>
        <w:spacing w:line="520" w:lineRule="exact"/>
        <w:ind w:firstLine="602" w:firstLineChars="200"/>
        <w:rPr>
          <w:rFonts w:ascii="楷体" w:hAnsi="楷体" w:eastAsia="楷体"/>
          <w:b/>
          <w:sz w:val="30"/>
          <w:szCs w:val="30"/>
        </w:rPr>
      </w:pPr>
      <w:r>
        <w:rPr>
          <w:rFonts w:hint="eastAsia" w:ascii="楷体" w:hAnsi="楷体" w:eastAsia="楷体"/>
          <w:b/>
          <w:sz w:val="30"/>
          <w:szCs w:val="30"/>
        </w:rPr>
        <w:t>（二）间接原因</w:t>
      </w:r>
    </w:p>
    <w:p w14:paraId="3F67DC70">
      <w:pPr>
        <w:spacing w:line="520" w:lineRule="exact"/>
        <w:ind w:firstLine="600" w:firstLineChars="200"/>
        <w:rPr>
          <w:rFonts w:ascii="仿宋" w:hAnsi="仿宋" w:eastAsia="仿宋"/>
          <w:sz w:val="30"/>
          <w:szCs w:val="30"/>
        </w:rPr>
      </w:pPr>
      <w:r>
        <w:rPr>
          <w:rFonts w:hint="eastAsia" w:ascii="仿宋" w:hAnsi="仿宋" w:eastAsia="仿宋"/>
          <w:sz w:val="30"/>
          <w:szCs w:val="30"/>
        </w:rPr>
        <w:t>宝矿物业未落实施工现场安全管理责任。对本单位从业人员安全教育和培训流于形式，未督促从业人员严格执行本单位的安全生产规章制度和安全操作规程；未监督、教育从业人员按照使用规则佩戴、使用劳动防护用品。</w:t>
      </w:r>
    </w:p>
    <w:p w14:paraId="0FFCC574">
      <w:pPr>
        <w:spacing w:line="520" w:lineRule="exact"/>
        <w:ind w:firstLine="602" w:firstLineChars="200"/>
        <w:rPr>
          <w:rFonts w:asciiTheme="minorEastAsia" w:hAnsiTheme="minorEastAsia"/>
          <w:b/>
          <w:sz w:val="30"/>
          <w:szCs w:val="30"/>
        </w:rPr>
      </w:pPr>
      <w:r>
        <w:rPr>
          <w:rFonts w:hint="eastAsia" w:asciiTheme="minorEastAsia" w:hAnsiTheme="minorEastAsia"/>
          <w:b/>
          <w:sz w:val="30"/>
          <w:szCs w:val="30"/>
        </w:rPr>
        <w:t>六、事故责任认定及对事故责任单位（个人）的处理建议</w:t>
      </w:r>
    </w:p>
    <w:p w14:paraId="6040A264">
      <w:pPr>
        <w:spacing w:line="520" w:lineRule="exact"/>
        <w:ind w:firstLine="602" w:firstLineChars="200"/>
        <w:rPr>
          <w:rFonts w:ascii="楷体" w:hAnsi="楷体" w:eastAsia="楷体"/>
          <w:b/>
          <w:sz w:val="30"/>
          <w:szCs w:val="30"/>
        </w:rPr>
      </w:pPr>
      <w:r>
        <w:rPr>
          <w:rFonts w:hint="eastAsia" w:ascii="楷体" w:hAnsi="楷体" w:eastAsia="楷体"/>
          <w:b/>
          <w:sz w:val="30"/>
          <w:szCs w:val="30"/>
        </w:rPr>
        <w:t>（一）对责任单位的责任认定及处理建议</w:t>
      </w:r>
    </w:p>
    <w:p w14:paraId="0BDF95DF">
      <w:pPr>
        <w:spacing w:line="520" w:lineRule="exact"/>
        <w:ind w:firstLine="600" w:firstLineChars="200"/>
        <w:rPr>
          <w:rFonts w:ascii="仿宋" w:hAnsi="仿宋" w:eastAsia="仿宋"/>
          <w:sz w:val="30"/>
          <w:szCs w:val="30"/>
        </w:rPr>
      </w:pPr>
      <w:r>
        <w:rPr>
          <w:rFonts w:hint="eastAsia" w:ascii="仿宋" w:hAnsi="仿宋" w:eastAsia="仿宋"/>
          <w:sz w:val="30"/>
          <w:szCs w:val="30"/>
        </w:rPr>
        <w:t>宝矿物业未切实履行生产经营单位的安全生产主体责任</w:t>
      </w:r>
      <w:r>
        <w:rPr>
          <w:rStyle w:val="8"/>
          <w:rFonts w:ascii="仿宋" w:hAnsi="仿宋" w:eastAsia="仿宋"/>
          <w:sz w:val="30"/>
          <w:szCs w:val="30"/>
        </w:rPr>
        <w:footnoteReference w:id="2"/>
      </w:r>
      <w:r>
        <w:rPr>
          <w:rFonts w:hint="eastAsia" w:ascii="仿宋" w:hAnsi="仿宋" w:eastAsia="仿宋"/>
          <w:sz w:val="30"/>
          <w:szCs w:val="30"/>
        </w:rPr>
        <w:t>。对本单位从业人员安全教育和培训流于形式</w:t>
      </w:r>
      <w:r>
        <w:rPr>
          <w:rStyle w:val="8"/>
          <w:rFonts w:ascii="仿宋" w:hAnsi="仿宋" w:eastAsia="仿宋"/>
          <w:sz w:val="30"/>
          <w:szCs w:val="30"/>
        </w:rPr>
        <w:footnoteReference w:id="3"/>
      </w:r>
      <w:r>
        <w:rPr>
          <w:rFonts w:hint="eastAsia" w:ascii="仿宋" w:hAnsi="仿宋" w:eastAsia="仿宋"/>
          <w:sz w:val="30"/>
          <w:szCs w:val="30"/>
        </w:rPr>
        <w:t>，未督促从业人员严格执行本单位的安全生产规章制度和安全操作规程</w:t>
      </w:r>
      <w:r>
        <w:rPr>
          <w:rStyle w:val="8"/>
          <w:rFonts w:ascii="仿宋" w:hAnsi="仿宋" w:eastAsia="仿宋"/>
          <w:sz w:val="30"/>
          <w:szCs w:val="30"/>
        </w:rPr>
        <w:footnoteReference w:id="4"/>
      </w:r>
      <w:r>
        <w:rPr>
          <w:rFonts w:hint="eastAsia" w:ascii="仿宋" w:hAnsi="仿宋" w:eastAsia="仿宋"/>
          <w:sz w:val="30"/>
          <w:szCs w:val="30"/>
        </w:rPr>
        <w:t>；未监督、教育从业人员按照使用规则佩戴、使用劳动防护用品</w:t>
      </w:r>
      <w:r>
        <w:rPr>
          <w:rStyle w:val="8"/>
          <w:rFonts w:ascii="仿宋" w:hAnsi="仿宋" w:eastAsia="仿宋"/>
          <w:sz w:val="30"/>
          <w:szCs w:val="30"/>
        </w:rPr>
        <w:footnoteReference w:id="5"/>
      </w:r>
      <w:r>
        <w:rPr>
          <w:rFonts w:hint="eastAsia" w:ascii="仿宋" w:hAnsi="仿宋" w:eastAsia="仿宋"/>
          <w:sz w:val="30"/>
          <w:szCs w:val="30"/>
        </w:rPr>
        <w:t>。宝矿物业对“3.10”一般机械伤害事故的发生负有责任，建议区应急局依法予以行政处罚</w:t>
      </w:r>
      <w:r>
        <w:rPr>
          <w:rStyle w:val="8"/>
          <w:rFonts w:ascii="仿宋" w:hAnsi="仿宋" w:eastAsia="仿宋"/>
          <w:sz w:val="30"/>
          <w:szCs w:val="30"/>
        </w:rPr>
        <w:footnoteReference w:id="6"/>
      </w:r>
      <w:r>
        <w:rPr>
          <w:rFonts w:hint="eastAsia" w:ascii="仿宋" w:hAnsi="仿宋" w:eastAsia="仿宋"/>
          <w:sz w:val="30"/>
          <w:szCs w:val="30"/>
        </w:rPr>
        <w:t>。</w:t>
      </w:r>
    </w:p>
    <w:p w14:paraId="12606F64">
      <w:pPr>
        <w:spacing w:line="520" w:lineRule="exact"/>
        <w:ind w:firstLine="602" w:firstLineChars="200"/>
        <w:rPr>
          <w:rFonts w:ascii="楷体" w:hAnsi="楷体" w:eastAsia="楷体"/>
          <w:b/>
          <w:sz w:val="30"/>
          <w:szCs w:val="30"/>
        </w:rPr>
      </w:pPr>
      <w:r>
        <w:rPr>
          <w:rFonts w:hint="eastAsia" w:ascii="楷体" w:hAnsi="楷体" w:eastAsia="楷体"/>
          <w:b/>
          <w:sz w:val="30"/>
          <w:szCs w:val="30"/>
        </w:rPr>
        <w:t>（二）对责任人员的责任认定及处理建议</w:t>
      </w:r>
    </w:p>
    <w:p w14:paraId="67B385CB">
      <w:pPr>
        <w:spacing w:line="520" w:lineRule="exact"/>
        <w:ind w:firstLine="600" w:firstLineChars="200"/>
        <w:rPr>
          <w:rFonts w:ascii="仿宋" w:hAnsi="仿宋" w:eastAsia="仿宋"/>
          <w:sz w:val="30"/>
          <w:szCs w:val="30"/>
        </w:rPr>
      </w:pPr>
      <w:r>
        <w:rPr>
          <w:rFonts w:hint="eastAsia" w:ascii="仿宋" w:hAnsi="仿宋" w:eastAsia="仿宋"/>
          <w:sz w:val="30"/>
          <w:szCs w:val="30"/>
          <w:lang w:eastAsia="zh-CN"/>
        </w:rPr>
        <w:t>陈*</w:t>
      </w:r>
      <w:r>
        <w:rPr>
          <w:rFonts w:hint="eastAsia" w:ascii="仿宋" w:hAnsi="仿宋" w:eastAsia="仿宋"/>
          <w:sz w:val="30"/>
          <w:szCs w:val="30"/>
        </w:rPr>
        <w:t>，宝矿物业员工。安全意识淡薄，未按照冷却塔使用说明明确的操作规程进行施工作业，未佩戴和使用劳动防护用品</w:t>
      </w:r>
      <w:r>
        <w:rPr>
          <w:rStyle w:val="8"/>
          <w:rFonts w:ascii="仿宋" w:hAnsi="仿宋" w:eastAsia="仿宋"/>
          <w:sz w:val="30"/>
          <w:szCs w:val="30"/>
        </w:rPr>
        <w:footnoteReference w:id="7"/>
      </w:r>
      <w:r>
        <w:rPr>
          <w:rFonts w:hint="eastAsia" w:ascii="仿宋" w:hAnsi="仿宋" w:eastAsia="仿宋"/>
          <w:sz w:val="30"/>
          <w:szCs w:val="30"/>
        </w:rPr>
        <w:t>，导致其本人最终死亡。</w:t>
      </w:r>
      <w:r>
        <w:rPr>
          <w:rFonts w:hint="eastAsia" w:ascii="仿宋" w:hAnsi="仿宋" w:eastAsia="仿宋"/>
          <w:sz w:val="30"/>
          <w:szCs w:val="30"/>
          <w:lang w:eastAsia="zh-CN"/>
        </w:rPr>
        <w:t>陈*</w:t>
      </w:r>
      <w:r>
        <w:rPr>
          <w:rFonts w:hint="eastAsia" w:ascii="仿宋" w:hAnsi="仿宋" w:eastAsia="仿宋"/>
          <w:sz w:val="30"/>
          <w:szCs w:val="30"/>
        </w:rPr>
        <w:t>应当承担“3.10”一般机械伤害事故发生的直接责任，鉴于其已经死亡，建议不予追究责任。</w:t>
      </w:r>
    </w:p>
    <w:p w14:paraId="6990F0E8">
      <w:pPr>
        <w:spacing w:line="520" w:lineRule="exact"/>
        <w:ind w:firstLine="600" w:firstLineChars="200"/>
        <w:rPr>
          <w:rFonts w:ascii="仿宋" w:hAnsi="仿宋" w:eastAsia="仿宋"/>
          <w:sz w:val="30"/>
          <w:szCs w:val="30"/>
        </w:rPr>
      </w:pPr>
      <w:r>
        <w:rPr>
          <w:rFonts w:hint="eastAsia" w:ascii="仿宋" w:hAnsi="仿宋" w:eastAsia="仿宋"/>
          <w:sz w:val="30"/>
          <w:szCs w:val="30"/>
        </w:rPr>
        <w:t>吴云峰，宝矿物业员工，静安国际中心项目副经理（实际负责人）。未落实生产经营单位主要负责人安全生产工作职责，未督促、检查本单位的安全生产工作，未及时消除生产安全事故隐患</w:t>
      </w:r>
      <w:r>
        <w:rPr>
          <w:rStyle w:val="8"/>
          <w:rFonts w:ascii="仿宋" w:hAnsi="仿宋" w:eastAsia="仿宋"/>
          <w:sz w:val="30"/>
          <w:szCs w:val="30"/>
        </w:rPr>
        <w:footnoteReference w:id="8"/>
      </w:r>
      <w:r>
        <w:rPr>
          <w:rFonts w:hint="eastAsia" w:ascii="仿宋" w:hAnsi="仿宋" w:eastAsia="仿宋"/>
          <w:sz w:val="30"/>
          <w:szCs w:val="30"/>
        </w:rPr>
        <w:t>。吴云峰对“3.10”一般机械伤害事故的发生负有责任，建议区应急局依法予以行政处罚</w:t>
      </w:r>
      <w:r>
        <w:rPr>
          <w:rStyle w:val="8"/>
          <w:rFonts w:ascii="仿宋" w:hAnsi="仿宋" w:eastAsia="仿宋"/>
          <w:sz w:val="30"/>
          <w:szCs w:val="30"/>
        </w:rPr>
        <w:footnoteReference w:id="9"/>
      </w:r>
      <w:r>
        <w:rPr>
          <w:rFonts w:hint="eastAsia" w:ascii="仿宋" w:hAnsi="仿宋" w:eastAsia="仿宋"/>
          <w:sz w:val="30"/>
          <w:szCs w:val="30"/>
        </w:rPr>
        <w:t>。</w:t>
      </w:r>
    </w:p>
    <w:p w14:paraId="7A0E9E89">
      <w:pPr>
        <w:spacing w:line="520" w:lineRule="exact"/>
        <w:ind w:firstLine="600" w:firstLineChars="200"/>
        <w:rPr>
          <w:rFonts w:ascii="仿宋" w:hAnsi="仿宋" w:eastAsia="仿宋"/>
          <w:sz w:val="30"/>
          <w:szCs w:val="30"/>
        </w:rPr>
      </w:pPr>
      <w:r>
        <w:rPr>
          <w:rFonts w:hint="eastAsia" w:ascii="仿宋" w:hAnsi="仿宋" w:eastAsia="仿宋"/>
          <w:sz w:val="30"/>
          <w:szCs w:val="30"/>
        </w:rPr>
        <w:t>雷立诚，宝矿物业员工，暖通主管。未落实施工现场安全管理责任，未及时制止和纠正违反操作规程的行为。雷立诚对“3.10”一般机械伤害事故的发生负有责任，建议宝矿物业根据企业内部奖惩规定予以处理，处理结果书面报区应急局。</w:t>
      </w:r>
    </w:p>
    <w:p w14:paraId="00306FB6">
      <w:pPr>
        <w:spacing w:line="520" w:lineRule="exact"/>
        <w:ind w:firstLine="602" w:firstLineChars="200"/>
        <w:rPr>
          <w:rFonts w:asciiTheme="minorEastAsia" w:hAnsiTheme="minorEastAsia"/>
          <w:b/>
          <w:sz w:val="30"/>
          <w:szCs w:val="30"/>
        </w:rPr>
      </w:pPr>
      <w:r>
        <w:rPr>
          <w:rFonts w:hint="eastAsia" w:asciiTheme="minorEastAsia" w:hAnsiTheme="minorEastAsia"/>
          <w:b/>
          <w:sz w:val="30"/>
          <w:szCs w:val="30"/>
        </w:rPr>
        <w:t>七、事故防范及整改意见</w:t>
      </w:r>
    </w:p>
    <w:p w14:paraId="07FFC7EB">
      <w:pPr>
        <w:spacing w:line="520" w:lineRule="exact"/>
        <w:ind w:firstLine="600" w:firstLineChars="200"/>
        <w:rPr>
          <w:rFonts w:ascii="仿宋" w:hAnsi="仿宋" w:eastAsia="仿宋"/>
          <w:sz w:val="30"/>
          <w:szCs w:val="30"/>
        </w:rPr>
      </w:pPr>
      <w:r>
        <w:rPr>
          <w:rFonts w:hint="eastAsia" w:ascii="仿宋" w:hAnsi="仿宋" w:eastAsia="仿宋"/>
          <w:sz w:val="30"/>
          <w:szCs w:val="30"/>
        </w:rPr>
        <w:t>宝矿物业要深刻吸取“3.10”一般机械伤害事故的惨痛教训，认真学习《中华人民共和国安全生产法》，牢固树立“安全第一、预防为主、综合治理”的观念。要加强对检维修作业现场的安全管理，厘清本单位和维保单位各自工作职责，规范内部派工流程；要切实开展本单位从业人员的安全教育和培训，督促从业人员严格执行本单位的安全生产规章制度和操作规程；要监督、教育从业人员在施工作业时正确佩戴、使用劳动防护用品。事故调查过程中同时发现宝矿物业未开展重点场所和重要设施设备的安全风险辨识和分级管控工作，制定的安全生产应急预案不符合企业实际可能存在的安全风险，日常开展的应急演练在实际应对突发事件时缺乏科学性、针对性和可操作性。建议宝矿物业要在后续整改工作中举一反三，全面梳理企业内部各项安全生产规章制度，加大对安全生产资金、物资、技术、人员的投入保障力度，切实改善安全生产条件，加强安全生产标准化建设，通过安全体系的建立健全真正落实全员安全生产责任制，避免类似事故的再次发生。</w:t>
      </w:r>
    </w:p>
    <w:p w14:paraId="30C2D966">
      <w:pPr>
        <w:spacing w:line="520" w:lineRule="exact"/>
        <w:ind w:firstLine="600" w:firstLineChars="200"/>
        <w:rPr>
          <w:rFonts w:ascii="仿宋" w:hAnsi="仿宋" w:eastAsia="仿宋"/>
          <w:sz w:val="30"/>
          <w:szCs w:val="30"/>
        </w:rPr>
      </w:pPr>
      <w:r>
        <w:rPr>
          <w:rFonts w:hint="eastAsia" w:ascii="仿宋" w:hAnsi="仿宋" w:eastAsia="仿宋"/>
          <w:sz w:val="30"/>
          <w:szCs w:val="30"/>
        </w:rPr>
        <w:t>属地街道要根据自行制定的“年度安全生产检查计划”中明确的“主要任务”和“监督检查的内容”，加强对列入辖区“重点监督检查单位”名单的生产经营单位的监督检查工作。要按照区安委会制定下发的《静安区安全生产治本攻坚三年行动方案（2024-2026年）》（静安委会〔2024〕4号文）相关要求，把重大事故隐患排查治理真正落到实处，为辖区安全生产形势持续稳定提供坚实保障。</w:t>
      </w:r>
    </w:p>
    <w:p w14:paraId="2DE5C88D">
      <w:pPr>
        <w:spacing w:line="520" w:lineRule="exact"/>
        <w:ind w:firstLine="600" w:firstLineChars="200"/>
        <w:rPr>
          <w:rFonts w:ascii="仿宋" w:hAnsi="仿宋" w:eastAsia="仿宋"/>
          <w:sz w:val="30"/>
          <w:szCs w:val="30"/>
        </w:rPr>
      </w:pPr>
    </w:p>
    <w:p w14:paraId="2542B0E0">
      <w:pPr>
        <w:spacing w:line="520" w:lineRule="exact"/>
        <w:ind w:firstLine="600" w:firstLineChars="200"/>
        <w:jc w:val="right"/>
        <w:rPr>
          <w:rFonts w:ascii="仿宋" w:hAnsi="仿宋" w:eastAsia="仿宋"/>
          <w:sz w:val="30"/>
          <w:szCs w:val="30"/>
        </w:rPr>
      </w:pPr>
      <w:r>
        <w:rPr>
          <w:rFonts w:hint="eastAsia" w:ascii="仿宋" w:hAnsi="仿宋" w:eastAsia="仿宋"/>
          <w:sz w:val="30"/>
          <w:szCs w:val="30"/>
        </w:rPr>
        <w:t>静安区事故调查组</w:t>
      </w:r>
    </w:p>
    <w:p w14:paraId="40811B25">
      <w:pPr>
        <w:spacing w:line="520" w:lineRule="exact"/>
        <w:ind w:firstLine="600" w:firstLineChars="200"/>
        <w:jc w:val="right"/>
        <w:rPr>
          <w:rFonts w:ascii="仿宋" w:hAnsi="仿宋" w:eastAsia="仿宋"/>
          <w:sz w:val="30"/>
          <w:szCs w:val="30"/>
        </w:rPr>
      </w:pPr>
      <w:r>
        <w:rPr>
          <w:rFonts w:hint="eastAsia" w:ascii="仿宋" w:hAnsi="仿宋" w:eastAsia="仿宋"/>
          <w:sz w:val="30"/>
          <w:szCs w:val="30"/>
        </w:rPr>
        <w:t>2025年4月2日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0D475134">
      <w:pPr>
        <w:pStyle w:val="5"/>
        <w:rPr>
          <w:rFonts w:ascii="仿宋" w:hAnsi="仿宋" w:eastAsia="仿宋"/>
          <w:sz w:val="21"/>
          <w:szCs w:val="21"/>
        </w:rPr>
      </w:pPr>
      <w:r>
        <w:rPr>
          <w:rStyle w:val="8"/>
          <w:rFonts w:ascii="仿宋" w:hAnsi="仿宋" w:eastAsia="仿宋"/>
          <w:sz w:val="21"/>
          <w:szCs w:val="21"/>
        </w:rPr>
        <w:footnoteRef/>
      </w:r>
      <w:r>
        <w:rPr>
          <w:rFonts w:ascii="仿宋" w:hAnsi="仿宋" w:eastAsia="仿宋"/>
          <w:sz w:val="21"/>
          <w:szCs w:val="21"/>
        </w:rPr>
        <w:t xml:space="preserve"> </w:t>
      </w:r>
      <w:r>
        <w:rPr>
          <w:rFonts w:hint="eastAsia" w:ascii="仿宋" w:hAnsi="仿宋" w:eastAsia="仿宋"/>
          <w:sz w:val="21"/>
          <w:szCs w:val="21"/>
        </w:rPr>
        <w:t>《冷却塔使用说明书【方型】CDW-S型》第6项运转准备 警告：检查、调整、清扫作业时，请切断电机、泵等的电源。即使是停止状态，有时会因为自动运转而突然启动，所以一定要确认电源被切断，充分注意安全。</w:t>
      </w:r>
    </w:p>
  </w:footnote>
  <w:footnote w:id="1">
    <w:p w14:paraId="5E1FAE2E">
      <w:pPr>
        <w:pStyle w:val="5"/>
        <w:rPr>
          <w:rFonts w:ascii="仿宋" w:hAnsi="仿宋" w:eastAsia="仿宋"/>
          <w:sz w:val="21"/>
          <w:szCs w:val="21"/>
        </w:rPr>
      </w:pPr>
      <w:r>
        <w:rPr>
          <w:rStyle w:val="8"/>
          <w:rFonts w:ascii="仿宋" w:hAnsi="仿宋" w:eastAsia="仿宋"/>
          <w:sz w:val="21"/>
          <w:szCs w:val="21"/>
        </w:rPr>
        <w:footnoteRef/>
      </w:r>
      <w:r>
        <w:rPr>
          <w:rFonts w:ascii="仿宋" w:hAnsi="仿宋" w:eastAsia="仿宋"/>
          <w:sz w:val="21"/>
          <w:szCs w:val="21"/>
        </w:rPr>
        <w:t xml:space="preserve"> </w:t>
      </w:r>
      <w:r>
        <w:rPr>
          <w:rFonts w:hint="eastAsia" w:ascii="仿宋" w:hAnsi="仿宋" w:eastAsia="仿宋"/>
          <w:sz w:val="21"/>
          <w:szCs w:val="21"/>
        </w:rPr>
        <w:t>《冷却塔使用说明书【方型】CDW-S型》第9项维护管理 警告：1、检查电机时，请切断电源，风扇即便是停止状态，因自动运转等原因，风扇有时会因自动运转而突然启动，所以请一定要确认电源被切断。2、装有防冻加热器的场合，检查时请将加热的电源也切断。3、高空作业时，须佩戴安全帽等安全设备。</w:t>
      </w:r>
    </w:p>
  </w:footnote>
  <w:footnote w:id="2">
    <w:p w14:paraId="50BE7A1C">
      <w:pPr>
        <w:pStyle w:val="5"/>
        <w:jc w:val="both"/>
        <w:rPr>
          <w:rFonts w:ascii="仿宋" w:hAnsi="仿宋" w:eastAsia="仿宋" w:cs="仿宋_GB2312"/>
          <w:sz w:val="21"/>
          <w:szCs w:val="21"/>
        </w:rPr>
      </w:pPr>
      <w:r>
        <w:rPr>
          <w:rStyle w:val="8"/>
          <w:rFonts w:ascii="仿宋" w:hAnsi="仿宋" w:eastAsia="仿宋"/>
          <w:sz w:val="21"/>
          <w:szCs w:val="21"/>
        </w:rPr>
        <w:footnoteRef/>
      </w:r>
      <w:r>
        <w:rPr>
          <w:rFonts w:ascii="仿宋" w:hAnsi="仿宋" w:eastAsia="仿宋"/>
          <w:sz w:val="21"/>
          <w:szCs w:val="21"/>
        </w:rPr>
        <w:t xml:space="preserve"> </w:t>
      </w:r>
      <w:r>
        <w:rPr>
          <w:rFonts w:hint="eastAsia" w:ascii="仿宋" w:hAnsi="仿宋" w:eastAsia="仿宋" w:cs="仿宋_GB2312"/>
          <w:sz w:val="21"/>
          <w:szCs w:val="21"/>
        </w:rPr>
        <w:t>《中华人民共和国安全生产法》第四条第一款：</w:t>
      </w:r>
      <w:r>
        <w:rPr>
          <w:rFonts w:hint="eastAsia" w:ascii="仿宋_GB2312" w:hAnsi="仿宋_GB2312" w:eastAsia="仿宋" w:cs="仿宋_GB2312"/>
          <w:sz w:val="21"/>
          <w:szCs w:val="21"/>
          <w:shd w:val="clear" w:color="auto" w:fill="FFFFFF"/>
        </w:rPr>
        <w:t> </w:t>
      </w:r>
      <w:r>
        <w:rPr>
          <w:rFonts w:hint="eastAsia" w:ascii="仿宋" w:hAnsi="仿宋" w:eastAsia="仿宋" w:cs="仿宋_GB2312"/>
          <w:sz w:val="21"/>
          <w:szCs w:val="21"/>
          <w:shd w:val="clear" w:color="auto" w:fill="FFFFFF"/>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footnote>
  <w:footnote w:id="3">
    <w:p w14:paraId="24C6D129">
      <w:pPr>
        <w:pStyle w:val="5"/>
        <w:jc w:val="both"/>
        <w:rPr>
          <w:rFonts w:ascii="仿宋" w:hAnsi="仿宋" w:eastAsia="仿宋" w:cs="仿宋_GB2312"/>
          <w:sz w:val="21"/>
          <w:szCs w:val="21"/>
          <w:shd w:val="clear" w:color="auto" w:fill="FFFFFF"/>
        </w:rPr>
      </w:pPr>
      <w:r>
        <w:rPr>
          <w:rStyle w:val="8"/>
          <w:rFonts w:ascii="仿宋" w:hAnsi="仿宋" w:eastAsia="仿宋"/>
          <w:sz w:val="21"/>
          <w:szCs w:val="21"/>
        </w:rPr>
        <w:footnoteRef/>
      </w:r>
      <w:r>
        <w:rPr>
          <w:rFonts w:ascii="仿宋" w:hAnsi="仿宋" w:eastAsia="仿宋"/>
          <w:sz w:val="21"/>
          <w:szCs w:val="21"/>
        </w:rPr>
        <w:t xml:space="preserve"> </w:t>
      </w:r>
      <w:r>
        <w:rPr>
          <w:rFonts w:hint="eastAsia" w:ascii="仿宋" w:hAnsi="仿宋" w:eastAsia="仿宋" w:cs="仿宋_GB2312"/>
          <w:sz w:val="21"/>
          <w:szCs w:val="21"/>
        </w:rPr>
        <w:t>《中华人民共和国安全生产法</w:t>
      </w:r>
      <w:r>
        <w:rPr>
          <w:rFonts w:hint="eastAsia" w:ascii="仿宋" w:hAnsi="仿宋" w:eastAsia="仿宋" w:cs="仿宋_GB2312"/>
          <w:sz w:val="21"/>
          <w:szCs w:val="21"/>
          <w:shd w:val="clear" w:color="auto" w:fill="FFFFFF"/>
        </w:rPr>
        <w:t>》</w:t>
      </w:r>
      <w:r>
        <w:rPr>
          <w:rFonts w:hint="eastAsia" w:ascii="仿宋" w:hAnsi="仿宋" w:eastAsia="仿宋" w:cs="仿宋_GB2312"/>
          <w:sz w:val="21"/>
          <w:szCs w:val="21"/>
        </w:rPr>
        <w:t>第二十八条第一款：</w:t>
      </w:r>
      <w:r>
        <w:rPr>
          <w:rFonts w:hint="eastAsia" w:ascii="仿宋" w:hAnsi="仿宋" w:eastAsia="仿宋" w:cs="仿宋_GB2312"/>
          <w:sz w:val="21"/>
          <w:szCs w:val="21"/>
          <w:shd w:val="clear" w:color="auto" w:fill="FFFFFF"/>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r>
        <w:rPr>
          <w:rFonts w:hint="eastAsia" w:ascii="仿宋" w:hAnsi="仿宋" w:eastAsia="仿宋_GB2312" w:cs="仿宋_GB2312"/>
          <w:sz w:val="21"/>
          <w:szCs w:val="21"/>
          <w:shd w:val="clear" w:color="auto" w:fill="FFFFFF"/>
        </w:rPr>
        <w:t> </w:t>
      </w:r>
    </w:p>
  </w:footnote>
  <w:footnote w:id="4">
    <w:p w14:paraId="33EFA575">
      <w:pPr>
        <w:pStyle w:val="5"/>
        <w:rPr>
          <w:rFonts w:ascii="仿宋" w:hAnsi="仿宋" w:eastAsia="仿宋"/>
          <w:sz w:val="21"/>
          <w:szCs w:val="21"/>
        </w:rPr>
      </w:pPr>
      <w:r>
        <w:rPr>
          <w:rStyle w:val="8"/>
          <w:rFonts w:ascii="仿宋" w:hAnsi="仿宋" w:eastAsia="仿宋"/>
          <w:sz w:val="21"/>
          <w:szCs w:val="21"/>
        </w:rPr>
        <w:footnoteRef/>
      </w:r>
      <w:r>
        <w:rPr>
          <w:rFonts w:ascii="仿宋" w:hAnsi="仿宋" w:eastAsia="仿宋"/>
          <w:sz w:val="21"/>
          <w:szCs w:val="21"/>
        </w:rPr>
        <w:t xml:space="preserve"> </w:t>
      </w:r>
      <w:r>
        <w:rPr>
          <w:rFonts w:hint="eastAsia" w:ascii="仿宋" w:hAnsi="仿宋" w:eastAsia="仿宋" w:cs="仿宋_GB2312"/>
          <w:sz w:val="21"/>
          <w:szCs w:val="21"/>
        </w:rPr>
        <w:t>《中华人民共和国安全生产法》</w:t>
      </w:r>
      <w:r>
        <w:rPr>
          <w:rFonts w:hint="eastAsia" w:ascii="仿宋" w:hAnsi="仿宋" w:eastAsia="仿宋" w:cs="仿宋_GB2312"/>
          <w:sz w:val="21"/>
          <w:szCs w:val="21"/>
          <w:shd w:val="clear" w:color="auto" w:fill="FFFFFF"/>
        </w:rPr>
        <w:t>第四十四条第一款：生产经营单位应当教育和督促从业人员严格执行本单位的安全生产规章制度和安全操作规程；并向从业人员如实告知作业场所和工作岗位存在的危险因素、防范措施以及事故应急措施。</w:t>
      </w:r>
    </w:p>
  </w:footnote>
  <w:footnote w:id="5">
    <w:p w14:paraId="2ACDE051">
      <w:pPr>
        <w:pStyle w:val="5"/>
        <w:rPr>
          <w:rFonts w:ascii="仿宋" w:hAnsi="仿宋" w:eastAsia="仿宋"/>
          <w:sz w:val="21"/>
          <w:szCs w:val="21"/>
        </w:rPr>
      </w:pPr>
      <w:r>
        <w:rPr>
          <w:rStyle w:val="8"/>
          <w:rFonts w:ascii="仿宋" w:hAnsi="仿宋" w:eastAsia="仿宋"/>
          <w:sz w:val="21"/>
          <w:szCs w:val="21"/>
        </w:rPr>
        <w:footnoteRef/>
      </w:r>
      <w:r>
        <w:rPr>
          <w:rFonts w:ascii="仿宋" w:hAnsi="仿宋" w:eastAsia="仿宋"/>
          <w:sz w:val="21"/>
          <w:szCs w:val="21"/>
        </w:rPr>
        <w:t xml:space="preserve"> </w:t>
      </w:r>
      <w:r>
        <w:rPr>
          <w:rFonts w:hint="eastAsia" w:ascii="仿宋" w:hAnsi="仿宋" w:eastAsia="仿宋" w:cs="仿宋_GB2312"/>
          <w:sz w:val="21"/>
          <w:szCs w:val="21"/>
        </w:rPr>
        <w:t>《中华人民共和国安全生产法》</w:t>
      </w:r>
      <w:r>
        <w:rPr>
          <w:rFonts w:hint="eastAsia" w:ascii="仿宋" w:hAnsi="仿宋" w:eastAsia="仿宋" w:cs="仿宋_GB2312"/>
          <w:sz w:val="21"/>
          <w:szCs w:val="21"/>
          <w:shd w:val="clear" w:color="auto" w:fill="FFFFFF"/>
        </w:rPr>
        <w:t>第四十五条：生产经营单位必须为从业人员提供符合国家标准或者行业标准的劳动防护用品，并监督、教育从业人员按照使用规则佩戴、使用。</w:t>
      </w:r>
    </w:p>
  </w:footnote>
  <w:footnote w:id="6">
    <w:p w14:paraId="1F52FBCD">
      <w:pPr>
        <w:pStyle w:val="5"/>
        <w:spacing w:line="240" w:lineRule="exact"/>
        <w:jc w:val="both"/>
        <w:rPr>
          <w:rFonts w:ascii="仿宋" w:hAnsi="仿宋" w:eastAsia="仿宋"/>
          <w:sz w:val="21"/>
          <w:szCs w:val="21"/>
        </w:rPr>
      </w:pPr>
      <w:r>
        <w:rPr>
          <w:rStyle w:val="8"/>
          <w:rFonts w:ascii="仿宋" w:hAnsi="仿宋" w:eastAsia="仿宋"/>
          <w:sz w:val="21"/>
          <w:szCs w:val="21"/>
        </w:rPr>
        <w:footnoteRef/>
      </w:r>
      <w:r>
        <w:rPr>
          <w:rFonts w:ascii="仿宋" w:hAnsi="仿宋" w:eastAsia="仿宋"/>
          <w:sz w:val="21"/>
          <w:szCs w:val="21"/>
        </w:rPr>
        <w:t xml:space="preserve"> </w:t>
      </w:r>
      <w:r>
        <w:rPr>
          <w:rFonts w:hint="eastAsia" w:ascii="仿宋" w:hAnsi="仿宋" w:eastAsia="仿宋" w:cs="Times New Roman"/>
          <w:sz w:val="21"/>
          <w:szCs w:val="21"/>
        </w:rPr>
        <w:t>《中华人民共和国安全生产法》第一百一十四条 发生生产安全事故，对负有责任的生产经营单位除要求其依法承担相应的赔偿等责任外，由应急管理部门依照下列规定处以罚款：第（一）项 发生一般事故的，处三十万元以上一百万元以下的罚款。</w:t>
      </w:r>
    </w:p>
  </w:footnote>
  <w:footnote w:id="7">
    <w:p w14:paraId="4576F101">
      <w:pPr>
        <w:pStyle w:val="5"/>
        <w:rPr>
          <w:rFonts w:ascii="仿宋" w:hAnsi="仿宋" w:eastAsia="仿宋"/>
          <w:sz w:val="21"/>
          <w:szCs w:val="21"/>
        </w:rPr>
      </w:pPr>
      <w:r>
        <w:rPr>
          <w:rStyle w:val="8"/>
          <w:rFonts w:ascii="仿宋" w:hAnsi="仿宋" w:eastAsia="仿宋"/>
          <w:sz w:val="21"/>
          <w:szCs w:val="21"/>
        </w:rPr>
        <w:footnoteRef/>
      </w:r>
      <w:r>
        <w:rPr>
          <w:rFonts w:ascii="仿宋" w:hAnsi="仿宋" w:eastAsia="仿宋"/>
          <w:sz w:val="21"/>
          <w:szCs w:val="21"/>
        </w:rPr>
        <w:t xml:space="preserve"> </w:t>
      </w:r>
      <w:r>
        <w:rPr>
          <w:rFonts w:hint="eastAsia" w:ascii="仿宋" w:hAnsi="仿宋" w:eastAsia="仿宋"/>
          <w:sz w:val="21"/>
          <w:szCs w:val="21"/>
        </w:rPr>
        <w:t>《中华人民共和国安全生产法》第五十七条：从业人员在作业过程中，应当严格落实岗位安全责任，遵守本单位的安全生产规章制度和操作规程，服从管理，正确佩戴和使用劳动防护用品。</w:t>
      </w:r>
    </w:p>
  </w:footnote>
  <w:footnote w:id="8">
    <w:p w14:paraId="6BBC7A1E">
      <w:pPr>
        <w:pStyle w:val="5"/>
        <w:spacing w:line="240" w:lineRule="exact"/>
        <w:jc w:val="both"/>
        <w:rPr>
          <w:rFonts w:ascii="仿宋" w:hAnsi="仿宋" w:eastAsia="仿宋"/>
          <w:sz w:val="21"/>
          <w:szCs w:val="21"/>
        </w:rPr>
      </w:pPr>
      <w:r>
        <w:rPr>
          <w:rStyle w:val="8"/>
          <w:rFonts w:ascii="仿宋" w:hAnsi="仿宋" w:eastAsia="仿宋"/>
          <w:sz w:val="21"/>
          <w:szCs w:val="21"/>
        </w:rPr>
        <w:footnoteRef/>
      </w:r>
      <w:r>
        <w:rPr>
          <w:rFonts w:ascii="仿宋" w:hAnsi="仿宋" w:eastAsia="仿宋"/>
          <w:sz w:val="21"/>
          <w:szCs w:val="21"/>
        </w:rPr>
        <w:t xml:space="preserve"> </w:t>
      </w:r>
      <w:r>
        <w:rPr>
          <w:rFonts w:hint="eastAsia" w:ascii="仿宋" w:hAnsi="仿宋" w:eastAsia="仿宋" w:cs="Times New Roman"/>
          <w:sz w:val="21"/>
          <w:szCs w:val="21"/>
        </w:rPr>
        <w:t>《中华人民共和国安全生产法》第二十一条 生产经营单位的主要负责人对本单位安全生产工作负有下列职责:第（五）项 组织建立并落实安全风险分级管控和隐患排查治理双重预防工作机制，督促、检查本单位的安全生产工作，及时消除生产安全事故隐患。</w:t>
      </w:r>
    </w:p>
  </w:footnote>
  <w:footnote w:id="9">
    <w:p w14:paraId="1B4E59BA">
      <w:pPr>
        <w:pStyle w:val="5"/>
        <w:spacing w:line="240" w:lineRule="exact"/>
        <w:jc w:val="both"/>
        <w:rPr>
          <w:rFonts w:ascii="仿宋" w:hAnsi="仿宋" w:eastAsia="仿宋"/>
          <w:sz w:val="21"/>
          <w:szCs w:val="21"/>
        </w:rPr>
      </w:pPr>
      <w:r>
        <w:rPr>
          <w:rStyle w:val="8"/>
          <w:rFonts w:ascii="仿宋" w:hAnsi="仿宋" w:eastAsia="仿宋"/>
          <w:sz w:val="21"/>
          <w:szCs w:val="21"/>
        </w:rPr>
        <w:footnoteRef/>
      </w:r>
      <w:r>
        <w:rPr>
          <w:rFonts w:ascii="仿宋" w:hAnsi="仿宋" w:eastAsia="仿宋"/>
          <w:sz w:val="21"/>
          <w:szCs w:val="21"/>
        </w:rPr>
        <w:t xml:space="preserve"> </w:t>
      </w:r>
      <w:r>
        <w:rPr>
          <w:rFonts w:hint="eastAsia" w:ascii="仿宋" w:hAnsi="仿宋" w:eastAsia="仿宋" w:cs="Times New Roman"/>
          <w:sz w:val="21"/>
          <w:szCs w:val="21"/>
        </w:rPr>
        <w:t>《中华人民共和国安全生产法》第九十五条 生产经营单位的主要负责人未履行本法规定的安全生产管理职责，导致发生生产安全事故的，由应急管理部门依照下列规定处以罚款:第（一）项 发生一般事故的，处上一年年收入百分之四十的罚款。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0"/>
    <w:footnote w:id="2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9EF"/>
    <w:rsid w:val="000031D4"/>
    <w:rsid w:val="00036BB4"/>
    <w:rsid w:val="00055BDA"/>
    <w:rsid w:val="0007256D"/>
    <w:rsid w:val="00084C44"/>
    <w:rsid w:val="00087784"/>
    <w:rsid w:val="000A48A2"/>
    <w:rsid w:val="001312A3"/>
    <w:rsid w:val="0014298E"/>
    <w:rsid w:val="00163CEB"/>
    <w:rsid w:val="001D4DC6"/>
    <w:rsid w:val="001F2D04"/>
    <w:rsid w:val="00205306"/>
    <w:rsid w:val="00216151"/>
    <w:rsid w:val="0022050E"/>
    <w:rsid w:val="0025024E"/>
    <w:rsid w:val="00255017"/>
    <w:rsid w:val="002A0D4C"/>
    <w:rsid w:val="002A5206"/>
    <w:rsid w:val="003552DA"/>
    <w:rsid w:val="00381C71"/>
    <w:rsid w:val="003D1C18"/>
    <w:rsid w:val="003E1906"/>
    <w:rsid w:val="0041367C"/>
    <w:rsid w:val="00420828"/>
    <w:rsid w:val="00455D96"/>
    <w:rsid w:val="004818F3"/>
    <w:rsid w:val="00492B3E"/>
    <w:rsid w:val="004C1384"/>
    <w:rsid w:val="004F64A4"/>
    <w:rsid w:val="0050139D"/>
    <w:rsid w:val="00520A5C"/>
    <w:rsid w:val="005305BC"/>
    <w:rsid w:val="00532345"/>
    <w:rsid w:val="00563EF7"/>
    <w:rsid w:val="005708D9"/>
    <w:rsid w:val="00573767"/>
    <w:rsid w:val="00582C22"/>
    <w:rsid w:val="005C392F"/>
    <w:rsid w:val="005D5DE8"/>
    <w:rsid w:val="005E36BB"/>
    <w:rsid w:val="006734F9"/>
    <w:rsid w:val="006938D6"/>
    <w:rsid w:val="006C3D8D"/>
    <w:rsid w:val="00747D13"/>
    <w:rsid w:val="00762063"/>
    <w:rsid w:val="00774A6E"/>
    <w:rsid w:val="00784B85"/>
    <w:rsid w:val="0079533D"/>
    <w:rsid w:val="007B165A"/>
    <w:rsid w:val="007D218E"/>
    <w:rsid w:val="007F2C90"/>
    <w:rsid w:val="00842BF9"/>
    <w:rsid w:val="008A371A"/>
    <w:rsid w:val="008C1A9D"/>
    <w:rsid w:val="008C5562"/>
    <w:rsid w:val="008E5BCF"/>
    <w:rsid w:val="00951D31"/>
    <w:rsid w:val="00955433"/>
    <w:rsid w:val="00975EA4"/>
    <w:rsid w:val="00981898"/>
    <w:rsid w:val="009A1EA1"/>
    <w:rsid w:val="009B1145"/>
    <w:rsid w:val="009E0E08"/>
    <w:rsid w:val="009F1E67"/>
    <w:rsid w:val="00A00489"/>
    <w:rsid w:val="00A03D7B"/>
    <w:rsid w:val="00A1034F"/>
    <w:rsid w:val="00A11561"/>
    <w:rsid w:val="00A254FD"/>
    <w:rsid w:val="00A35063"/>
    <w:rsid w:val="00A54569"/>
    <w:rsid w:val="00A57600"/>
    <w:rsid w:val="00A6685C"/>
    <w:rsid w:val="00AF57A0"/>
    <w:rsid w:val="00B266B4"/>
    <w:rsid w:val="00B53F55"/>
    <w:rsid w:val="00B83259"/>
    <w:rsid w:val="00BC17A1"/>
    <w:rsid w:val="00BC2C15"/>
    <w:rsid w:val="00BE3EB1"/>
    <w:rsid w:val="00BE5EC5"/>
    <w:rsid w:val="00BF2601"/>
    <w:rsid w:val="00BF7D39"/>
    <w:rsid w:val="00C46276"/>
    <w:rsid w:val="00C64893"/>
    <w:rsid w:val="00C65DC6"/>
    <w:rsid w:val="00CD21E0"/>
    <w:rsid w:val="00CE1802"/>
    <w:rsid w:val="00D11A1A"/>
    <w:rsid w:val="00D11B1F"/>
    <w:rsid w:val="00D12893"/>
    <w:rsid w:val="00D416E3"/>
    <w:rsid w:val="00D460D9"/>
    <w:rsid w:val="00D86712"/>
    <w:rsid w:val="00E13065"/>
    <w:rsid w:val="00E14F51"/>
    <w:rsid w:val="00EF319B"/>
    <w:rsid w:val="00F009EF"/>
    <w:rsid w:val="00F32373"/>
    <w:rsid w:val="00F35333"/>
    <w:rsid w:val="00F81686"/>
    <w:rsid w:val="00FC6E72"/>
    <w:rsid w:val="0FD23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2"/>
    <w:qFormat/>
    <w:uiPriority w:val="0"/>
    <w:rPr>
      <w:rFonts w:ascii="宋体" w:hAnsi="Courier New" w:eastAsia="宋体" w:cs="Times New Roman"/>
      <w:szCs w:val="20"/>
    </w:rPr>
  </w:style>
  <w:style w:type="paragraph" w:styleId="3">
    <w:name w:val="footer"/>
    <w:basedOn w:val="1"/>
    <w:link w:val="10"/>
    <w:semiHidden/>
    <w:unhideWhenUsed/>
    <w:uiPriority w:val="99"/>
    <w:pPr>
      <w:tabs>
        <w:tab w:val="center" w:pos="4153"/>
        <w:tab w:val="right" w:pos="8306"/>
      </w:tabs>
      <w:snapToGrid w:val="0"/>
      <w:jc w:val="left"/>
    </w:pPr>
    <w:rPr>
      <w:sz w:val="18"/>
      <w:szCs w:val="18"/>
    </w:rPr>
  </w:style>
  <w:style w:type="paragraph" w:styleId="4">
    <w:name w:val="header"/>
    <w:basedOn w:val="1"/>
    <w:link w:val="9"/>
    <w:semiHidden/>
    <w:unhideWhenUsed/>
    <w:uiPriority w:val="99"/>
    <w:pPr>
      <w:pBdr>
        <w:bottom w:val="single" w:color="auto" w:sz="6" w:space="1"/>
      </w:pBdr>
      <w:tabs>
        <w:tab w:val="center" w:pos="4153"/>
        <w:tab w:val="right" w:pos="8306"/>
      </w:tabs>
      <w:snapToGrid w:val="0"/>
      <w:jc w:val="center"/>
    </w:pPr>
    <w:rPr>
      <w:sz w:val="18"/>
      <w:szCs w:val="18"/>
    </w:rPr>
  </w:style>
  <w:style w:type="paragraph" w:styleId="5">
    <w:name w:val="footnote text"/>
    <w:basedOn w:val="1"/>
    <w:link w:val="11"/>
    <w:semiHidden/>
    <w:unhideWhenUsed/>
    <w:qFormat/>
    <w:uiPriority w:val="99"/>
    <w:pPr>
      <w:snapToGrid w:val="0"/>
      <w:jc w:val="left"/>
    </w:pPr>
    <w:rPr>
      <w:sz w:val="18"/>
      <w:szCs w:val="18"/>
    </w:rPr>
  </w:style>
  <w:style w:type="character" w:styleId="8">
    <w:name w:val="footnote reference"/>
    <w:basedOn w:val="7"/>
    <w:semiHidden/>
    <w:unhideWhenUsed/>
    <w:qFormat/>
    <w:uiPriority w:val="99"/>
    <w:rPr>
      <w:vertAlign w:val="superscript"/>
    </w:rPr>
  </w:style>
  <w:style w:type="character" w:customStyle="1" w:styleId="9">
    <w:name w:val="页眉 Char"/>
    <w:basedOn w:val="7"/>
    <w:link w:val="4"/>
    <w:semiHidden/>
    <w:uiPriority w:val="99"/>
    <w:rPr>
      <w:sz w:val="18"/>
      <w:szCs w:val="18"/>
    </w:rPr>
  </w:style>
  <w:style w:type="character" w:customStyle="1" w:styleId="10">
    <w:name w:val="页脚 Char"/>
    <w:basedOn w:val="7"/>
    <w:link w:val="3"/>
    <w:semiHidden/>
    <w:uiPriority w:val="99"/>
    <w:rPr>
      <w:sz w:val="18"/>
      <w:szCs w:val="18"/>
    </w:rPr>
  </w:style>
  <w:style w:type="character" w:customStyle="1" w:styleId="11">
    <w:name w:val="脚注文本 Char"/>
    <w:basedOn w:val="7"/>
    <w:link w:val="5"/>
    <w:semiHidden/>
    <w:qFormat/>
    <w:uiPriority w:val="99"/>
    <w:rPr>
      <w:sz w:val="18"/>
      <w:szCs w:val="18"/>
    </w:rPr>
  </w:style>
  <w:style w:type="character" w:customStyle="1" w:styleId="12">
    <w:name w:val="纯文本 Char"/>
    <w:basedOn w:val="7"/>
    <w:link w:val="2"/>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D0FD98-8240-439D-94F1-81A278D2C4EC}">
  <ds:schemaRefs/>
</ds:datastoreItem>
</file>

<file path=docProps/app.xml><?xml version="1.0" encoding="utf-8"?>
<Properties xmlns="http://schemas.openxmlformats.org/officeDocument/2006/extended-properties" xmlns:vt="http://schemas.openxmlformats.org/officeDocument/2006/docPropsVTypes">
  <Template>Normal</Template>
  <Pages>8</Pages>
  <Words>4217</Words>
  <Characters>4409</Characters>
  <Lines>31</Lines>
  <Paragraphs>8</Paragraphs>
  <TotalTime>2409</TotalTime>
  <ScaleCrop>false</ScaleCrop>
  <LinksUpToDate>false</LinksUpToDate>
  <CharactersWithSpaces>4412</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2025-03-18T05:58:00Z</dcterms:created>
  <dc:creator>HP</dc:creator>
  <cp:lastModifiedBy>吴睿</cp:lastModifiedBy>
  <cp:lastPrinted>2025-04-02T03:11:00Z</cp:lastPrinted>
  <dcterms:modified xsi:type="dcterms:W3CDTF">2025-07-22T01:34:27Z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eyJoZGlkIjoiMDEyNjljNzQ1MDAzYTRmZDg1ZWMyNGRiNWUxOGJiYzUiLCJ1c2VySWQiOiIyMzA0MTY2MjcifQ==</vt:lpwstr>
  </property>
  <property fmtid="{D5CDD505-2E9C-101B-9397-08002B2CF9AE}" pid="3" name="KSOProductBuildVer">
    <vt:lpwstr>2052-12.1.0.21171</vt:lpwstr>
  </property>
  <property fmtid="{D5CDD505-2E9C-101B-9397-08002B2CF9AE}" pid="4" name="ICV">
    <vt:lpwstr>CF25228F0F1B4CC38FC77BF635C3F5A1_13</vt:lpwstr>
  </property>
</Properties>
</file>