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72293C">
      <w:pPr>
        <w:spacing w:line="520" w:lineRule="exact"/>
        <w:jc w:val="center"/>
        <w:rPr>
          <w:rFonts w:hint="eastAsia" w:ascii="方正小标宋简体" w:hAnsi="方正小标宋简体" w:eastAsia="方正小标宋简体" w:cs="方正小标宋简体"/>
          <w:spacing w:val="-2"/>
          <w:kern w:val="0"/>
          <w:sz w:val="44"/>
          <w:szCs w:val="44"/>
        </w:rPr>
      </w:pPr>
    </w:p>
    <w:p w14:paraId="12C08969">
      <w:pPr>
        <w:spacing w:line="520" w:lineRule="exact"/>
        <w:jc w:val="center"/>
        <w:rPr>
          <w:rFonts w:hint="eastAsia" w:ascii="方正小标宋简体" w:hAnsi="方正小标宋简体" w:eastAsia="方正小标宋简体" w:cs="方正小标宋简体"/>
          <w:spacing w:val="-2"/>
          <w:kern w:val="0"/>
          <w:sz w:val="44"/>
          <w:szCs w:val="44"/>
        </w:rPr>
      </w:pPr>
    </w:p>
    <w:p w14:paraId="5F63ED47">
      <w:pPr>
        <w:spacing w:line="520" w:lineRule="exact"/>
        <w:jc w:val="center"/>
        <w:rPr>
          <w:rFonts w:hint="eastAsia" w:ascii="方正小标宋简体" w:hAnsi="方正小标宋简体" w:eastAsia="方正小标宋简体" w:cs="方正小标宋简体"/>
          <w:spacing w:val="-2"/>
          <w:kern w:val="0"/>
          <w:sz w:val="44"/>
          <w:szCs w:val="44"/>
        </w:rPr>
      </w:pPr>
    </w:p>
    <w:p w14:paraId="4370C6EF">
      <w:pPr>
        <w:spacing w:line="520" w:lineRule="exact"/>
        <w:jc w:val="center"/>
        <w:rPr>
          <w:rFonts w:ascii="方正小标宋简体" w:hAnsi="方正小标宋简体" w:eastAsia="方正小标宋简体" w:cs="方正小标宋简体"/>
          <w:spacing w:val="-2"/>
          <w:kern w:val="0"/>
          <w:sz w:val="44"/>
          <w:szCs w:val="44"/>
        </w:rPr>
      </w:pPr>
    </w:p>
    <w:p w14:paraId="006AC718">
      <w:pPr>
        <w:spacing w:line="520" w:lineRule="exact"/>
        <w:jc w:val="center"/>
        <w:rPr>
          <w:rFonts w:ascii="方正小标宋简体" w:hAnsi="方正小标宋简体" w:eastAsia="方正小标宋简体" w:cs="方正小标宋简体"/>
          <w:spacing w:val="-2"/>
          <w:kern w:val="0"/>
          <w:sz w:val="44"/>
          <w:szCs w:val="44"/>
        </w:rPr>
      </w:pPr>
    </w:p>
    <w:p w14:paraId="08ACB130">
      <w:pPr>
        <w:spacing w:line="520" w:lineRule="exact"/>
        <w:jc w:val="center"/>
        <w:rPr>
          <w:rFonts w:ascii="方正小标宋简体" w:hAnsi="方正小标宋简体" w:eastAsia="方正小标宋简体" w:cs="方正小标宋简体"/>
          <w:spacing w:val="-2"/>
          <w:kern w:val="0"/>
          <w:sz w:val="44"/>
          <w:szCs w:val="44"/>
        </w:rPr>
      </w:pPr>
    </w:p>
    <w:p w14:paraId="4726A7AB">
      <w:pPr>
        <w:spacing w:line="520" w:lineRule="exact"/>
        <w:jc w:val="center"/>
        <w:rPr>
          <w:rFonts w:ascii="方正小标宋简体" w:hAnsi="方正小标宋简体" w:eastAsia="方正小标宋简体" w:cs="方正小标宋简体"/>
          <w:spacing w:val="-2"/>
          <w:kern w:val="0"/>
          <w:sz w:val="44"/>
          <w:szCs w:val="44"/>
        </w:rPr>
      </w:pPr>
    </w:p>
    <w:p w14:paraId="1E8110DA">
      <w:pPr>
        <w:spacing w:line="520" w:lineRule="exact"/>
        <w:rPr>
          <w:rFonts w:ascii="方正小标宋简体" w:hAnsi="方正小标宋简体" w:eastAsia="方正小标宋简体" w:cs="方正小标宋简体"/>
          <w:spacing w:val="-2"/>
          <w:kern w:val="0"/>
          <w:sz w:val="44"/>
          <w:szCs w:val="44"/>
        </w:rPr>
      </w:pPr>
    </w:p>
    <w:p w14:paraId="6E5CE1A8">
      <w:pPr>
        <w:spacing w:line="520" w:lineRule="exact"/>
        <w:jc w:val="center"/>
        <w:rPr>
          <w:rFonts w:ascii="方正小标宋简体" w:hAnsi="方正小标宋简体" w:eastAsia="方正小标宋简体" w:cs="方正小标宋简体"/>
          <w:spacing w:val="-2"/>
          <w:kern w:val="0"/>
          <w:sz w:val="44"/>
          <w:szCs w:val="44"/>
        </w:rPr>
      </w:pPr>
      <w:r>
        <w:rPr>
          <w:rFonts w:hint="eastAsia" w:ascii="方正小标宋简体" w:hAnsi="方正小标宋简体" w:eastAsia="方正小标宋简体" w:cs="方正小标宋简体"/>
          <w:spacing w:val="-2"/>
          <w:kern w:val="0"/>
          <w:sz w:val="44"/>
          <w:szCs w:val="44"/>
        </w:rPr>
        <w:t>静安南京西路永源浜4号地块项目</w:t>
      </w:r>
    </w:p>
    <w:p w14:paraId="62EE289F">
      <w:pPr>
        <w:spacing w:line="520" w:lineRule="exact"/>
        <w:jc w:val="center"/>
        <w:rPr>
          <w:rFonts w:ascii="方正小标宋简体" w:hAnsi="方正小标宋简体" w:eastAsia="方正小标宋简体" w:cs="方正小标宋简体"/>
          <w:spacing w:val="-2"/>
          <w:kern w:val="0"/>
          <w:sz w:val="44"/>
          <w:szCs w:val="44"/>
        </w:rPr>
      </w:pPr>
      <w:r>
        <w:rPr>
          <w:rFonts w:hint="eastAsia" w:ascii="方正小标宋简体" w:hAnsi="方正小标宋简体" w:eastAsia="方正小标宋简体" w:cs="方正小标宋简体"/>
          <w:spacing w:val="-2"/>
          <w:kern w:val="0"/>
          <w:sz w:val="44"/>
          <w:szCs w:val="44"/>
        </w:rPr>
        <w:t>“3·29”一般车辆</w:t>
      </w:r>
      <w:r>
        <w:rPr>
          <w:rFonts w:hint="eastAsia" w:ascii="方正小标宋简体" w:hAnsi="方正小标宋简体" w:eastAsia="方正小标宋简体" w:cs="方正小标宋简体"/>
          <w:spacing w:val="-2"/>
          <w:kern w:val="0"/>
          <w:sz w:val="44"/>
          <w:szCs w:val="44"/>
          <w:lang w:eastAsia="zh-CN"/>
        </w:rPr>
        <w:t>伤害</w:t>
      </w:r>
      <w:r>
        <w:rPr>
          <w:rFonts w:hint="eastAsia" w:ascii="方正小标宋简体" w:hAnsi="方正小标宋简体" w:eastAsia="方正小标宋简体" w:cs="方正小标宋简体"/>
          <w:spacing w:val="-2"/>
          <w:kern w:val="0"/>
          <w:sz w:val="44"/>
          <w:szCs w:val="44"/>
        </w:rPr>
        <w:t>事故调查报告</w:t>
      </w:r>
    </w:p>
    <w:p w14:paraId="2A8C9C6C">
      <w:pPr>
        <w:pStyle w:val="4"/>
        <w:spacing w:before="556"/>
        <w:ind w:left="0"/>
        <w:rPr>
          <w:rFonts w:ascii="仿宋_GB2312" w:hAnsi="仿宋_GB2312" w:eastAsia="仿宋_GB2312" w:cs="仿宋_GB2312"/>
          <w:sz w:val="36"/>
          <w:szCs w:val="36"/>
        </w:rPr>
      </w:pPr>
    </w:p>
    <w:p w14:paraId="1D7634CD">
      <w:pPr>
        <w:pStyle w:val="4"/>
        <w:spacing w:before="556"/>
        <w:ind w:left="0"/>
        <w:rPr>
          <w:rFonts w:ascii="仿宋_GB2312" w:hAnsi="仿宋_GB2312" w:eastAsia="仿宋_GB2312" w:cs="仿宋_GB2312"/>
          <w:sz w:val="36"/>
          <w:szCs w:val="36"/>
        </w:rPr>
      </w:pPr>
    </w:p>
    <w:p w14:paraId="77AC629D">
      <w:pPr>
        <w:pStyle w:val="4"/>
        <w:spacing w:before="556"/>
        <w:ind w:left="0"/>
        <w:rPr>
          <w:rFonts w:ascii="仿宋_GB2312" w:hAnsi="仿宋_GB2312" w:eastAsia="仿宋_GB2312" w:cs="仿宋_GB2312"/>
          <w:sz w:val="36"/>
          <w:szCs w:val="36"/>
        </w:rPr>
      </w:pPr>
    </w:p>
    <w:p w14:paraId="38742D9D">
      <w:pPr>
        <w:pStyle w:val="4"/>
        <w:spacing w:before="556"/>
        <w:ind w:left="0"/>
        <w:rPr>
          <w:rFonts w:ascii="仿宋_GB2312" w:hAnsi="仿宋_GB2312" w:eastAsia="仿宋_GB2312" w:cs="仿宋_GB2312"/>
          <w:sz w:val="36"/>
          <w:szCs w:val="36"/>
        </w:rPr>
      </w:pPr>
    </w:p>
    <w:p w14:paraId="24A51A47">
      <w:pPr>
        <w:pStyle w:val="4"/>
        <w:spacing w:before="556"/>
        <w:ind w:left="0"/>
        <w:rPr>
          <w:rFonts w:ascii="仿宋_GB2312" w:hAnsi="仿宋_GB2312" w:eastAsia="仿宋_GB2312" w:cs="仿宋_GB2312"/>
          <w:sz w:val="36"/>
          <w:szCs w:val="36"/>
        </w:rPr>
      </w:pPr>
    </w:p>
    <w:p w14:paraId="32DE02BD">
      <w:pPr>
        <w:pStyle w:val="4"/>
        <w:spacing w:before="556"/>
        <w:ind w:left="0"/>
        <w:rPr>
          <w:rFonts w:ascii="仿宋_GB2312" w:hAnsi="仿宋_GB2312" w:eastAsia="仿宋_GB2312" w:cs="仿宋_GB2312"/>
          <w:sz w:val="36"/>
          <w:szCs w:val="36"/>
        </w:rPr>
      </w:pPr>
    </w:p>
    <w:p w14:paraId="21D95066">
      <w:pPr>
        <w:pStyle w:val="4"/>
        <w:spacing w:before="556"/>
        <w:ind w:left="0"/>
        <w:rPr>
          <w:rFonts w:ascii="仿宋_GB2312" w:hAnsi="仿宋_GB2312" w:eastAsia="仿宋_GB2312" w:cs="仿宋_GB2312"/>
          <w:sz w:val="36"/>
          <w:szCs w:val="36"/>
        </w:rPr>
      </w:pPr>
    </w:p>
    <w:p w14:paraId="6A099394">
      <w:pPr>
        <w:pStyle w:val="4"/>
        <w:spacing w:before="7"/>
        <w:ind w:left="0"/>
        <w:jc w:val="center"/>
        <w:rPr>
          <w:rFonts w:ascii="黑体" w:hAnsi="黑体" w:eastAsia="黑体" w:cs="黑体"/>
          <w:spacing w:val="-2"/>
          <w:sz w:val="36"/>
          <w:szCs w:val="36"/>
        </w:rPr>
      </w:pPr>
      <w:r>
        <w:rPr>
          <w:rFonts w:hint="eastAsia" w:ascii="黑体" w:hAnsi="黑体" w:eastAsia="黑体" w:cs="黑体"/>
          <w:spacing w:val="-2"/>
          <w:sz w:val="36"/>
          <w:szCs w:val="36"/>
        </w:rPr>
        <w:t>静安区政府事故调查组</w:t>
      </w:r>
    </w:p>
    <w:p w14:paraId="754F5C82">
      <w:pPr>
        <w:spacing w:line="520" w:lineRule="exact"/>
        <w:jc w:val="center"/>
      </w:pPr>
      <w:r>
        <w:rPr>
          <w:rFonts w:hint="eastAsia" w:ascii="黑体" w:hAnsi="黑体" w:eastAsia="黑体" w:cs="黑体"/>
          <w:spacing w:val="-2"/>
          <w:sz w:val="36"/>
          <w:szCs w:val="36"/>
        </w:rPr>
        <w:t>2026年5月</w:t>
      </w:r>
    </w:p>
    <w:p w14:paraId="7E25B42A"/>
    <w:p w14:paraId="3544F170">
      <w:pPr>
        <w:jc w:val="center"/>
      </w:pPr>
    </w:p>
    <w:p w14:paraId="67A71AE0">
      <w:pPr>
        <w:pStyle w:val="4"/>
        <w:spacing w:before="275"/>
        <w:ind w:left="1965" w:right="2137"/>
        <w:jc w:val="center"/>
        <w:rPr>
          <w:spacing w:val="-5"/>
        </w:rPr>
        <w:sectPr>
          <w:footerReference r:id="rId4" w:type="default"/>
          <w:pgSz w:w="11910" w:h="16840"/>
          <w:pgMar w:top="1920" w:right="1275" w:bottom="1200" w:left="1559" w:header="0" w:footer="1005" w:gutter="0"/>
          <w:pgNumType w:start="1"/>
          <w:cols w:space="720" w:num="1"/>
        </w:sectPr>
      </w:pPr>
    </w:p>
    <w:sdt>
      <w:sdtPr>
        <w:rPr>
          <w:rFonts w:ascii="宋体" w:hAnsi="宋体"/>
          <w:sz w:val="40"/>
          <w:szCs w:val="44"/>
        </w:rPr>
        <w:id w:val="147467963"/>
        <w:docPartObj>
          <w:docPartGallery w:val="Table of Contents"/>
          <w:docPartUnique/>
        </w:docPartObj>
      </w:sdtPr>
      <w:sdtEndPr>
        <w:rPr>
          <w:rFonts w:ascii="Calibri" w:hAnsi="Calibri"/>
          <w:sz w:val="21"/>
          <w:szCs w:val="22"/>
        </w:rPr>
      </w:sdtEndPr>
      <w:sdtContent>
        <w:p w14:paraId="35BB0EE2">
          <w:pPr>
            <w:jc w:val="center"/>
            <w:rPr>
              <w:sz w:val="40"/>
              <w:szCs w:val="44"/>
            </w:rPr>
          </w:pPr>
          <w:r>
            <w:rPr>
              <w:rFonts w:ascii="宋体" w:hAnsi="宋体"/>
              <w:sz w:val="40"/>
              <w:szCs w:val="44"/>
            </w:rPr>
            <w:t>目录</w:t>
          </w:r>
        </w:p>
        <w:p w14:paraId="7F54B4EC">
          <w:pPr>
            <w:pStyle w:val="6"/>
            <w:tabs>
              <w:tab w:val="right" w:leader="dot" w:pos="9076"/>
            </w:tabs>
          </w:pPr>
          <w:r>
            <w:fldChar w:fldCharType="begin"/>
          </w:r>
          <w:r>
            <w:instrText xml:space="preserve">TOC \o "1-2" \h \u </w:instrText>
          </w:r>
          <w:r>
            <w:fldChar w:fldCharType="separate"/>
          </w:r>
          <w:r>
            <w:fldChar w:fldCharType="begin"/>
          </w:r>
          <w:r>
            <w:instrText xml:space="preserve"> HYPERLINK \l _Toc22320 </w:instrText>
          </w:r>
          <w:r>
            <w:fldChar w:fldCharType="separate"/>
          </w:r>
          <w:r>
            <w:rPr>
              <w:rFonts w:hint="eastAsia"/>
            </w:rPr>
            <w:t>一、事故基本情况</w:t>
          </w:r>
          <w:r>
            <w:tab/>
          </w:r>
          <w:r>
            <w:fldChar w:fldCharType="begin"/>
          </w:r>
          <w:r>
            <w:instrText xml:space="preserve"> PAGEREF _Toc22320 \h </w:instrText>
          </w:r>
          <w:r>
            <w:fldChar w:fldCharType="separate"/>
          </w:r>
          <w:r>
            <w:t>1</w:t>
          </w:r>
          <w:r>
            <w:fldChar w:fldCharType="end"/>
          </w:r>
          <w:r>
            <w:fldChar w:fldCharType="end"/>
          </w:r>
        </w:p>
        <w:p w14:paraId="266C20BE">
          <w:pPr>
            <w:pStyle w:val="8"/>
            <w:tabs>
              <w:tab w:val="right" w:leader="dot" w:pos="9076"/>
            </w:tabs>
          </w:pPr>
          <w:r>
            <w:fldChar w:fldCharType="begin"/>
          </w:r>
          <w:r>
            <w:instrText xml:space="preserve"> HYPERLINK \l _Toc28967 </w:instrText>
          </w:r>
          <w:r>
            <w:fldChar w:fldCharType="separate"/>
          </w:r>
          <w:r>
            <w:rPr>
              <w:rFonts w:hint="eastAsia" w:ascii="楷体_GB2312" w:hAnsi="楷体_GB2312" w:cs="楷体_GB2312"/>
              <w:bCs/>
            </w:rPr>
            <w:t>（一）相关单位情况</w:t>
          </w:r>
          <w:r>
            <w:tab/>
          </w:r>
          <w:r>
            <w:fldChar w:fldCharType="begin"/>
          </w:r>
          <w:r>
            <w:instrText xml:space="preserve"> PAGEREF _Toc28967 \h </w:instrText>
          </w:r>
          <w:r>
            <w:fldChar w:fldCharType="separate"/>
          </w:r>
          <w:r>
            <w:t>1</w:t>
          </w:r>
          <w:r>
            <w:fldChar w:fldCharType="end"/>
          </w:r>
          <w:r>
            <w:fldChar w:fldCharType="end"/>
          </w:r>
        </w:p>
        <w:p w14:paraId="38725E93">
          <w:pPr>
            <w:pStyle w:val="8"/>
            <w:tabs>
              <w:tab w:val="right" w:leader="dot" w:pos="9076"/>
            </w:tabs>
          </w:pPr>
          <w:r>
            <w:fldChar w:fldCharType="begin"/>
          </w:r>
          <w:r>
            <w:instrText xml:space="preserve"> HYPERLINK \l _Toc5469 </w:instrText>
          </w:r>
          <w:r>
            <w:fldChar w:fldCharType="separate"/>
          </w:r>
          <w:r>
            <w:rPr>
              <w:rFonts w:hint="eastAsia" w:ascii="楷体_GB2312" w:hAnsi="楷体_GB2312" w:cs="楷体_GB2312"/>
              <w:bCs/>
            </w:rPr>
            <w:t>（二）相关合同情况</w:t>
          </w:r>
          <w:r>
            <w:tab/>
          </w:r>
          <w:r>
            <w:fldChar w:fldCharType="begin"/>
          </w:r>
          <w:r>
            <w:instrText xml:space="preserve"> PAGEREF _Toc5469 \h </w:instrText>
          </w:r>
          <w:r>
            <w:fldChar w:fldCharType="separate"/>
          </w:r>
          <w:r>
            <w:t>3</w:t>
          </w:r>
          <w:r>
            <w:fldChar w:fldCharType="end"/>
          </w:r>
          <w:r>
            <w:fldChar w:fldCharType="end"/>
          </w:r>
        </w:p>
        <w:p w14:paraId="2D470F60">
          <w:pPr>
            <w:pStyle w:val="8"/>
            <w:tabs>
              <w:tab w:val="right" w:leader="dot" w:pos="9076"/>
            </w:tabs>
          </w:pPr>
          <w:r>
            <w:fldChar w:fldCharType="begin"/>
          </w:r>
          <w:r>
            <w:instrText xml:space="preserve"> HYPERLINK \l _Toc17629 </w:instrText>
          </w:r>
          <w:r>
            <w:fldChar w:fldCharType="separate"/>
          </w:r>
          <w:r>
            <w:rPr>
              <w:rFonts w:hint="eastAsia"/>
            </w:rPr>
            <w:t>（三）事故发生经过</w:t>
          </w:r>
          <w:r>
            <w:tab/>
          </w:r>
          <w:r>
            <w:fldChar w:fldCharType="begin"/>
          </w:r>
          <w:r>
            <w:instrText xml:space="preserve"> PAGEREF _Toc17629 \h </w:instrText>
          </w:r>
          <w:r>
            <w:fldChar w:fldCharType="separate"/>
          </w:r>
          <w:r>
            <w:t>4</w:t>
          </w:r>
          <w:r>
            <w:fldChar w:fldCharType="end"/>
          </w:r>
          <w:r>
            <w:fldChar w:fldCharType="end"/>
          </w:r>
        </w:p>
        <w:p w14:paraId="6783AF31">
          <w:pPr>
            <w:pStyle w:val="8"/>
            <w:tabs>
              <w:tab w:val="right" w:leader="dot" w:pos="9076"/>
            </w:tabs>
          </w:pPr>
          <w:r>
            <w:fldChar w:fldCharType="begin"/>
          </w:r>
          <w:r>
            <w:instrText xml:space="preserve"> HYPERLINK \l _Toc19108 </w:instrText>
          </w:r>
          <w:r>
            <w:fldChar w:fldCharType="separate"/>
          </w:r>
          <w:r>
            <w:rPr>
              <w:rFonts w:hint="eastAsia" w:ascii="楷体_GB2312" w:hAnsi="楷体_GB2312" w:cs="楷体_GB2312"/>
              <w:szCs w:val="32"/>
            </w:rPr>
            <w:t>（四）事故相关人员情况</w:t>
          </w:r>
          <w:r>
            <w:tab/>
          </w:r>
          <w:r>
            <w:fldChar w:fldCharType="begin"/>
          </w:r>
          <w:r>
            <w:instrText xml:space="preserve"> PAGEREF _Toc19108 \h </w:instrText>
          </w:r>
          <w:r>
            <w:fldChar w:fldCharType="separate"/>
          </w:r>
          <w:r>
            <w:t>4</w:t>
          </w:r>
          <w:r>
            <w:fldChar w:fldCharType="end"/>
          </w:r>
          <w:r>
            <w:fldChar w:fldCharType="end"/>
          </w:r>
        </w:p>
        <w:p w14:paraId="7FB69B84">
          <w:pPr>
            <w:pStyle w:val="8"/>
            <w:tabs>
              <w:tab w:val="right" w:leader="dot" w:pos="9076"/>
            </w:tabs>
          </w:pPr>
          <w:r>
            <w:fldChar w:fldCharType="begin"/>
          </w:r>
          <w:r>
            <w:instrText xml:space="preserve"> HYPERLINK \l _Toc614 </w:instrText>
          </w:r>
          <w:r>
            <w:fldChar w:fldCharType="separate"/>
          </w:r>
          <w:r>
            <w:rPr>
              <w:rFonts w:hint="eastAsia"/>
            </w:rPr>
            <w:t>（五）事故现场情况</w:t>
          </w:r>
          <w:r>
            <w:tab/>
          </w:r>
          <w:r>
            <w:fldChar w:fldCharType="begin"/>
          </w:r>
          <w:r>
            <w:instrText xml:space="preserve"> PAGEREF _Toc614 \h </w:instrText>
          </w:r>
          <w:r>
            <w:fldChar w:fldCharType="separate"/>
          </w:r>
          <w:r>
            <w:t>5</w:t>
          </w:r>
          <w:r>
            <w:fldChar w:fldCharType="end"/>
          </w:r>
          <w:r>
            <w:fldChar w:fldCharType="end"/>
          </w:r>
        </w:p>
        <w:p w14:paraId="213CAE4F">
          <w:pPr>
            <w:pStyle w:val="8"/>
            <w:tabs>
              <w:tab w:val="right" w:leader="dot" w:pos="9076"/>
            </w:tabs>
          </w:pPr>
          <w:r>
            <w:fldChar w:fldCharType="begin"/>
          </w:r>
          <w:r>
            <w:instrText xml:space="preserve"> HYPERLINK \l _Toc11792 </w:instrText>
          </w:r>
          <w:r>
            <w:fldChar w:fldCharType="separate"/>
          </w:r>
          <w:r>
            <w:rPr>
              <w:rFonts w:hint="eastAsia"/>
            </w:rPr>
            <w:t>（六）人员伤亡和直接经济损失情况</w:t>
          </w:r>
          <w:r>
            <w:tab/>
          </w:r>
          <w:r>
            <w:fldChar w:fldCharType="begin"/>
          </w:r>
          <w:r>
            <w:instrText xml:space="preserve"> PAGEREF _Toc11792 \h </w:instrText>
          </w:r>
          <w:r>
            <w:fldChar w:fldCharType="separate"/>
          </w:r>
          <w:r>
            <w:t>7</w:t>
          </w:r>
          <w:r>
            <w:fldChar w:fldCharType="end"/>
          </w:r>
          <w:r>
            <w:fldChar w:fldCharType="end"/>
          </w:r>
        </w:p>
        <w:p w14:paraId="54D3A713">
          <w:pPr>
            <w:pStyle w:val="6"/>
            <w:tabs>
              <w:tab w:val="right" w:leader="dot" w:pos="9076"/>
            </w:tabs>
          </w:pPr>
          <w:r>
            <w:fldChar w:fldCharType="begin"/>
          </w:r>
          <w:r>
            <w:instrText xml:space="preserve"> HYPERLINK \l _Toc26548 </w:instrText>
          </w:r>
          <w:r>
            <w:fldChar w:fldCharType="separate"/>
          </w:r>
          <w:r>
            <w:rPr>
              <w:rFonts w:hint="eastAsia"/>
            </w:rPr>
            <w:t>二、事故应急处置及评估情况</w:t>
          </w:r>
          <w:r>
            <w:tab/>
          </w:r>
          <w:r>
            <w:fldChar w:fldCharType="begin"/>
          </w:r>
          <w:r>
            <w:instrText xml:space="preserve"> PAGEREF _Toc26548 \h </w:instrText>
          </w:r>
          <w:r>
            <w:fldChar w:fldCharType="separate"/>
          </w:r>
          <w:r>
            <w:t>7</w:t>
          </w:r>
          <w:r>
            <w:fldChar w:fldCharType="end"/>
          </w:r>
          <w:r>
            <w:fldChar w:fldCharType="end"/>
          </w:r>
        </w:p>
        <w:p w14:paraId="0E275A41">
          <w:pPr>
            <w:pStyle w:val="8"/>
            <w:tabs>
              <w:tab w:val="right" w:leader="dot" w:pos="9076"/>
            </w:tabs>
          </w:pPr>
          <w:r>
            <w:fldChar w:fldCharType="begin"/>
          </w:r>
          <w:r>
            <w:instrText xml:space="preserve"> HYPERLINK \l _Toc9355 </w:instrText>
          </w:r>
          <w:r>
            <w:fldChar w:fldCharType="separate"/>
          </w:r>
          <w:r>
            <w:rPr>
              <w:rFonts w:hint="eastAsia"/>
            </w:rPr>
            <w:t>（一）事故信息接报及应急响应</w:t>
          </w:r>
          <w:r>
            <w:tab/>
          </w:r>
          <w:r>
            <w:fldChar w:fldCharType="begin"/>
          </w:r>
          <w:r>
            <w:instrText xml:space="preserve"> PAGEREF _Toc9355 \h </w:instrText>
          </w:r>
          <w:r>
            <w:fldChar w:fldCharType="separate"/>
          </w:r>
          <w:r>
            <w:t>7</w:t>
          </w:r>
          <w:r>
            <w:fldChar w:fldCharType="end"/>
          </w:r>
          <w:r>
            <w:fldChar w:fldCharType="end"/>
          </w:r>
        </w:p>
        <w:p w14:paraId="3AFC58CB">
          <w:pPr>
            <w:pStyle w:val="8"/>
            <w:tabs>
              <w:tab w:val="right" w:leader="dot" w:pos="9076"/>
            </w:tabs>
          </w:pPr>
          <w:r>
            <w:fldChar w:fldCharType="begin"/>
          </w:r>
          <w:r>
            <w:instrText xml:space="preserve"> HYPERLINK \l _Toc4525 </w:instrText>
          </w:r>
          <w:r>
            <w:fldChar w:fldCharType="separate"/>
          </w:r>
          <w:r>
            <w:rPr>
              <w:rFonts w:hint="eastAsia"/>
            </w:rPr>
            <w:t>（二）医疗救治和善后情况</w:t>
          </w:r>
          <w:r>
            <w:tab/>
          </w:r>
          <w:r>
            <w:fldChar w:fldCharType="begin"/>
          </w:r>
          <w:r>
            <w:instrText xml:space="preserve"> PAGEREF _Toc4525 \h </w:instrText>
          </w:r>
          <w:r>
            <w:fldChar w:fldCharType="separate"/>
          </w:r>
          <w:r>
            <w:t>7</w:t>
          </w:r>
          <w:r>
            <w:fldChar w:fldCharType="end"/>
          </w:r>
          <w:r>
            <w:fldChar w:fldCharType="end"/>
          </w:r>
        </w:p>
        <w:p w14:paraId="135F2C30">
          <w:pPr>
            <w:pStyle w:val="8"/>
            <w:tabs>
              <w:tab w:val="right" w:leader="dot" w:pos="9076"/>
            </w:tabs>
          </w:pPr>
          <w:r>
            <w:fldChar w:fldCharType="begin"/>
          </w:r>
          <w:r>
            <w:instrText xml:space="preserve"> HYPERLINK \l _Toc31880 </w:instrText>
          </w:r>
          <w:r>
            <w:fldChar w:fldCharType="separate"/>
          </w:r>
          <w:r>
            <w:rPr>
              <w:rFonts w:hint="eastAsia"/>
            </w:rPr>
            <w:t>（三）事故应急处置评估</w:t>
          </w:r>
          <w:r>
            <w:tab/>
          </w:r>
          <w:r>
            <w:fldChar w:fldCharType="begin"/>
          </w:r>
          <w:r>
            <w:instrText xml:space="preserve"> PAGEREF _Toc31880 \h </w:instrText>
          </w:r>
          <w:r>
            <w:fldChar w:fldCharType="separate"/>
          </w:r>
          <w:r>
            <w:t>7</w:t>
          </w:r>
          <w:r>
            <w:fldChar w:fldCharType="end"/>
          </w:r>
          <w:r>
            <w:fldChar w:fldCharType="end"/>
          </w:r>
        </w:p>
        <w:p w14:paraId="53082DBB">
          <w:pPr>
            <w:pStyle w:val="6"/>
            <w:tabs>
              <w:tab w:val="right" w:leader="dot" w:pos="9076"/>
            </w:tabs>
          </w:pPr>
          <w:r>
            <w:fldChar w:fldCharType="begin"/>
          </w:r>
          <w:r>
            <w:instrText xml:space="preserve"> HYPERLINK \l _Toc3496 </w:instrText>
          </w:r>
          <w:r>
            <w:fldChar w:fldCharType="separate"/>
          </w:r>
          <w:r>
            <w:rPr>
              <w:rFonts w:hint="eastAsia"/>
            </w:rPr>
            <w:t>三、 事故原因分析</w:t>
          </w:r>
          <w:r>
            <w:tab/>
          </w:r>
          <w:r>
            <w:fldChar w:fldCharType="begin"/>
          </w:r>
          <w:r>
            <w:instrText xml:space="preserve"> PAGEREF _Toc3496 \h </w:instrText>
          </w:r>
          <w:r>
            <w:fldChar w:fldCharType="separate"/>
          </w:r>
          <w:r>
            <w:t>8</w:t>
          </w:r>
          <w:r>
            <w:fldChar w:fldCharType="end"/>
          </w:r>
          <w:r>
            <w:fldChar w:fldCharType="end"/>
          </w:r>
        </w:p>
        <w:p w14:paraId="6FEF3A72">
          <w:pPr>
            <w:pStyle w:val="8"/>
            <w:tabs>
              <w:tab w:val="right" w:leader="dot" w:pos="9076"/>
            </w:tabs>
          </w:pPr>
          <w:r>
            <w:fldChar w:fldCharType="begin"/>
          </w:r>
          <w:r>
            <w:instrText xml:space="preserve"> HYPERLINK \l _Toc27616 </w:instrText>
          </w:r>
          <w:r>
            <w:fldChar w:fldCharType="separate"/>
          </w:r>
          <w:r>
            <w:rPr>
              <w:rFonts w:hint="eastAsia"/>
            </w:rPr>
            <w:t>（一）原因分析</w:t>
          </w:r>
          <w:r>
            <w:tab/>
          </w:r>
          <w:r>
            <w:fldChar w:fldCharType="begin"/>
          </w:r>
          <w:r>
            <w:instrText xml:space="preserve"> PAGEREF _Toc27616 \h </w:instrText>
          </w:r>
          <w:r>
            <w:fldChar w:fldCharType="separate"/>
          </w:r>
          <w:r>
            <w:t>8</w:t>
          </w:r>
          <w:r>
            <w:fldChar w:fldCharType="end"/>
          </w:r>
          <w:r>
            <w:fldChar w:fldCharType="end"/>
          </w:r>
        </w:p>
        <w:p w14:paraId="5F6A89A7">
          <w:pPr>
            <w:pStyle w:val="8"/>
            <w:tabs>
              <w:tab w:val="right" w:leader="dot" w:pos="9076"/>
            </w:tabs>
          </w:pPr>
          <w:r>
            <w:fldChar w:fldCharType="begin"/>
          </w:r>
          <w:r>
            <w:instrText xml:space="preserve"> HYPERLINK \l _Toc18522 </w:instrText>
          </w:r>
          <w:r>
            <w:fldChar w:fldCharType="separate"/>
          </w:r>
          <w:r>
            <w:rPr>
              <w:rFonts w:hint="eastAsia"/>
            </w:rPr>
            <w:t>（二）相关鉴定情况</w:t>
          </w:r>
          <w:r>
            <w:tab/>
          </w:r>
          <w:r>
            <w:fldChar w:fldCharType="begin"/>
          </w:r>
          <w:r>
            <w:instrText xml:space="preserve"> PAGEREF _Toc18522 \h </w:instrText>
          </w:r>
          <w:r>
            <w:fldChar w:fldCharType="separate"/>
          </w:r>
          <w:r>
            <w:t>8</w:t>
          </w:r>
          <w:r>
            <w:fldChar w:fldCharType="end"/>
          </w:r>
          <w:r>
            <w:fldChar w:fldCharType="end"/>
          </w:r>
        </w:p>
        <w:p w14:paraId="4DCE6A6A">
          <w:pPr>
            <w:pStyle w:val="8"/>
            <w:tabs>
              <w:tab w:val="right" w:leader="dot" w:pos="9076"/>
            </w:tabs>
          </w:pPr>
          <w:r>
            <w:fldChar w:fldCharType="begin"/>
          </w:r>
          <w:r>
            <w:instrText xml:space="preserve"> HYPERLINK \l _Toc2489 </w:instrText>
          </w:r>
          <w:r>
            <w:fldChar w:fldCharType="separate"/>
          </w:r>
          <w:r>
            <w:rPr>
              <w:rFonts w:hint="eastAsia"/>
            </w:rPr>
            <w:t>（三）</w:t>
          </w:r>
          <w:r>
            <w:rPr>
              <w:rFonts w:hint="eastAsia"/>
              <w:lang w:val="en-US" w:eastAsia="zh-CN"/>
            </w:rPr>
            <w:t>事故发现的主要</w:t>
          </w:r>
          <w:r>
            <w:rPr>
              <w:rFonts w:hint="eastAsia"/>
            </w:rPr>
            <w:t>问题</w:t>
          </w:r>
          <w:r>
            <w:tab/>
          </w:r>
          <w:r>
            <w:fldChar w:fldCharType="begin"/>
          </w:r>
          <w:r>
            <w:instrText xml:space="preserve"> PAGEREF _Toc2489 \h </w:instrText>
          </w:r>
          <w:r>
            <w:fldChar w:fldCharType="separate"/>
          </w:r>
          <w:r>
            <w:t>8</w:t>
          </w:r>
          <w:r>
            <w:fldChar w:fldCharType="end"/>
          </w:r>
          <w:r>
            <w:fldChar w:fldCharType="end"/>
          </w:r>
        </w:p>
        <w:p w14:paraId="21616E38">
          <w:pPr>
            <w:pStyle w:val="6"/>
            <w:tabs>
              <w:tab w:val="right" w:leader="dot" w:pos="9076"/>
            </w:tabs>
          </w:pPr>
          <w:r>
            <w:fldChar w:fldCharType="begin"/>
          </w:r>
          <w:r>
            <w:instrText xml:space="preserve"> HYPERLINK \l _Toc19623 </w:instrText>
          </w:r>
          <w:r>
            <w:fldChar w:fldCharType="separate"/>
          </w:r>
          <w:r>
            <w:rPr>
              <w:rFonts w:hint="eastAsia"/>
            </w:rPr>
            <w:t>四、事故责任分析及对责任者（单位）的处理建议</w:t>
          </w:r>
          <w:r>
            <w:tab/>
          </w:r>
          <w:r>
            <w:fldChar w:fldCharType="begin"/>
          </w:r>
          <w:r>
            <w:instrText xml:space="preserve"> PAGEREF _Toc19623 \h </w:instrText>
          </w:r>
          <w:r>
            <w:fldChar w:fldCharType="separate"/>
          </w:r>
          <w:r>
            <w:t>9</w:t>
          </w:r>
          <w:r>
            <w:fldChar w:fldCharType="end"/>
          </w:r>
          <w:r>
            <w:fldChar w:fldCharType="end"/>
          </w:r>
        </w:p>
        <w:p w14:paraId="03156BA1">
          <w:pPr>
            <w:pStyle w:val="8"/>
            <w:tabs>
              <w:tab w:val="right" w:leader="dot" w:pos="9076"/>
            </w:tabs>
          </w:pPr>
          <w:r>
            <w:fldChar w:fldCharType="begin"/>
          </w:r>
          <w:r>
            <w:instrText xml:space="preserve"> HYPERLINK \l _Toc3177 </w:instrText>
          </w:r>
          <w:r>
            <w:fldChar w:fldCharType="separate"/>
          </w:r>
          <w:r>
            <w:rPr>
              <w:rFonts w:hint="eastAsia"/>
            </w:rPr>
            <w:t>（一）因在事故中死亡免予或不予追究责任人员</w:t>
          </w:r>
          <w:r>
            <w:tab/>
          </w:r>
          <w:r>
            <w:fldChar w:fldCharType="begin"/>
          </w:r>
          <w:r>
            <w:instrText xml:space="preserve"> PAGEREF _Toc3177 \h </w:instrText>
          </w:r>
          <w:r>
            <w:fldChar w:fldCharType="separate"/>
          </w:r>
          <w:r>
            <w:t>9</w:t>
          </w:r>
          <w:r>
            <w:fldChar w:fldCharType="end"/>
          </w:r>
          <w:r>
            <w:fldChar w:fldCharType="end"/>
          </w:r>
        </w:p>
        <w:p w14:paraId="2D698602">
          <w:pPr>
            <w:pStyle w:val="8"/>
            <w:tabs>
              <w:tab w:val="right" w:leader="dot" w:pos="9076"/>
            </w:tabs>
          </w:pPr>
          <w:r>
            <w:fldChar w:fldCharType="begin"/>
          </w:r>
          <w:r>
            <w:instrText xml:space="preserve"> HYPERLINK \l _Toc6765 </w:instrText>
          </w:r>
          <w:r>
            <w:fldChar w:fldCharType="separate"/>
          </w:r>
          <w:r>
            <w:rPr>
              <w:rFonts w:hint="eastAsia"/>
            </w:rPr>
            <w:t>（二）建议移交司法机关处理人员</w:t>
          </w:r>
          <w:r>
            <w:tab/>
          </w:r>
          <w:r>
            <w:fldChar w:fldCharType="begin"/>
          </w:r>
          <w:r>
            <w:instrText xml:space="preserve"> PAGEREF _Toc6765 \h </w:instrText>
          </w:r>
          <w:r>
            <w:fldChar w:fldCharType="separate"/>
          </w:r>
          <w:r>
            <w:t>9</w:t>
          </w:r>
          <w:r>
            <w:fldChar w:fldCharType="end"/>
          </w:r>
          <w:r>
            <w:fldChar w:fldCharType="end"/>
          </w:r>
        </w:p>
        <w:p w14:paraId="5AF007AF">
          <w:pPr>
            <w:pStyle w:val="8"/>
            <w:tabs>
              <w:tab w:val="right" w:leader="dot" w:pos="9076"/>
            </w:tabs>
          </w:pPr>
          <w:r>
            <w:fldChar w:fldCharType="begin"/>
          </w:r>
          <w:r>
            <w:instrText xml:space="preserve"> HYPERLINK \l _Toc5047 </w:instrText>
          </w:r>
          <w:r>
            <w:fldChar w:fldCharType="separate"/>
          </w:r>
          <w:r>
            <w:rPr>
              <w:rFonts w:hint="eastAsia"/>
            </w:rPr>
            <w:t>（三）建议行政处罚责任单位及人员</w:t>
          </w:r>
          <w:r>
            <w:tab/>
          </w:r>
          <w:r>
            <w:fldChar w:fldCharType="begin"/>
          </w:r>
          <w:r>
            <w:instrText xml:space="preserve"> PAGEREF _Toc5047 \h </w:instrText>
          </w:r>
          <w:r>
            <w:fldChar w:fldCharType="separate"/>
          </w:r>
          <w:r>
            <w:t>9</w:t>
          </w:r>
          <w:r>
            <w:fldChar w:fldCharType="end"/>
          </w:r>
          <w:r>
            <w:fldChar w:fldCharType="end"/>
          </w:r>
        </w:p>
        <w:p w14:paraId="4FAE8E91">
          <w:pPr>
            <w:pStyle w:val="8"/>
            <w:tabs>
              <w:tab w:val="right" w:leader="dot" w:pos="9076"/>
            </w:tabs>
          </w:pPr>
          <w:r>
            <w:fldChar w:fldCharType="begin"/>
          </w:r>
          <w:r>
            <w:instrText xml:space="preserve"> HYPERLINK \l _Toc23627 </w:instrText>
          </w:r>
          <w:r>
            <w:fldChar w:fldCharType="separate"/>
          </w:r>
          <w:r>
            <w:rPr>
              <w:rFonts w:hint="eastAsia"/>
            </w:rPr>
            <w:t>（四）其他处理建议</w:t>
          </w:r>
          <w:r>
            <w:tab/>
          </w:r>
          <w:r>
            <w:fldChar w:fldCharType="begin"/>
          </w:r>
          <w:r>
            <w:instrText xml:space="preserve"> PAGEREF _Toc23627 \h </w:instrText>
          </w:r>
          <w:r>
            <w:fldChar w:fldCharType="separate"/>
          </w:r>
          <w:r>
            <w:t>10</w:t>
          </w:r>
          <w:r>
            <w:fldChar w:fldCharType="end"/>
          </w:r>
          <w:r>
            <w:fldChar w:fldCharType="end"/>
          </w:r>
        </w:p>
        <w:p w14:paraId="28165435">
          <w:pPr>
            <w:pStyle w:val="6"/>
            <w:tabs>
              <w:tab w:val="right" w:leader="dot" w:pos="9076"/>
            </w:tabs>
          </w:pPr>
          <w:r>
            <w:fldChar w:fldCharType="begin"/>
          </w:r>
          <w:r>
            <w:instrText xml:space="preserve"> HYPERLINK \l _Toc18922 </w:instrText>
          </w:r>
          <w:r>
            <w:fldChar w:fldCharType="separate"/>
          </w:r>
          <w:r>
            <w:rPr>
              <w:rFonts w:hint="eastAsia"/>
            </w:rPr>
            <w:t>五、整改防范措施建议</w:t>
          </w:r>
          <w:r>
            <w:tab/>
          </w:r>
          <w:r>
            <w:fldChar w:fldCharType="begin"/>
          </w:r>
          <w:r>
            <w:instrText xml:space="preserve"> PAGEREF _Toc18922 \h </w:instrText>
          </w:r>
          <w:r>
            <w:fldChar w:fldCharType="separate"/>
          </w:r>
          <w:r>
            <w:t>11</w:t>
          </w:r>
          <w:r>
            <w:fldChar w:fldCharType="end"/>
          </w:r>
          <w:r>
            <w:fldChar w:fldCharType="end"/>
          </w:r>
        </w:p>
        <w:p w14:paraId="5D934B2C">
          <w:pPr>
            <w:pStyle w:val="6"/>
            <w:tabs>
              <w:tab w:val="right" w:leader="dot" w:pos="9076"/>
            </w:tabs>
          </w:pPr>
          <w:r>
            <w:fldChar w:fldCharType="begin"/>
          </w:r>
          <w:r>
            <w:instrText xml:space="preserve"> HYPERLINK \l _Toc15594 </w:instrText>
          </w:r>
          <w:r>
            <w:fldChar w:fldCharType="separate"/>
          </w:r>
          <w:r>
            <w:rPr>
              <w:rFonts w:hint="eastAsia"/>
              <w:lang w:val="en-US" w:eastAsia="zh-CN"/>
            </w:rPr>
            <w:t xml:space="preserve">七、 </w:t>
          </w:r>
          <w:r>
            <w:rPr>
              <w:rFonts w:hint="eastAsia"/>
            </w:rPr>
            <w:t>附件</w:t>
          </w:r>
          <w:r>
            <w:tab/>
          </w:r>
          <w:r>
            <w:fldChar w:fldCharType="begin"/>
          </w:r>
          <w:r>
            <w:instrText xml:space="preserve"> PAGEREF _Toc15594 \h </w:instrText>
          </w:r>
          <w:r>
            <w:fldChar w:fldCharType="separate"/>
          </w:r>
          <w:r>
            <w:t>14</w:t>
          </w:r>
          <w:r>
            <w:fldChar w:fldCharType="end"/>
          </w:r>
          <w:r>
            <w:fldChar w:fldCharType="end"/>
          </w:r>
        </w:p>
        <w:p w14:paraId="477911B2">
          <w:r>
            <w:fldChar w:fldCharType="end"/>
          </w:r>
        </w:p>
      </w:sdtContent>
    </w:sdt>
    <w:p w14:paraId="093971C8">
      <w:pPr>
        <w:rPr>
          <w:sz w:val="24"/>
        </w:rPr>
      </w:pPr>
    </w:p>
    <w:p w14:paraId="15CABDC8">
      <w:pPr>
        <w:rPr>
          <w:sz w:val="24"/>
        </w:rPr>
        <w:sectPr>
          <w:footerReference r:id="rId6" w:type="first"/>
          <w:footerReference r:id="rId5" w:type="default"/>
          <w:pgSz w:w="11910" w:h="16840"/>
          <w:pgMar w:top="1920" w:right="1275" w:bottom="1200" w:left="1559" w:header="0" w:footer="1005" w:gutter="0"/>
          <w:pgNumType w:start="1"/>
          <w:cols w:space="720" w:num="1"/>
          <w:titlePg/>
        </w:sectPr>
      </w:pPr>
    </w:p>
    <w:p w14:paraId="221E3422">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2026年3月29日上午8时36分许，静安寺街道南京西路永源浜4号地块在建工地内发生一起车辆伤害事故，造成1人死亡，直接经济损失</w:t>
      </w:r>
      <w:r>
        <w:rPr>
          <w:rFonts w:hint="eastAsia" w:ascii="仿宋_GB2312" w:hAnsi="宋体" w:eastAsia="仿宋_GB2312" w:cs="宋体"/>
          <w:kern w:val="0"/>
          <w:sz w:val="32"/>
          <w:szCs w:val="32"/>
          <w:lang w:val="en-US" w:eastAsia="zh-CN"/>
        </w:rPr>
        <w:t>约</w:t>
      </w:r>
      <w:r>
        <w:rPr>
          <w:rFonts w:hint="eastAsia" w:ascii="仿宋_GB2312" w:hAnsi="宋体" w:eastAsia="仿宋_GB2312" w:cs="宋体"/>
          <w:kern w:val="0"/>
          <w:sz w:val="32"/>
          <w:szCs w:val="32"/>
        </w:rPr>
        <w:t>258万元。</w:t>
      </w:r>
    </w:p>
    <w:p w14:paraId="0BC968D0">
      <w:pPr>
        <w:spacing w:beforeLines="0" w:afterLines="0" w:line="560" w:lineRule="exact"/>
        <w:ind w:right="-288" w:rightChars="-137" w:firstLine="640" w:firstLineChars="200"/>
        <w:rPr>
          <w:rFonts w:ascii="仿宋_GB2312" w:eastAsia="仿宋_GB2312"/>
          <w:sz w:val="32"/>
          <w:szCs w:val="32"/>
        </w:rPr>
      </w:pPr>
      <w:r>
        <w:rPr>
          <w:rFonts w:hint="eastAsia" w:ascii="仿宋_GB2312" w:eastAsia="仿宋_GB2312"/>
          <w:sz w:val="32"/>
          <w:szCs w:val="32"/>
        </w:rPr>
        <w:t>事故发生后，区委、区政府主要领导高度重视并作出指示，要求及时做好善后工作，举一反三，查明事故原因，切实加强安全生产检查，确保全区人民生命财产安全。</w:t>
      </w:r>
    </w:p>
    <w:p w14:paraId="3BC9649A">
      <w:pPr>
        <w:spacing w:beforeLines="0" w:afterLines="0" w:line="560" w:lineRule="exact"/>
        <w:ind w:right="-288" w:rightChars="-137" w:firstLine="640" w:firstLineChars="200"/>
        <w:rPr>
          <w:rFonts w:ascii="仿宋_GB2312" w:eastAsia="仿宋_GB2312"/>
          <w:sz w:val="32"/>
          <w:szCs w:val="32"/>
        </w:rPr>
      </w:pPr>
      <w:r>
        <w:rPr>
          <w:rFonts w:hint="eastAsia" w:ascii="仿宋_GB2312" w:eastAsia="仿宋_GB2312"/>
          <w:sz w:val="32"/>
          <w:szCs w:val="32"/>
        </w:rPr>
        <w:t>根据《生产安全事故报告和调查处理条例》（国务院令第493号）和《上海市实施〈生产安全事故报告和调查处理条例〉的若干规定》（沪府规〔2023〕5号）等有关规定，由区应急管理局会同区建管委、区市场监管局、区公安分局、区总工会等相关单位组成静安南京西路永源浜4号地块项目“3·29”一般车辆伤害事故调查组（以下简称事故调查组），同时邀请区纪委监委和区检察院共同参与，对本次事故开展调查工作。调查组通过现场勘查、聘请专家、委托鉴定、调取书证、电子视听证据、调查询问等方式，查明了事故发生的原因，认定了事故的性质，提出了对有关责任人员、责任单位的处理建议和改进工作的措施建议。</w:t>
      </w:r>
    </w:p>
    <w:p w14:paraId="64C759B9">
      <w:pPr>
        <w:spacing w:beforeLines="0" w:afterLines="0" w:line="560" w:lineRule="exact"/>
        <w:ind w:right="-288" w:rightChars="-137" w:firstLine="640" w:firstLineChars="200"/>
        <w:rPr>
          <w:rFonts w:ascii="仿宋_GB2312" w:eastAsia="仿宋_GB2312"/>
          <w:sz w:val="32"/>
          <w:szCs w:val="32"/>
        </w:rPr>
      </w:pPr>
      <w:r>
        <w:rPr>
          <w:rFonts w:hint="eastAsia" w:ascii="仿宋_GB2312" w:eastAsia="仿宋_GB2312"/>
          <w:sz w:val="32"/>
          <w:szCs w:val="32"/>
        </w:rPr>
        <w:t>经调查认定，这是一起生产安全责任事故。现形成报告如下：</w:t>
      </w:r>
    </w:p>
    <w:p w14:paraId="2246146A">
      <w:pPr>
        <w:pStyle w:val="2"/>
        <w:spacing w:beforeLines="0" w:afterLines="0"/>
        <w:ind w:firstLine="643"/>
        <w:rPr>
          <w:rFonts w:ascii="方正楷体_GB2312" w:hAnsi="方正楷体_GB2312" w:eastAsia="方正楷体_GB2312" w:cs="方正楷体_GB2312"/>
        </w:rPr>
      </w:pPr>
      <w:bookmarkStart w:id="0" w:name="_Toc19543"/>
      <w:bookmarkStart w:id="1" w:name="_Toc22320"/>
      <w:bookmarkStart w:id="2" w:name="_Toc22288"/>
      <w:r>
        <w:rPr>
          <w:rFonts w:hint="eastAsia"/>
        </w:rPr>
        <w:t>一、事故基本情况</w:t>
      </w:r>
      <w:bookmarkEnd w:id="0"/>
      <w:bookmarkEnd w:id="1"/>
      <w:bookmarkEnd w:id="2"/>
    </w:p>
    <w:p w14:paraId="56EEA122">
      <w:pPr>
        <w:pStyle w:val="3"/>
        <w:spacing w:beforeLines="0" w:afterLines="0"/>
        <w:ind w:firstLine="640"/>
        <w:rPr>
          <w:rFonts w:ascii="楷体_GB2312" w:hAnsi="楷体_GB2312" w:cs="楷体_GB2312"/>
          <w:bCs/>
        </w:rPr>
      </w:pPr>
      <w:bookmarkStart w:id="3" w:name="_Toc28479"/>
      <w:bookmarkStart w:id="4" w:name="_Toc28967"/>
      <w:bookmarkStart w:id="5" w:name="_Toc13713"/>
      <w:r>
        <w:rPr>
          <w:rFonts w:hint="eastAsia" w:ascii="楷体_GB2312" w:hAnsi="楷体_GB2312" w:cs="楷体_GB2312"/>
          <w:bCs/>
        </w:rPr>
        <w:t>（一）相关单位</w:t>
      </w:r>
      <w:bookmarkEnd w:id="3"/>
      <w:r>
        <w:rPr>
          <w:rFonts w:hint="eastAsia" w:ascii="楷体_GB2312" w:hAnsi="楷体_GB2312" w:cs="楷体_GB2312"/>
          <w:bCs/>
        </w:rPr>
        <w:t>情况</w:t>
      </w:r>
      <w:bookmarkEnd w:id="4"/>
      <w:bookmarkEnd w:id="5"/>
    </w:p>
    <w:p w14:paraId="4FB17C35">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建设单位：上海嘉铭鑫咨询管理有限责任公司（以下简称嘉铭鑫公司）。统一社会信用代码：91310106MA1FYTPT3J；法定代表人：潘玮；注册地址：上海市静安区广中西路777弄14号104J室；成立日期：2021年7月5日；经营范围为：房地产开发经营、企业管理咨询。在本项目中，嘉铭鑫公司制定了《南京西路永源浜4号地块项目建设单位安全管理体系》。</w:t>
      </w:r>
    </w:p>
    <w:p w14:paraId="2F02FCD6">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2.总包单位：上海堡华建筑工程有限公司（以下简称堡华公司）。统一社会信用代码：</w:t>
      </w:r>
      <w:r>
        <w:rPr>
          <w:rFonts w:ascii="仿宋_GB2312" w:hAnsi="宋体" w:eastAsia="仿宋_GB2312" w:cs="宋体"/>
          <w:kern w:val="0"/>
          <w:sz w:val="32"/>
          <w:szCs w:val="32"/>
        </w:rPr>
        <w:t>91310230134468215D</w:t>
      </w:r>
      <w:r>
        <w:rPr>
          <w:rFonts w:hint="eastAsia" w:ascii="仿宋_GB2312" w:hAnsi="宋体" w:eastAsia="仿宋_GB2312" w:cs="宋体"/>
          <w:kern w:val="0"/>
          <w:sz w:val="32"/>
          <w:szCs w:val="32"/>
        </w:rPr>
        <w:t>；法定代表人：钱国桥；注册地址：上海堡镇经济小区；成立日期：1995年1月1日；经营范围为：房屋建筑工程，机电设备安装工程，钢结构工程，建筑装饰装修工程等。在本项目中，堡华公司制定了《安全生产管理制度》。</w:t>
      </w:r>
    </w:p>
    <w:p w14:paraId="08D856F0">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3.监理单位：上海智通建设发展股份有限公司（以下简称智通公司）。统一社会信用代码：91310000703453874M；法定代表人：胡继军；地址：上海市静安区广延路359-367号，371-385号（单）623室；成立日期：2001年8月22日；经营范围为：工程项目管理，工程建设监理，建设工程咨询、工程造价咨询，工程设备监理等。</w:t>
      </w:r>
    </w:p>
    <w:p w14:paraId="65A13C24">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4.专业分包单位：上海富艺玻璃幕墙工程有限公司（以下简称富艺幕墙公司）。统一社会信用代码：913100006072661127；公司类型：有限责任公司（港澳台投资、非独资）；地址：中国（上海）自由贸易试验区新金桥路2000弄3号1层；法定代表人：李刚；成立日期：1993年9月28日；经营范围为：许可项目（建设工程设计），金属门窗工程施工等。</w:t>
      </w:r>
    </w:p>
    <w:p w14:paraId="60BEC179">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5.劳务分包单位：上海越宸建筑劳务有限公司（以下简称越宸劳务公司）。统一社会信用代码：91310117MAD6MUGH9N；法定代表人：闫洪前；成立日期：2025年12月6日；企业注册地址：上海市松江区石湖荡镇长石路499号57幢；经营范围为：建筑劳务分包等。</w:t>
      </w:r>
    </w:p>
    <w:p w14:paraId="7284339E">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6.设备租赁单位：上海卓窖实业有限公司（以下简称卓窖公司）。统一社会信用代码：</w:t>
      </w:r>
      <w:r>
        <w:rPr>
          <w:rFonts w:ascii="仿宋_GB2312" w:hAnsi="宋体" w:eastAsia="仿宋_GB2312" w:cs="宋体"/>
          <w:kern w:val="0"/>
          <w:sz w:val="32"/>
          <w:szCs w:val="32"/>
        </w:rPr>
        <w:t>91310230MA1K1HLH1P</w:t>
      </w:r>
      <w:r>
        <w:rPr>
          <w:rFonts w:hint="eastAsia" w:ascii="仿宋_GB2312" w:hAnsi="宋体" w:eastAsia="仿宋_GB2312" w:cs="宋体"/>
          <w:kern w:val="0"/>
          <w:sz w:val="32"/>
          <w:szCs w:val="32"/>
        </w:rPr>
        <w:t>；公司实际控制人为陈辉，控股80%；地址：上海市崇明区长兴镇潘园公路1800号3号楼30023室（上海泰和经济发展区）；注册时间：2018年8月24日；经营范围为：自有设备租赁，机械设备安装、维修、租赁、销售等。</w:t>
      </w:r>
      <w:bookmarkStart w:id="6" w:name="_Toc5566"/>
    </w:p>
    <w:p w14:paraId="6D3675F9">
      <w:pPr>
        <w:pStyle w:val="3"/>
        <w:spacing w:beforeLines="0" w:afterLines="0"/>
        <w:ind w:firstLine="640"/>
        <w:rPr>
          <w:rStyle w:val="12"/>
          <w:rFonts w:ascii="楷体_GB2312" w:hAnsi="楷体_GB2312" w:cs="楷体_GB2312"/>
          <w:szCs w:val="32"/>
        </w:rPr>
      </w:pPr>
      <w:bookmarkStart w:id="7" w:name="_Toc5469"/>
      <w:bookmarkStart w:id="8" w:name="_Toc25948"/>
      <w:r>
        <w:rPr>
          <w:rFonts w:hint="eastAsia" w:ascii="楷体_GB2312" w:hAnsi="楷体_GB2312" w:cs="楷体_GB2312"/>
          <w:bCs/>
        </w:rPr>
        <w:t>（二）相关合同情况</w:t>
      </w:r>
      <w:bookmarkEnd w:id="6"/>
      <w:bookmarkEnd w:id="7"/>
      <w:bookmarkEnd w:id="8"/>
    </w:p>
    <w:p w14:paraId="5C4A3080">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1.2022年11月，嘉铭</w:t>
      </w:r>
      <w:r>
        <w:rPr>
          <w:rFonts w:hint="eastAsia" w:ascii="仿宋_GB2312" w:eastAsia="仿宋_GB2312"/>
          <w:sz w:val="32"/>
          <w:szCs w:val="32"/>
        </w:rPr>
        <w:t>鑫公司（甲方）与</w:t>
      </w:r>
      <w:r>
        <w:rPr>
          <w:rFonts w:hint="eastAsia" w:ascii="仿宋_GB2312" w:hAnsi="宋体" w:eastAsia="仿宋_GB2312" w:cs="宋体"/>
          <w:kern w:val="0"/>
          <w:sz w:val="32"/>
          <w:szCs w:val="32"/>
        </w:rPr>
        <w:t>智通公司（乙方）签订《南京西路永源浜4号地块项目监理服务工程合同》，合同明确了智通公司为该地块项目的监理单位，并受嘉铭鑫公司委托依据法律法规、工程建设标准、勘察设计文件及合同，对工程施工质量、进度、造价、安全生产与文明施工管理等进行全过程监督与管理。合同订立地点：上海静安区。智通公司委派刘国旗为总监理工程师。</w:t>
      </w:r>
    </w:p>
    <w:p w14:paraId="2D4B254B">
      <w:pPr>
        <w:spacing w:beforeLines="0" w:afterLines="0" w:line="560" w:lineRule="exact"/>
        <w:ind w:right="-288" w:rightChars="-137"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2.2022年11月</w:t>
      </w:r>
      <w:r>
        <w:rPr>
          <w:rFonts w:hint="eastAsia" w:ascii="仿宋_GB2312" w:eastAsia="仿宋_GB2312"/>
          <w:sz w:val="32"/>
          <w:szCs w:val="32"/>
        </w:rPr>
        <w:t>嘉铭鑫公司（甲方）与</w:t>
      </w:r>
      <w:r>
        <w:rPr>
          <w:rFonts w:hint="eastAsia" w:ascii="仿宋_GB2312" w:hAnsi="宋体" w:eastAsia="仿宋_GB2312" w:cs="宋体"/>
          <w:kern w:val="0"/>
          <w:sz w:val="32"/>
          <w:szCs w:val="32"/>
        </w:rPr>
        <w:t>堡华公司（乙方）签订《建设工程施工总承包合同》（房建类），该合同确立了堡华公司为南京西路永源浜4号地块项目建设工程施工总承包方。合同订立地点：上海静安区。</w:t>
      </w:r>
    </w:p>
    <w:p w14:paraId="26C082F9">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3.2024年5月堡华公司（甲方）与富艺幕墙公司（乙方）签订《专业分包合同》及《上海市建设工程承发包安全管理协议》，合同明确了富艺幕墙公司承接项目地块1#A1、1#B幕墙供应制作安装工程并先后签有两份补充协议，约定工期顺延至2026年5月31日。合同订立地点：上海。富艺幕墙公司委派杨传锋为项目经理，李涛任安全员。</w:t>
      </w:r>
    </w:p>
    <w:p w14:paraId="26A12DA4">
      <w:pPr>
        <w:spacing w:beforeLines="0" w:afterLines="0" w:line="560" w:lineRule="exact"/>
        <w:ind w:right="-288" w:rightChars="-137"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4.2025年8月富艺幕墙公司（甲方）与越宸公司（乙方）签订《幕墙劳务分包合同》及《安全生产协议书》，合同明确越宸公司提供劳务人员。越宸公司是本次事故驾驶员、死者的劳务公司。</w:t>
      </w:r>
    </w:p>
    <w:p w14:paraId="2AF4DC06">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5.2024年8月富艺幕墙公司（甲方）与卓窖公司（乙方）签订《设备租赁合同》，约定2024年8月1日至2025年12月31日乙方提供叉车、吊车、高空车等租赁服务</w:t>
      </w:r>
      <w:r>
        <w:rPr>
          <w:rFonts w:hint="eastAsia" w:ascii="仿宋_GB2312" w:hAnsi="宋体" w:eastAsia="仿宋_GB2312" w:cs="宋体"/>
          <w:kern w:val="0"/>
          <w:sz w:val="32"/>
          <w:szCs w:val="32"/>
          <w:lang w:eastAsia="zh-CN"/>
        </w:rPr>
        <w:t>。合同期满后，甲乙双方约定继续租用设备</w:t>
      </w:r>
      <w:r>
        <w:rPr>
          <w:rFonts w:hint="eastAsia" w:ascii="仿宋_GB2312" w:hAnsi="宋体" w:eastAsia="仿宋_GB2312" w:cs="宋体"/>
          <w:kern w:val="0"/>
          <w:sz w:val="32"/>
          <w:szCs w:val="32"/>
        </w:rPr>
        <w:t>。合同订立地点：上海。乙方是本次发生事故的特种设备（叉车）的出租方。卓窖公司的实际负责人为陈辉。</w:t>
      </w:r>
    </w:p>
    <w:p w14:paraId="625A85C6">
      <w:pPr>
        <w:pStyle w:val="3"/>
        <w:spacing w:beforeLines="0" w:afterLines="0"/>
        <w:ind w:firstLine="640"/>
      </w:pPr>
      <w:bookmarkStart w:id="9" w:name="_Toc17629"/>
      <w:bookmarkStart w:id="10" w:name="_Toc22988"/>
      <w:bookmarkStart w:id="11" w:name="_Toc16640"/>
      <w:r>
        <w:rPr>
          <w:rFonts w:hint="eastAsia"/>
        </w:rPr>
        <w:t>（三）事故发生经过</w:t>
      </w:r>
      <w:bookmarkEnd w:id="9"/>
      <w:bookmarkEnd w:id="10"/>
      <w:bookmarkEnd w:id="11"/>
    </w:p>
    <w:p w14:paraId="12192F81">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2026年3月29日上午8时35分许，静安寺街道南京西路永源浜4号地块在建工地内3号门附近，富艺幕墙公司3名工人正在进行玻璃幕墙安装作业，其中程建军驾驶叉车搬运幕墙玻璃，徐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、程广龙两人在旁负责幕墙安装。</w:t>
      </w:r>
    </w:p>
    <w:p w14:paraId="3E779DD2">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8时36分许，程建军驾驶叉车完成一组幕墙玻璃的装卸作业后，违规未放下叉车货叉（悬空高度约1.6米）的情况下进行原地空车转向。由于驻车制动失效及操作不当，叉车完成转向后快速向前行驶，撞击到正趴在曲臂车右前轮旁作业的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，致其被挤压在叉车前部与曲臂车右前轮之间。</w:t>
      </w:r>
    </w:p>
    <w:p w14:paraId="4B198A2C">
      <w:pPr>
        <w:pStyle w:val="3"/>
        <w:spacing w:beforeLines="0" w:afterLines="0"/>
        <w:ind w:firstLine="640"/>
        <w:rPr>
          <w:rFonts w:ascii="楷体_GB2312" w:hAnsi="楷体_GB2312" w:cs="楷体_GB2312"/>
          <w:szCs w:val="32"/>
        </w:rPr>
      </w:pPr>
      <w:bookmarkStart w:id="12" w:name="_Toc17976"/>
      <w:bookmarkStart w:id="13" w:name="_Toc19108"/>
      <w:r>
        <w:rPr>
          <w:rFonts w:hint="eastAsia" w:ascii="楷体_GB2312" w:hAnsi="楷体_GB2312" w:cs="楷体_GB2312"/>
          <w:szCs w:val="32"/>
        </w:rPr>
        <w:t>（四）事故相关人员情况</w:t>
      </w:r>
      <w:bookmarkEnd w:id="12"/>
      <w:bookmarkEnd w:id="13"/>
    </w:p>
    <w:p w14:paraId="7EEF683F">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（死者），男性，户籍地址江苏省</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。事故发生时负责玻璃幕墙安装作业。</w:t>
      </w:r>
    </w:p>
    <w:p w14:paraId="57B7F89C">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2.程建军，男性，汉族，安徽省</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市人。事故发生时持有特种设备作业人员证书（叉车司机 N1，有效期至2028年11月29日），负责驾驶叉车搬运幕墙材料。</w:t>
      </w:r>
    </w:p>
    <w:p w14:paraId="2C4EABF2">
      <w:pPr>
        <w:pStyle w:val="3"/>
        <w:spacing w:beforeLines="0" w:afterLines="0"/>
        <w:ind w:firstLine="640"/>
      </w:pPr>
      <w:bookmarkStart w:id="14" w:name="_Toc614"/>
      <w:bookmarkStart w:id="15" w:name="_Toc8857"/>
      <w:bookmarkStart w:id="16" w:name="_Toc30580"/>
      <w:r>
        <w:rPr>
          <w:rFonts w:hint="eastAsia"/>
        </w:rPr>
        <w:t>（五）事故现场情况</w:t>
      </w:r>
      <w:bookmarkEnd w:id="14"/>
      <w:bookmarkEnd w:id="15"/>
      <w:bookmarkEnd w:id="16"/>
    </w:p>
    <w:p w14:paraId="67DCE596">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1.勘查时现场状态</w:t>
      </w:r>
    </w:p>
    <w:p w14:paraId="7E2A233E">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事故现场位于南京西路永源浜4号地块项目内，项目东至094-13地块、西至094-7、10地块、南至南京西路、北至永源路，含4幢主体建筑，自东向西分布为1号B楼、1号A楼、1号C楼、2号楼，事故点位地处1号A楼与1号C楼通道内地面（通道宽21米，南北向，距离项目工地3号门直线距离14米），事发地点有1台电动自行走直臂式高空作业平台（俗称曲臂车，蓝绿色，型号SWT28JE-P，车头向南停放，升降臂悬空未降至地面）、1台叉车（黄色，型号CPCD，车头向北停放，插齿未降至地面，插齿悬空高度约1.6米），曲臂车与叉车间距约2米，曲臂车距北门约12米，叉车东侧堆放大量玻璃建材，现场地面有真空吸吊机1部（俗称吸盘，红色，型号JY-8P）、推车、水桶、安全带。</w:t>
      </w:r>
    </w:p>
    <w:p w14:paraId="1BB4DDB8">
      <w:pPr>
        <w:spacing w:beforeLines="0" w:afterLines="0" w:line="560" w:lineRule="exact"/>
        <w:jc w:val="center"/>
      </w:pPr>
      <w:r>
        <w:drawing>
          <wp:anchor distT="0" distB="0" distL="114300" distR="114300" simplePos="0" relativeHeight="251660288" behindDoc="1" locked="0" layoutInCell="1" allowOverlap="1">
            <wp:simplePos x="0" y="0"/>
            <wp:positionH relativeFrom="column">
              <wp:posOffset>732155</wp:posOffset>
            </wp:positionH>
            <wp:positionV relativeFrom="paragraph">
              <wp:posOffset>27940</wp:posOffset>
            </wp:positionV>
            <wp:extent cx="3679190" cy="2926715"/>
            <wp:effectExtent l="0" t="0" r="16510" b="6985"/>
            <wp:wrapNone/>
            <wp:docPr id="1" name="图片 1" descr="6c25fa39be7e0f5d0892756f70989e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c25fa39be7e0f5d0892756f70989e07"/>
                    <pic:cNvPicPr>
                      <a:picLocks noChangeAspect="1"/>
                    </pic:cNvPicPr>
                  </pic:nvPicPr>
                  <pic:blipFill>
                    <a:blip r:embed="rId9"/>
                    <a:stretch>
                      <a:fillRect/>
                    </a:stretch>
                  </pic:blipFill>
                  <pic:spPr>
                    <a:xfrm>
                      <a:off x="0" y="0"/>
                      <a:ext cx="3679190" cy="2926715"/>
                    </a:xfrm>
                    <a:prstGeom prst="rect">
                      <a:avLst/>
                    </a:prstGeom>
                  </pic:spPr>
                </pic:pic>
              </a:graphicData>
            </a:graphic>
          </wp:anchor>
        </w:drawing>
      </w:r>
    </w:p>
    <w:p w14:paraId="740AA9CB">
      <w:pPr>
        <w:spacing w:beforeLines="0" w:afterLines="0" w:line="560" w:lineRule="exact"/>
        <w:jc w:val="center"/>
        <w:rPr>
          <w:rFonts w:ascii="仿宋" w:hAnsi="仿宋" w:eastAsia="仿宋"/>
          <w:sz w:val="28"/>
          <w:szCs w:val="28"/>
        </w:rPr>
      </w:pPr>
    </w:p>
    <w:p w14:paraId="512C719F">
      <w:pPr>
        <w:spacing w:beforeLines="0" w:afterLines="0" w:line="560" w:lineRule="exact"/>
        <w:jc w:val="center"/>
        <w:rPr>
          <w:rFonts w:ascii="仿宋" w:hAnsi="仿宋" w:eastAsia="仿宋"/>
          <w:sz w:val="28"/>
          <w:szCs w:val="28"/>
        </w:rPr>
      </w:pPr>
    </w:p>
    <w:p w14:paraId="4C707E46">
      <w:pPr>
        <w:spacing w:beforeLines="0" w:afterLines="0" w:line="560" w:lineRule="exact"/>
        <w:jc w:val="center"/>
        <w:rPr>
          <w:rFonts w:ascii="仿宋" w:hAnsi="仿宋" w:eastAsia="仿宋"/>
          <w:sz w:val="28"/>
          <w:szCs w:val="28"/>
        </w:rPr>
      </w:pPr>
    </w:p>
    <w:p w14:paraId="1A5A1A6B">
      <w:pPr>
        <w:spacing w:beforeLines="0" w:afterLines="0" w:line="560" w:lineRule="exact"/>
        <w:jc w:val="center"/>
        <w:rPr>
          <w:rFonts w:ascii="仿宋" w:hAnsi="仿宋" w:eastAsia="仿宋"/>
          <w:sz w:val="28"/>
          <w:szCs w:val="28"/>
        </w:rPr>
      </w:pPr>
    </w:p>
    <w:p w14:paraId="677294B8">
      <w:pPr>
        <w:spacing w:beforeLines="0" w:afterLines="0" w:line="560" w:lineRule="exact"/>
        <w:jc w:val="center"/>
        <w:rPr>
          <w:rFonts w:ascii="仿宋" w:hAnsi="仿宋" w:eastAsia="仿宋"/>
          <w:sz w:val="28"/>
          <w:szCs w:val="28"/>
        </w:rPr>
      </w:pPr>
      <w:r>
        <w:rPr>
          <w:rFonts w:hint="eastAsia" w:ascii="仿宋" w:hAnsi="仿宋" w:eastAsia="仿宋"/>
          <w:sz w:val="28"/>
          <w:szCs w:val="28"/>
        </w:rPr>
        <w:t>图1事发现场照片</w:t>
      </w:r>
    </w:p>
    <w:p w14:paraId="79B73BD7">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2.事故设备鉴定情况</w:t>
      </w:r>
    </w:p>
    <w:p w14:paraId="41B447A7">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事故车辆为平衡重式叉车，设备铭牌缺失，设备车架编号、发动机编号信息可知，通过比对特种设备检验系统信息，确定了该设备基本信息（详见附件一检验报告）：该设备于2023年11月28日经上海市宝山区特种设备监督检验所定期检验合格，有效期到2025年11月，经查市场监督管理局的监察系统和检验系统，该叉车已经注销。</w:t>
      </w:r>
    </w:p>
    <w:p w14:paraId="2AB5F3F7">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现场对涉事叉车进行了检查和相关操作测试，发现</w:t>
      </w:r>
    </w:p>
    <w:p w14:paraId="10068F9D">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1.驻车制动操纵手柄钢丝绳断裂，驻车制动失效；</w:t>
      </w:r>
    </w:p>
    <w:p w14:paraId="39D62484">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2.叉车前后轮胎存在严重磨损和割伤；</w:t>
      </w:r>
    </w:p>
    <w:p w14:paraId="3821F803">
      <w:pPr>
        <w:spacing w:beforeLines="0" w:afterLines="0" w:line="560" w:lineRule="exact"/>
        <w:ind w:right="-288" w:rightChars="-137" w:firstLine="640" w:firstLineChars="200"/>
        <w:rPr>
          <w:rFonts w:eastAsia="仿宋"/>
          <w:sz w:val="28"/>
          <w:szCs w:val="28"/>
        </w:rPr>
      </w:pPr>
      <w:r>
        <w:rPr>
          <w:rFonts w:hint="eastAsia" w:ascii="仿宋_GB2312" w:hAnsi="宋体" w:eastAsia="仿宋_GB2312" w:cs="宋体"/>
          <w:kern w:val="0"/>
          <w:sz w:val="32"/>
          <w:szCs w:val="32"/>
        </w:rPr>
        <w:t>3.发动机罩壳防止意外关闭的装置缺失，司机站立板固定不牢。</w:t>
      </w:r>
    </w:p>
    <w:p w14:paraId="006C48B5">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综上现场检查和相关操作测试，涉事叉车是一台已经注销的设备，且其相关部件和装置的安全技术性能不符合《场（厂）内专用机动车辆安全技术规程》（TSG 81-2022）的有关条款，存在严重影响安全使用和操纵的风险。</w:t>
      </w:r>
    </w:p>
    <w:p w14:paraId="502A3074">
      <w:pPr>
        <w:spacing w:beforeLines="0" w:afterLines="0" w:line="560" w:lineRule="exact"/>
        <w:ind w:right="-288" w:rightChars="-137"/>
        <w:jc w:val="center"/>
        <w:rPr>
          <w:rFonts w:eastAsia="仿宋"/>
          <w:b/>
          <w:sz w:val="28"/>
          <w:szCs w:val="28"/>
        </w:rPr>
      </w:pPr>
    </w:p>
    <w:p w14:paraId="7F414B9A">
      <w:pPr>
        <w:spacing w:beforeLines="0" w:afterLines="0" w:line="560" w:lineRule="exact"/>
        <w:ind w:right="-288" w:rightChars="-137"/>
        <w:jc w:val="center"/>
        <w:rPr>
          <w:rFonts w:eastAsia="仿宋"/>
          <w:b/>
          <w:sz w:val="28"/>
          <w:szCs w:val="28"/>
        </w:rPr>
      </w:pPr>
      <w:r>
        <w:rPr>
          <w:rFonts w:hint="eastAsia" w:eastAsia="仿宋"/>
          <w:b/>
          <w:sz w:val="28"/>
          <w:szCs w:val="28"/>
        </w:rPr>
        <w:drawing>
          <wp:anchor distT="0" distB="0" distL="114300" distR="114300" simplePos="0" relativeHeight="251659264" behindDoc="0" locked="0" layoutInCell="1" allowOverlap="1">
            <wp:simplePos x="0" y="0"/>
            <wp:positionH relativeFrom="column">
              <wp:posOffset>684530</wp:posOffset>
            </wp:positionH>
            <wp:positionV relativeFrom="paragraph">
              <wp:posOffset>24130</wp:posOffset>
            </wp:positionV>
            <wp:extent cx="3657600" cy="2926715"/>
            <wp:effectExtent l="0" t="0" r="0" b="6985"/>
            <wp:wrapNone/>
            <wp:docPr id="25" name="图片 1" descr="5352056a-ce6c-45f2-b8eb-34b17cb7344e"/>
            <wp:cNvGraphicFramePr/>
            <a:graphic xmlns:a="http://schemas.openxmlformats.org/drawingml/2006/main">
              <a:graphicData uri="http://schemas.openxmlformats.org/drawingml/2006/picture">
                <pic:pic xmlns:pic="http://schemas.openxmlformats.org/drawingml/2006/picture">
                  <pic:nvPicPr>
                    <pic:cNvPr id="25" name="图片 1" descr="5352056a-ce6c-45f2-b8eb-34b17cb7344e"/>
                    <pic:cNvPicPr/>
                  </pic:nvPicPr>
                  <pic:blipFill>
                    <a:blip r:embed="rId10"/>
                    <a:stretch>
                      <a:fillRect/>
                    </a:stretch>
                  </pic:blipFill>
                  <pic:spPr>
                    <a:xfrm>
                      <a:off x="0" y="0"/>
                      <a:ext cx="3657600" cy="2926715"/>
                    </a:xfrm>
                    <a:prstGeom prst="rect">
                      <a:avLst/>
                    </a:prstGeom>
                    <a:noFill/>
                    <a:ln>
                      <a:noFill/>
                    </a:ln>
                  </pic:spPr>
                </pic:pic>
              </a:graphicData>
            </a:graphic>
          </wp:anchor>
        </w:drawing>
      </w:r>
    </w:p>
    <w:p w14:paraId="6A168EBD">
      <w:pPr>
        <w:spacing w:beforeLines="0" w:afterLines="0" w:line="560" w:lineRule="exact"/>
        <w:ind w:right="-288" w:rightChars="-137"/>
        <w:jc w:val="center"/>
        <w:rPr>
          <w:rFonts w:eastAsia="仿宋"/>
          <w:b/>
          <w:sz w:val="28"/>
          <w:szCs w:val="28"/>
        </w:rPr>
      </w:pPr>
    </w:p>
    <w:p w14:paraId="1918D39F">
      <w:pPr>
        <w:spacing w:beforeLines="0" w:afterLines="0" w:line="560" w:lineRule="exact"/>
        <w:ind w:right="-288" w:rightChars="-137"/>
        <w:jc w:val="center"/>
        <w:rPr>
          <w:rFonts w:eastAsia="仿宋"/>
          <w:b/>
          <w:sz w:val="28"/>
          <w:szCs w:val="28"/>
        </w:rPr>
      </w:pPr>
    </w:p>
    <w:p w14:paraId="29F265F6">
      <w:pPr>
        <w:spacing w:beforeLines="0" w:afterLines="0" w:line="560" w:lineRule="exact"/>
        <w:ind w:right="-288" w:rightChars="-137"/>
        <w:jc w:val="center"/>
        <w:rPr>
          <w:rFonts w:eastAsia="仿宋"/>
          <w:b/>
          <w:sz w:val="28"/>
          <w:szCs w:val="28"/>
        </w:rPr>
      </w:pPr>
    </w:p>
    <w:p w14:paraId="6E7E3B00">
      <w:pPr>
        <w:spacing w:beforeLines="0" w:afterLines="0" w:line="560" w:lineRule="exact"/>
        <w:ind w:right="-288" w:rightChars="-137"/>
        <w:jc w:val="center"/>
        <w:rPr>
          <w:rFonts w:eastAsia="仿宋"/>
          <w:b/>
          <w:sz w:val="28"/>
          <w:szCs w:val="28"/>
        </w:rPr>
      </w:pPr>
    </w:p>
    <w:p w14:paraId="7BA1A737">
      <w:pPr>
        <w:spacing w:beforeLines="0" w:afterLines="0" w:line="560" w:lineRule="exact"/>
        <w:jc w:val="both"/>
        <w:rPr>
          <w:rFonts w:hint="eastAsia" w:ascii="仿宋" w:hAnsi="仿宋" w:eastAsia="仿宋"/>
          <w:sz w:val="28"/>
          <w:szCs w:val="28"/>
          <w:lang w:eastAsia="zh-CN"/>
        </w:rPr>
      </w:pPr>
    </w:p>
    <w:p w14:paraId="30A01BB6">
      <w:pPr>
        <w:spacing w:beforeLines="0" w:afterLines="0" w:line="560" w:lineRule="exact"/>
        <w:jc w:val="center"/>
        <w:rPr>
          <w:rFonts w:hint="eastAsia" w:ascii="仿宋" w:hAnsi="仿宋" w:eastAsia="仿宋"/>
          <w:sz w:val="28"/>
          <w:szCs w:val="28"/>
        </w:rPr>
      </w:pPr>
      <w:r>
        <w:rPr>
          <w:rFonts w:hint="eastAsia" w:ascii="仿宋" w:hAnsi="仿宋" w:eastAsia="仿宋"/>
          <w:sz w:val="28"/>
          <w:szCs w:val="28"/>
        </w:rPr>
        <w:t>图2 事故设备情况</w:t>
      </w:r>
    </w:p>
    <w:p w14:paraId="638CCBC0">
      <w:pPr>
        <w:pStyle w:val="3"/>
        <w:numPr>
          <w:ilvl w:val="0"/>
          <w:numId w:val="1"/>
        </w:numPr>
        <w:spacing w:beforeLines="0" w:afterLines="0"/>
        <w:ind w:firstLine="640"/>
      </w:pPr>
      <w:bookmarkStart w:id="17" w:name="_Toc27657"/>
      <w:bookmarkStart w:id="18" w:name="_Toc11792"/>
      <w:bookmarkStart w:id="19" w:name="_Toc28593"/>
      <w:r>
        <w:rPr>
          <w:rFonts w:hint="eastAsia"/>
          <w:lang w:eastAsia="zh-CN"/>
        </w:rPr>
        <w:t>司法鉴定情况</w:t>
      </w:r>
    </w:p>
    <w:p w14:paraId="084CC00F">
      <w:pPr>
        <w:pStyle w:val="3"/>
        <w:numPr>
          <w:ilvl w:val="-1"/>
          <w:numId w:val="0"/>
        </w:numPr>
        <w:spacing w:beforeLines="0" w:afterLines="0"/>
        <w:ind w:firstLine="0" w:firstLineChars="0"/>
        <w:rPr>
          <w:rFonts w:hint="default"/>
          <w:lang w:val="en-US"/>
        </w:rPr>
      </w:pPr>
      <w:r>
        <w:rPr>
          <w:rFonts w:hint="eastAsia"/>
          <w:lang w:val="en-US" w:eastAsia="zh-CN"/>
        </w:rPr>
        <w:t xml:space="preserve">     </w:t>
      </w:r>
      <w:r>
        <w:rPr>
          <w:rFonts w:hint="eastAsia" w:ascii="仿宋_GB2312" w:hAnsi="宋体" w:eastAsia="仿宋_GB2312" w:cs="宋体"/>
          <w:kern w:val="0"/>
          <w:sz w:val="32"/>
          <w:szCs w:val="32"/>
        </w:rPr>
        <w:t>2026年4月14日，根据司法鉴定科学研究院出具的司法鉴定意见书，确认徐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死亡原因为创伤性休克，引起原因符合遭车辆撞击、挤（碾）压致腹盆部及下肢毁损伤的特征。</w:t>
      </w:r>
    </w:p>
    <w:p w14:paraId="4F3C9F6F">
      <w:pPr>
        <w:pStyle w:val="3"/>
        <w:numPr>
          <w:ilvl w:val="0"/>
          <w:numId w:val="1"/>
        </w:numPr>
        <w:spacing w:beforeLines="0" w:afterLines="0"/>
        <w:ind w:firstLine="640"/>
        <w:rPr>
          <w:rFonts w:hint="eastAsia"/>
          <w:lang w:eastAsia="zh-CN"/>
        </w:rPr>
      </w:pPr>
      <w:r>
        <w:rPr>
          <w:rFonts w:hint="eastAsia"/>
        </w:rPr>
        <w:t>人员伤亡和直接经济损失情况</w:t>
      </w:r>
    </w:p>
    <w:bookmarkEnd w:id="17"/>
    <w:bookmarkEnd w:id="18"/>
    <w:bookmarkEnd w:id="19"/>
    <w:p w14:paraId="003F891C">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本次事故造成徐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1人死亡，现场叉车等设备无损坏，事故造成直接经济损失约258万元。</w:t>
      </w:r>
    </w:p>
    <w:p w14:paraId="4BDADB55">
      <w:pPr>
        <w:pStyle w:val="2"/>
        <w:spacing w:beforeLines="0" w:afterLines="0"/>
        <w:ind w:firstLine="643"/>
      </w:pPr>
      <w:bookmarkStart w:id="20" w:name="_Toc19434"/>
      <w:bookmarkStart w:id="21" w:name="_Toc10062"/>
      <w:bookmarkStart w:id="22" w:name="_Toc26548"/>
      <w:r>
        <w:rPr>
          <w:rFonts w:hint="eastAsia"/>
        </w:rPr>
        <w:t>二、事故应急处置及评估情况</w:t>
      </w:r>
      <w:bookmarkEnd w:id="20"/>
      <w:bookmarkEnd w:id="21"/>
      <w:bookmarkEnd w:id="22"/>
    </w:p>
    <w:p w14:paraId="48A9CD01">
      <w:pPr>
        <w:pStyle w:val="3"/>
        <w:spacing w:beforeLines="0" w:afterLines="0"/>
        <w:ind w:firstLine="640"/>
      </w:pPr>
      <w:bookmarkStart w:id="23" w:name="_Toc12263"/>
      <w:bookmarkStart w:id="24" w:name="_Toc9355"/>
      <w:bookmarkStart w:id="25" w:name="_Toc9131"/>
      <w:r>
        <w:rPr>
          <w:rFonts w:hint="eastAsia"/>
        </w:rPr>
        <w:t>（一）事故信息接报及应急响应</w:t>
      </w:r>
      <w:bookmarkEnd w:id="23"/>
      <w:bookmarkEnd w:id="24"/>
    </w:p>
    <w:bookmarkEnd w:id="25"/>
    <w:p w14:paraId="0BBAB192">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事故发生后，现场有关人员立即向有关部门上报事故情况。区应急局接报后，立即启动响应机制，会同区公安分局、区市场局、区建设管理委和静安寺街道迅速赶赴现场开展工作，区公安分局设置警示标识并排查刑事责任，区应急局指导做好应急救援并勘察事故现场，区建管委约谈相关企业，</w:t>
      </w:r>
      <w:r>
        <w:rPr>
          <w:rFonts w:hint="eastAsia" w:ascii="仿宋_GB2312" w:hAnsi="宋体" w:eastAsia="仿宋_GB2312" w:cs="宋体"/>
          <w:kern w:val="0"/>
          <w:sz w:val="32"/>
          <w:szCs w:val="32"/>
          <w:lang w:eastAsia="zh-CN"/>
        </w:rPr>
        <w:t>区</w:t>
      </w:r>
      <w:r>
        <w:rPr>
          <w:rFonts w:hint="eastAsia" w:ascii="仿宋_GB2312" w:hAnsi="宋体" w:eastAsia="仿宋_GB2312" w:cs="宋体"/>
          <w:kern w:val="0"/>
          <w:sz w:val="32"/>
          <w:szCs w:val="32"/>
        </w:rPr>
        <w:t>市场监管局调查事故车辆信息。</w:t>
      </w:r>
    </w:p>
    <w:p w14:paraId="696315B3">
      <w:pPr>
        <w:pStyle w:val="3"/>
        <w:spacing w:beforeLines="0" w:afterLines="0"/>
        <w:ind w:left="200" w:firstLine="640"/>
      </w:pPr>
      <w:bookmarkStart w:id="26" w:name="_Toc4227"/>
      <w:bookmarkStart w:id="27" w:name="_Toc4525"/>
      <w:r>
        <w:rPr>
          <w:rFonts w:hint="eastAsia"/>
        </w:rPr>
        <w:t>（二）医疗救治和善后情况</w:t>
      </w:r>
      <w:bookmarkEnd w:id="26"/>
      <w:bookmarkEnd w:id="27"/>
    </w:p>
    <w:p w14:paraId="722167B9">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事故发生后，程建军随即拨打了“120”急救电话，8时45分许“120”救护人员抵达现场，将伤者送往华东医院救治，12时31分，华东医院宣布徐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经抢救无效死亡，死亡原因：创伤性休克。相关企业积极开展善后工作，在较短时间内与死者家属达成共识，并签订补偿协议。</w:t>
      </w:r>
    </w:p>
    <w:p w14:paraId="4CB27031">
      <w:pPr>
        <w:pStyle w:val="3"/>
        <w:spacing w:beforeLines="0" w:afterLines="0"/>
        <w:ind w:firstLine="640"/>
      </w:pPr>
      <w:bookmarkStart w:id="28" w:name="_Toc17062"/>
      <w:bookmarkStart w:id="29" w:name="_Toc31880"/>
      <w:r>
        <w:rPr>
          <w:rFonts w:hint="eastAsia"/>
        </w:rPr>
        <w:t>（三）事故应急处置评估</w:t>
      </w:r>
      <w:bookmarkEnd w:id="28"/>
      <w:bookmarkEnd w:id="29"/>
    </w:p>
    <w:p w14:paraId="7FA5B015">
      <w:pPr>
        <w:spacing w:beforeLines="0" w:afterLines="0"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经评估，相关企业在事故发生后立即组织开展应急处置，并按规定向属地政府及相关部门报告事故现场应急救援情况，总体措施得当，未造成次生事故。</w:t>
      </w:r>
    </w:p>
    <w:p w14:paraId="1621DE02">
      <w:pPr>
        <w:pStyle w:val="2"/>
        <w:numPr>
          <w:ilvl w:val="0"/>
          <w:numId w:val="2"/>
        </w:numPr>
        <w:spacing w:beforeLines="0" w:afterLines="0"/>
        <w:ind w:firstLine="643"/>
      </w:pPr>
      <w:bookmarkStart w:id="30" w:name="_Toc837"/>
      <w:bookmarkStart w:id="31" w:name="_Toc23098"/>
      <w:bookmarkStart w:id="32" w:name="_Toc3496"/>
      <w:r>
        <w:rPr>
          <w:rFonts w:hint="eastAsia"/>
        </w:rPr>
        <w:t>事故原因分析</w:t>
      </w:r>
      <w:bookmarkEnd w:id="30"/>
      <w:bookmarkEnd w:id="31"/>
      <w:bookmarkEnd w:id="32"/>
    </w:p>
    <w:p w14:paraId="3DC3C943">
      <w:pPr>
        <w:pStyle w:val="3"/>
        <w:spacing w:beforeLines="0" w:afterLines="0"/>
        <w:ind w:firstLine="640"/>
      </w:pPr>
      <w:bookmarkStart w:id="33" w:name="_Toc27616"/>
      <w:bookmarkStart w:id="34" w:name="_Toc897"/>
      <w:r>
        <w:rPr>
          <w:rFonts w:hint="eastAsia"/>
        </w:rPr>
        <w:t>（一）原因分析</w:t>
      </w:r>
      <w:bookmarkEnd w:id="33"/>
      <w:bookmarkEnd w:id="34"/>
    </w:p>
    <w:p w14:paraId="63D6A0CF">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1.作业人员作业时违反叉车操作规程</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0"/>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，作业时未充分观察周边环境，转向时也没有充分瞭望</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1"/>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，没有采取避让和紧急制动措施，也未能及时发现叉车行驶路线上的徐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w:t>
      </w:r>
    </w:p>
    <w:p w14:paraId="25819F72">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2.卓窖实业公司作为叉车的出租方，未依法履行安全管理主体责任，将一</w:t>
      </w:r>
      <w:r>
        <w:rPr>
          <w:rFonts w:hint="eastAsia" w:ascii="仿宋_GB2312" w:hAnsi="宋体" w:eastAsia="仿宋_GB2312" w:cs="宋体"/>
          <w:kern w:val="0"/>
          <w:sz w:val="32"/>
          <w:szCs w:val="32"/>
          <w:lang w:val="en-US" w:eastAsia="zh-CN"/>
        </w:rPr>
        <w:t>台未经检验合格</w:t>
      </w:r>
      <w:r>
        <w:rPr>
          <w:rFonts w:hint="eastAsia" w:ascii="仿宋_GB2312" w:hAnsi="宋体" w:eastAsia="仿宋_GB2312" w:cs="宋体"/>
          <w:kern w:val="0"/>
          <w:sz w:val="32"/>
          <w:szCs w:val="32"/>
        </w:rPr>
        <w:t>的叉车，冒充合法合规、检验合格的设备交付工地施工使用。</w:t>
      </w:r>
    </w:p>
    <w:p w14:paraId="716151D6">
      <w:pPr>
        <w:pStyle w:val="3"/>
        <w:numPr>
          <w:ilvl w:val="0"/>
          <w:numId w:val="3"/>
        </w:numPr>
        <w:spacing w:beforeLines="0" w:afterLines="0"/>
        <w:ind w:firstLine="640"/>
      </w:pPr>
      <w:bookmarkStart w:id="35" w:name="_Toc18522"/>
      <w:bookmarkStart w:id="36" w:name="_Toc9973"/>
      <w:r>
        <w:rPr>
          <w:rFonts w:hint="eastAsia"/>
        </w:rPr>
        <w:t>相关鉴定情况</w:t>
      </w:r>
      <w:bookmarkEnd w:id="35"/>
      <w:bookmarkEnd w:id="36"/>
    </w:p>
    <w:p w14:paraId="124A5A0F">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2026年4月14日，根据司法鉴定科学研究院出具的司法鉴定意见书，确认徐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死亡原因为创伤性休克，引起原因符合遭车辆撞击、挤（碾）压致腹盆部及下肢毁损伤的特征。</w:t>
      </w:r>
    </w:p>
    <w:p w14:paraId="29C93654">
      <w:pPr>
        <w:pStyle w:val="3"/>
        <w:spacing w:beforeLines="0" w:afterLines="0"/>
        <w:ind w:firstLine="640"/>
      </w:pPr>
      <w:bookmarkStart w:id="37" w:name="_Toc31377"/>
      <w:bookmarkStart w:id="38" w:name="_Toc2489"/>
      <w:bookmarkStart w:id="39" w:name="_Toc20688"/>
      <w:r>
        <w:rPr>
          <w:rFonts w:hint="eastAsia"/>
        </w:rPr>
        <w:t>（三）</w:t>
      </w:r>
      <w:bookmarkEnd w:id="37"/>
      <w:r>
        <w:rPr>
          <w:rFonts w:hint="eastAsia"/>
          <w:lang w:val="en-US" w:eastAsia="zh-CN"/>
        </w:rPr>
        <w:t>事故发现的主要</w:t>
      </w:r>
      <w:r>
        <w:rPr>
          <w:rFonts w:hint="eastAsia"/>
        </w:rPr>
        <w:t>问题</w:t>
      </w:r>
      <w:bookmarkEnd w:id="38"/>
      <w:bookmarkEnd w:id="39"/>
    </w:p>
    <w:p w14:paraId="1C2B0695">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1.富艺幕墙公司作为项目专业分包单位，未建立健全并落实全员安全生产责任制，未明确各岗位的责任人员、责任范围等内容，未有效履行现场管理、安全技术交底等职责；未能及时发现并消除事故隐患。</w:t>
      </w:r>
    </w:p>
    <w:p w14:paraId="719A2570">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2.堡华公司作为总包单位，未落实对分包单位的统一协调管理责任。</w:t>
      </w:r>
    </w:p>
    <w:p w14:paraId="0394FCA9">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3.智通公司作为本项目的监理单位，对施工作业现场安全监管与安全管理不力，未能及时发现并督促整改施工单位在施工作业中存在的安全隐患。</w:t>
      </w:r>
    </w:p>
    <w:p w14:paraId="21941C65">
      <w:pPr>
        <w:pStyle w:val="2"/>
        <w:spacing w:beforeLines="0" w:afterLines="0"/>
        <w:ind w:firstLine="643"/>
      </w:pPr>
      <w:bookmarkStart w:id="40" w:name="_Toc19623"/>
      <w:bookmarkStart w:id="41" w:name="_Toc21642"/>
      <w:bookmarkStart w:id="42" w:name="_Toc10236"/>
      <w:r>
        <w:rPr>
          <w:rFonts w:hint="eastAsia"/>
        </w:rPr>
        <w:t>四、事故责任分析及对责任者（单位）的处理建议</w:t>
      </w:r>
      <w:bookmarkEnd w:id="40"/>
      <w:bookmarkEnd w:id="41"/>
      <w:bookmarkEnd w:id="42"/>
    </w:p>
    <w:p w14:paraId="25306DB3">
      <w:pPr>
        <w:pStyle w:val="3"/>
        <w:spacing w:beforeLines="0" w:afterLines="0"/>
        <w:ind w:firstLine="640"/>
      </w:pPr>
      <w:bookmarkStart w:id="43" w:name="_Toc3177"/>
      <w:bookmarkStart w:id="44" w:name="_Toc19370"/>
      <w:bookmarkStart w:id="45" w:name="_Toc26122"/>
      <w:r>
        <w:rPr>
          <w:rFonts w:hint="eastAsia"/>
        </w:rPr>
        <w:t>（一）因在事故中死亡免予或不予追究责任人员</w:t>
      </w:r>
      <w:bookmarkEnd w:id="43"/>
      <w:bookmarkEnd w:id="44"/>
    </w:p>
    <w:p w14:paraId="768CFDD9">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，事故死者。其在作业过程中安全防范意识缺乏，未能与叉车保持规定的安全距离</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2"/>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，违反了岗位安全操作规程。鉴于其已在事故中死亡，建议不再追究其责任。</w:t>
      </w:r>
    </w:p>
    <w:p w14:paraId="55FEDF7F">
      <w:pPr>
        <w:pStyle w:val="3"/>
        <w:spacing w:beforeLines="0" w:afterLines="0"/>
        <w:ind w:firstLine="640"/>
      </w:pPr>
      <w:bookmarkStart w:id="46" w:name="_Toc6765"/>
      <w:bookmarkStart w:id="47" w:name="_Toc3284"/>
      <w:r>
        <w:rPr>
          <w:rFonts w:hint="eastAsia"/>
        </w:rPr>
        <w:t>（二）</w:t>
      </w:r>
      <w:bookmarkEnd w:id="45"/>
      <w:r>
        <w:rPr>
          <w:rFonts w:hint="eastAsia"/>
        </w:rPr>
        <w:t>建议移交司法机关处理人员</w:t>
      </w:r>
      <w:bookmarkEnd w:id="46"/>
      <w:bookmarkEnd w:id="47"/>
    </w:p>
    <w:p w14:paraId="6180F54A">
      <w:pPr>
        <w:spacing w:beforeLines="0" w:afterLines="0" w:line="560" w:lineRule="exact"/>
        <w:ind w:right="-288" w:rightChars="-137"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rPr>
        <w:t>1.程建军，叉车司机。在作业时违反叉车操作技术规范，作业时未充分观察周边环境，转向时也没有充分瞭望，未采取避让和紧急制动措施，也未能及时发现叉车行驶路线上的徐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，造成叉车快速向前冲撞，最终导致徐</w:t>
      </w:r>
      <w:r>
        <w:rPr>
          <w:rFonts w:hint="eastAsia" w:ascii="仿宋_GB2312" w:hAnsi="宋体" w:eastAsia="仿宋_GB2312" w:cs="宋体"/>
          <w:kern w:val="0"/>
          <w:sz w:val="32"/>
          <w:szCs w:val="32"/>
          <w:lang w:val="en-US" w:eastAsia="zh-CN"/>
        </w:rPr>
        <w:t>**</w:t>
      </w:r>
      <w:r>
        <w:rPr>
          <w:rFonts w:hint="eastAsia" w:ascii="仿宋_GB2312" w:hAnsi="宋体" w:eastAsia="仿宋_GB2312" w:cs="宋体"/>
          <w:kern w:val="0"/>
          <w:sz w:val="32"/>
          <w:szCs w:val="32"/>
        </w:rPr>
        <w:t>被碰撞挤压身亡。对本次事故发生负有责任。</w:t>
      </w:r>
    </w:p>
    <w:p w14:paraId="5AFF932D">
      <w:pPr>
        <w:spacing w:beforeLines="0" w:afterLines="0" w:line="560" w:lineRule="exact"/>
        <w:ind w:right="-288" w:rightChars="-137"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2.陈辉，卓窖公司实际负责人。未按要求提供设备安全检测报告，并在租赁服务中</w:t>
      </w:r>
      <w:r>
        <w:rPr>
          <w:rFonts w:hint="eastAsia" w:ascii="仿宋_GB2312" w:hAnsi="宋体" w:eastAsia="仿宋_GB2312" w:cs="宋体"/>
          <w:i w:val="0"/>
          <w:iCs w:val="0"/>
          <w:caps w:val="0"/>
          <w:spacing w:val="0"/>
          <w:kern w:val="0"/>
          <w:sz w:val="32"/>
          <w:szCs w:val="32"/>
          <w:shd w:val="clear"/>
        </w:rPr>
        <w:t>通过提供虚假资料、篡改设备信息等欺诈性手段</w:t>
      </w:r>
      <w:r>
        <w:rPr>
          <w:rFonts w:hint="eastAsia" w:ascii="仿宋_GB2312" w:hAnsi="宋体" w:eastAsia="仿宋_GB2312" w:cs="宋体"/>
          <w:i w:val="0"/>
          <w:iCs w:val="0"/>
          <w:caps w:val="0"/>
          <w:spacing w:val="0"/>
          <w:kern w:val="0"/>
          <w:sz w:val="32"/>
          <w:szCs w:val="32"/>
          <w:shd w:val="clear"/>
          <w:lang w:val="en-US" w:eastAsia="zh-CN"/>
        </w:rPr>
        <w:t>掩盖叉车实际情况，将未经检验合格的叉车出租给项目施工单位。对本次事故发生负有责任。</w:t>
      </w:r>
    </w:p>
    <w:p w14:paraId="45601EF1">
      <w:pPr>
        <w:pStyle w:val="3"/>
        <w:spacing w:beforeLines="0" w:afterLines="0"/>
        <w:ind w:firstLine="640"/>
      </w:pPr>
      <w:bookmarkStart w:id="48" w:name="_Toc3430"/>
      <w:bookmarkStart w:id="49" w:name="_Toc5047"/>
      <w:r>
        <w:rPr>
          <w:rFonts w:hint="eastAsia"/>
        </w:rPr>
        <w:t>（三）建议行政处罚责任单位及人员</w:t>
      </w:r>
      <w:bookmarkEnd w:id="48"/>
      <w:bookmarkEnd w:id="49"/>
    </w:p>
    <w:p w14:paraId="68234D89">
      <w:pPr>
        <w:numPr>
          <w:ilvl w:val="0"/>
          <w:numId w:val="4"/>
        </w:num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富艺幕墙公司未落实企业安全生产主体责任，日常安全管理缺失。在施工作业中，未能确保操作规程的遵守和安全措施的落实，作业人员违规操作；未建立</w:t>
      </w:r>
      <w:bookmarkStart w:id="56" w:name="_GoBack"/>
      <w:bookmarkEnd w:id="56"/>
      <w:r>
        <w:rPr>
          <w:rFonts w:hint="eastAsia" w:ascii="仿宋_GB2312" w:hAnsi="宋体" w:eastAsia="仿宋_GB2312" w:cs="宋体"/>
          <w:kern w:val="0"/>
          <w:sz w:val="32"/>
          <w:szCs w:val="32"/>
        </w:rPr>
        <w:t>健全并落实全员安全生产责任制；未</w:t>
      </w:r>
      <w:r>
        <w:rPr>
          <w:rFonts w:hint="eastAsia" w:ascii="仿宋_GB2312" w:hAnsi="宋体" w:eastAsia="仿宋_GB2312" w:cs="宋体"/>
          <w:kern w:val="0"/>
          <w:sz w:val="32"/>
          <w:szCs w:val="32"/>
          <w:lang w:val="en-US" w:eastAsia="zh-CN"/>
        </w:rPr>
        <w:t>落实</w:t>
      </w:r>
      <w:r>
        <w:rPr>
          <w:rFonts w:hint="eastAsia" w:ascii="仿宋_GB2312" w:hAnsi="宋体" w:eastAsia="仿宋_GB2312" w:cs="宋体"/>
          <w:kern w:val="0"/>
          <w:sz w:val="32"/>
          <w:szCs w:val="32"/>
        </w:rPr>
        <w:t>叉车安全管理制度，岗位责任制和操作规程，未开展员工的特种设备安全教育，违反了《中华人民共和国安全生产法》第四条第一款</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3"/>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、第二十二条第一款</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4"/>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、第四十一条第二款</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5"/>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等规定，对事故发生负有责任。建议区应急管理局依法予以行政处罚</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6"/>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w:t>
      </w:r>
    </w:p>
    <w:p w14:paraId="588FE29F">
      <w:pPr>
        <w:numPr>
          <w:ilvl w:val="0"/>
          <w:numId w:val="4"/>
        </w:num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卓窖公司在租赁服务中出租</w:t>
      </w:r>
      <w:r>
        <w:rPr>
          <w:rFonts w:ascii="仿宋_GB2312" w:hAnsi="宋体" w:eastAsia="仿宋_GB2312" w:cs="仿宋_GB2312"/>
          <w:i w:val="0"/>
          <w:iCs w:val="0"/>
          <w:caps w:val="0"/>
          <w:color w:val="333333"/>
          <w:spacing w:val="0"/>
          <w:sz w:val="32"/>
          <w:szCs w:val="32"/>
          <w:shd w:val="clear" w:fill="FFFFFF"/>
        </w:rPr>
        <w:t>不符合安全技术规范要求</w:t>
      </w:r>
      <w:r>
        <w:rPr>
          <w:rFonts w:hint="eastAsia" w:ascii="仿宋_GB2312" w:hAnsi="宋体" w:eastAsia="仿宋_GB2312" w:cs="宋体"/>
          <w:kern w:val="0"/>
          <w:sz w:val="32"/>
          <w:szCs w:val="32"/>
        </w:rPr>
        <w:t>的设备，为事故埋下重大隐患</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建议区市场</w:t>
      </w:r>
      <w:r>
        <w:rPr>
          <w:rFonts w:hint="eastAsia" w:ascii="仿宋_GB2312" w:hAnsi="宋体" w:eastAsia="仿宋_GB2312" w:cs="宋体"/>
          <w:kern w:val="0"/>
          <w:sz w:val="32"/>
          <w:szCs w:val="32"/>
          <w:lang w:val="en-US" w:eastAsia="zh-CN"/>
        </w:rPr>
        <w:t>监管</w:t>
      </w:r>
      <w:r>
        <w:rPr>
          <w:rFonts w:hint="eastAsia" w:ascii="仿宋_GB2312" w:hAnsi="宋体" w:eastAsia="仿宋_GB2312" w:cs="宋体"/>
          <w:kern w:val="0"/>
          <w:sz w:val="32"/>
          <w:szCs w:val="32"/>
        </w:rPr>
        <w:t>局</w:t>
      </w:r>
      <w:r>
        <w:rPr>
          <w:rFonts w:hint="eastAsia" w:ascii="仿宋_GB2312" w:hAnsi="宋体" w:eastAsia="仿宋_GB2312" w:cs="宋体"/>
          <w:kern w:val="0"/>
          <w:sz w:val="32"/>
          <w:szCs w:val="32"/>
          <w:lang w:eastAsia="zh-CN"/>
        </w:rPr>
        <w:t>依法予以处理</w:t>
      </w:r>
      <w:r>
        <w:rPr>
          <w:rFonts w:hint="eastAsia" w:ascii="仿宋_GB2312" w:hAnsi="宋体" w:eastAsia="仿宋_GB2312" w:cs="宋体"/>
          <w:kern w:val="0"/>
          <w:sz w:val="32"/>
          <w:szCs w:val="32"/>
        </w:rPr>
        <w:t>。</w:t>
      </w:r>
    </w:p>
    <w:p w14:paraId="3F787DD9">
      <w:pPr>
        <w:numPr>
          <w:ilvl w:val="0"/>
          <w:numId w:val="4"/>
        </w:num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杨传锋，富艺幕墙公司项目经理。作为事故发生单位主要负责人，未依法履行安全生产管理职责导致事故发生；未落实生产经营单位管理人员安全生产工作职责，未检查本单位的安全生产状况，未及时排查生产安全事故隐患。建议区应急管理局依法予以行政处罚</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7"/>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w:t>
      </w:r>
    </w:p>
    <w:p w14:paraId="6857E21E">
      <w:pPr>
        <w:pStyle w:val="3"/>
        <w:spacing w:beforeLines="0" w:afterLines="0"/>
        <w:ind w:right="-288" w:rightChars="-137" w:firstLine="640" w:firstLineChars="200"/>
        <w:rPr>
          <w:rFonts w:hint="eastAsia" w:ascii="仿宋_GB2312" w:hAnsi="宋体" w:eastAsia="仿宋_GB2312" w:cs="宋体"/>
          <w:kern w:val="0"/>
          <w:sz w:val="32"/>
          <w:szCs w:val="32"/>
        </w:rPr>
      </w:pPr>
      <w:bookmarkStart w:id="50" w:name="_Toc11042"/>
      <w:bookmarkStart w:id="51" w:name="_Toc22636"/>
      <w:bookmarkStart w:id="52" w:name="_Toc23627"/>
      <w:r>
        <w:rPr>
          <w:rFonts w:hint="eastAsia"/>
        </w:rPr>
        <w:t>（四）</w:t>
      </w:r>
      <w:bookmarkEnd w:id="50"/>
      <w:r>
        <w:rPr>
          <w:rFonts w:hint="eastAsia"/>
        </w:rPr>
        <w:t>其他处理建议</w:t>
      </w:r>
      <w:bookmarkEnd w:id="51"/>
      <w:bookmarkEnd w:id="52"/>
    </w:p>
    <w:p w14:paraId="68FEDA47">
      <w:pPr>
        <w:numPr>
          <w:ilvl w:val="0"/>
          <w:numId w:val="5"/>
        </w:num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lang w:val="en-US" w:eastAsia="zh-CN"/>
        </w:rPr>
        <w:t>沈际军，堡华公司项目经理。未落实对分包单位的统一协调管理责任，管理不力，安全检查不到位；未有效督促分包公司落实安全管理职责。</w:t>
      </w:r>
      <w:r>
        <w:rPr>
          <w:rFonts w:hint="eastAsia" w:ascii="仿宋_GB2312" w:hAnsi="宋体" w:eastAsia="仿宋_GB2312" w:cs="宋体"/>
          <w:kern w:val="0"/>
          <w:sz w:val="32"/>
          <w:szCs w:val="32"/>
        </w:rPr>
        <w:t>建议堡华公司依据公司规定给予处理。</w:t>
      </w:r>
    </w:p>
    <w:p w14:paraId="02528492">
      <w:pPr>
        <w:numPr>
          <w:ilvl w:val="0"/>
          <w:numId w:val="5"/>
        </w:num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刘国旗，智通公司总监理工程师。未依法履行安全监理职责，未及时发现并督促整改施工单位在施工作业存在的安全隐患，未有效制止违规作业。建议</w:t>
      </w:r>
      <w:r>
        <w:rPr>
          <w:rFonts w:hint="eastAsia" w:ascii="仿宋_GB2312" w:hAnsi="宋体" w:eastAsia="仿宋_GB2312" w:cs="宋体"/>
          <w:kern w:val="0"/>
          <w:sz w:val="32"/>
          <w:szCs w:val="32"/>
          <w:lang w:eastAsia="zh-CN"/>
        </w:rPr>
        <w:t>智通</w:t>
      </w:r>
      <w:r>
        <w:rPr>
          <w:rFonts w:hint="eastAsia" w:ascii="仿宋_GB2312" w:hAnsi="宋体" w:eastAsia="仿宋_GB2312" w:cs="宋体"/>
          <w:kern w:val="0"/>
          <w:sz w:val="32"/>
          <w:szCs w:val="32"/>
        </w:rPr>
        <w:t>公司依据公司规定给予处理。</w:t>
      </w:r>
    </w:p>
    <w:p w14:paraId="55AFA9F6">
      <w:pPr>
        <w:numPr>
          <w:ilvl w:val="0"/>
          <w:numId w:val="5"/>
        </w:num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李涛，富艺幕墙公司安全员。未到场开展安全检查，未及时发现制止施工人员违规施工行为。建议富艺幕墙公司依据公司规定给予处理。</w:t>
      </w:r>
    </w:p>
    <w:p w14:paraId="472A862F">
      <w:pPr>
        <w:numPr>
          <w:ilvl w:val="0"/>
          <w:numId w:val="5"/>
        </w:num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孟烘飞，堡华公司安全员。未到场开展安全检查，未及时发现制止施工人员违规施工行为。建议堡华公司依据公司规定给予处理。</w:t>
      </w:r>
    </w:p>
    <w:p w14:paraId="45D3178D">
      <w:pPr>
        <w:numPr>
          <w:ilvl w:val="-1"/>
          <w:numId w:val="0"/>
        </w:numPr>
        <w:spacing w:beforeLines="0" w:afterLines="0" w:line="560" w:lineRule="exact"/>
        <w:ind w:leftChars="200" w:right="-288" w:rightChars="-137" w:firstLine="0" w:firstLineChars="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 xml:space="preserve"> 前述单位要将处理结果报静安区应急管理局。</w:t>
      </w:r>
    </w:p>
    <w:p w14:paraId="5037D6AD">
      <w:pPr>
        <w:pStyle w:val="2"/>
        <w:spacing w:beforeLines="0" w:afterLines="0"/>
        <w:ind w:firstLine="643"/>
      </w:pPr>
      <w:bookmarkStart w:id="53" w:name="_Toc18922"/>
      <w:bookmarkStart w:id="54" w:name="_Toc13099"/>
      <w:bookmarkStart w:id="55" w:name="_Toc1625"/>
      <w:r>
        <w:rPr>
          <w:rFonts w:hint="eastAsia"/>
        </w:rPr>
        <w:t>五、整改防范措施建议</w:t>
      </w:r>
      <w:bookmarkEnd w:id="53"/>
      <w:bookmarkEnd w:id="54"/>
      <w:bookmarkEnd w:id="55"/>
    </w:p>
    <w:p w14:paraId="52261177">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一）富艺幕墙公司应切实落实安全生产主体责任，明确公司安全员组织构架，压实本企业隐患排查治理主体责任。明确场地、施工队、特种设备的安全负责人；设备进场前要严格核对产品名称，发动机号，产品外观确保合格设备入场；做好安全技术交底，加强对员工的安全教育培训和考核，要对特种作业人员进行针对性的安全教育培训，严格作业现场的安全管理，督促作业人员正确使用特种设备，临边作业等危险作业要派人现场监护，督促作业人员按照安全技术操作规程进行作业，要加强作业现场安全检查和隐患排查治理，发现事故隐患，要及时采取技术和管理措施予以消除，确保生产安全。</w:t>
      </w:r>
    </w:p>
    <w:p w14:paraId="1989A8E8">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（二）堡华公司应按照</w:t>
      </w:r>
      <w:r>
        <w:rPr>
          <w:rFonts w:ascii="仿宋_GB2312" w:hAnsi="宋体" w:eastAsia="仿宋_GB2312" w:cs="宋体"/>
          <w:kern w:val="0"/>
          <w:sz w:val="32"/>
          <w:szCs w:val="32"/>
        </w:rPr>
        <w:t>“</w:t>
      </w:r>
      <w:r>
        <w:rPr>
          <w:rFonts w:hint="eastAsia" w:ascii="仿宋_GB2312" w:hAnsi="宋体" w:eastAsia="仿宋_GB2312" w:cs="宋体"/>
          <w:kern w:val="0"/>
          <w:sz w:val="32"/>
          <w:szCs w:val="32"/>
        </w:rPr>
        <w:t>四不放过</w:t>
      </w:r>
      <w:r>
        <w:rPr>
          <w:rFonts w:ascii="仿宋_GB2312" w:hAnsi="宋体" w:eastAsia="仿宋_GB2312" w:cs="宋体"/>
          <w:kern w:val="0"/>
          <w:sz w:val="32"/>
          <w:szCs w:val="32"/>
        </w:rPr>
        <w:t>”</w:t>
      </w:r>
      <w:r>
        <w:rPr>
          <w:rFonts w:hint="eastAsia" w:ascii="仿宋_GB2312" w:hAnsi="宋体" w:eastAsia="仿宋_GB2312" w:cs="宋体"/>
          <w:kern w:val="0"/>
          <w:sz w:val="32"/>
          <w:szCs w:val="32"/>
        </w:rPr>
        <w:t>的要求，召开事故专题会议，通报事故情况，举一反三，深刻吸取事故教训，认真分析事故原因，针对事故中暴露出的问题，采取整改措施，防范事故再次发生。要加强对专业分包单位的安全生产工作统一协调、管理力度。及时掌握施工现场安全防范措施，施工人员有无进行有效的安全教育培训和考核，分包单位是否对施工现场进行安全管理等安全管理情况。除了对施工人员进行安全教育外，安全检查人员也要提高自身的安全技术管理水平，从而更高效全面地发现安全问题。建立健全并落实生产安全事故隐患排查整治制度，确保有效地发现各项生产环节的安全漏洞。采用定期和随机的方式，对施工现场进行安全检查，发现安全问题，应当及时采取技术和管理措施进行有效地整改。及时消除事故隐患，杜绝事故发生。另外，还要加强对第三方劳务人员的安全培训工作和应急演练，加强工人的防范意识。</w:t>
      </w:r>
    </w:p>
    <w:p w14:paraId="64B3EBE9">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（三）智通公司应认真学习</w:t>
      </w:r>
      <w:r>
        <w:rPr>
          <w:rFonts w:hint="eastAsia" w:ascii="仿宋_GB2312" w:hAnsi="宋体" w:eastAsia="仿宋_GB2312" w:cs="宋体"/>
          <w:kern w:val="0"/>
          <w:sz w:val="32"/>
          <w:szCs w:val="32"/>
          <w:lang w:val="en-US" w:eastAsia="zh-CN"/>
        </w:rPr>
        <w:t>并严格遵守</w:t>
      </w:r>
      <w:r>
        <w:rPr>
          <w:rFonts w:hint="eastAsia" w:ascii="仿宋_GB2312" w:hAnsi="宋体" w:eastAsia="仿宋_GB2312" w:cs="宋体"/>
          <w:kern w:val="0"/>
          <w:sz w:val="32"/>
          <w:szCs w:val="32"/>
        </w:rPr>
        <w:t>《中华人民共和国安全生产法》第四十六条第一款</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8"/>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以及《建设工程安全生产管理条例》第十四条</w:t>
      </w:r>
      <w:r>
        <w:rPr>
          <w:rStyle w:val="11"/>
          <w:rFonts w:hint="eastAsia" w:ascii="仿宋_GB2312" w:hAnsi="宋体" w:eastAsia="仿宋_GB2312" w:cs="宋体"/>
          <w:kern w:val="0"/>
          <w:sz w:val="32"/>
          <w:szCs w:val="32"/>
        </w:rPr>
        <w:t>[</w:t>
      </w:r>
      <w:r>
        <w:rPr>
          <w:rStyle w:val="11"/>
          <w:rFonts w:hint="eastAsia" w:ascii="仿宋_GB2312" w:hAnsi="宋体" w:eastAsia="仿宋_GB2312" w:cs="宋体"/>
          <w:kern w:val="0"/>
          <w:sz w:val="32"/>
          <w:szCs w:val="32"/>
        </w:rPr>
        <w:footnoteReference w:id="9"/>
      </w:r>
      <w:r>
        <w:rPr>
          <w:rStyle w:val="11"/>
          <w:rFonts w:hint="eastAsia" w:ascii="仿宋_GB2312" w:hAnsi="宋体" w:eastAsia="仿宋_GB2312" w:cs="宋体"/>
          <w:kern w:val="0"/>
          <w:sz w:val="32"/>
          <w:szCs w:val="32"/>
        </w:rPr>
        <w:t>]</w:t>
      </w:r>
      <w:r>
        <w:rPr>
          <w:rFonts w:hint="eastAsia" w:ascii="仿宋_GB2312" w:hAnsi="宋体" w:eastAsia="仿宋_GB2312" w:cs="宋体"/>
          <w:kern w:val="0"/>
          <w:sz w:val="32"/>
          <w:szCs w:val="32"/>
        </w:rPr>
        <w:t>规定，建立健全覆盖项目全过程的监理安全责任体系，加强对项目监理部的内控管理，严格执行监理人员到岗履职制度，确保备案管理监理人员实际到岗、有效履职。其次，应当切实履行安全监理职责，安排专业监理人员对施工现场进行常态化安全巡视检查。公司要建立并落实“清单制+责任制+销号制”的隐患排查整改管理机制，对排查发现的所有隐患建立管理台账，明确整改责任人、整改措施和整改时限，确保每一项隐患都整改到位、形成闭环。</w:t>
      </w:r>
    </w:p>
    <w:p w14:paraId="35359ADD">
      <w:pPr>
        <w:spacing w:beforeLines="0" w:afterLines="0" w:line="560" w:lineRule="exact"/>
        <w:ind w:right="-288" w:rightChars="-137"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四）卓窖实业有限公司应立即开展自查整改工作，全面排查公司名下所有出租设备的安全生产条件，重点检查特种设备是否依法办理使用登记并处于定期检验有效期内。同时，规范租赁行为，应当对出租的机械设备和施工机具及配件的安全性能进行检测，在签订租赁协议时，应当出具检测合格证明。禁止出租检测不合格的机械设备和施工机具及配件。</w:t>
      </w:r>
    </w:p>
    <w:p w14:paraId="5278728C">
      <w:pPr>
        <w:spacing w:line="560" w:lineRule="exact"/>
        <w:ind w:right="-288" w:rightChars="-137" w:firstLine="640" w:firstLineChars="200"/>
        <w:rPr>
          <w:rFonts w:ascii="仿宋_GB2312" w:hAnsi="宋体" w:eastAsia="仿宋_GB2312" w:cs="宋体"/>
          <w:kern w:val="0"/>
          <w:sz w:val="32"/>
          <w:szCs w:val="32"/>
        </w:rPr>
      </w:pPr>
    </w:p>
    <w:p w14:paraId="4B2F9D1C">
      <w:pPr>
        <w:spacing w:line="560" w:lineRule="exact"/>
        <w:ind w:right="-288" w:rightChars="-137"/>
        <w:rPr>
          <w:rFonts w:ascii="仿宋_GB2312" w:hAnsi="宋体" w:eastAsia="仿宋_GB2312" w:cs="宋体"/>
          <w:kern w:val="0"/>
          <w:sz w:val="32"/>
          <w:szCs w:val="32"/>
        </w:rPr>
      </w:pPr>
    </w:p>
    <w:p w14:paraId="21D7C993">
      <w:pPr>
        <w:spacing w:line="520" w:lineRule="exact"/>
        <w:jc w:val="right"/>
        <w:rPr>
          <w:rFonts w:ascii="方正小标宋简体" w:hAnsi="方正小标宋简体" w:eastAsia="方正小标宋简体" w:cs="方正小标宋简体"/>
          <w:spacing w:val="-2"/>
          <w:kern w:val="0"/>
          <w:sz w:val="28"/>
          <w:szCs w:val="28"/>
        </w:rPr>
      </w:pPr>
      <w:r>
        <w:rPr>
          <w:rFonts w:hint="eastAsia" w:ascii="方正小标宋简体" w:hAnsi="方正小标宋简体" w:eastAsia="方正小标宋简体" w:cs="方正小标宋简体"/>
          <w:spacing w:val="-2"/>
          <w:kern w:val="0"/>
          <w:sz w:val="28"/>
          <w:szCs w:val="28"/>
        </w:rPr>
        <w:t>上海市静安区人民政府事故调查组</w:t>
      </w:r>
    </w:p>
    <w:p w14:paraId="228739A0">
      <w:pPr>
        <w:spacing w:line="520" w:lineRule="exact"/>
        <w:jc w:val="center"/>
        <w:rPr>
          <w:rFonts w:hint="eastAsia" w:ascii="方正小标宋简体" w:hAnsi="方正小标宋简体" w:eastAsia="方正小标宋简体" w:cs="方正小标宋简体"/>
          <w:spacing w:val="-2"/>
          <w:kern w:val="0"/>
          <w:sz w:val="28"/>
          <w:szCs w:val="28"/>
        </w:rPr>
      </w:pPr>
      <w:r>
        <w:rPr>
          <w:rFonts w:hint="eastAsia" w:ascii="方正小标宋简体" w:hAnsi="方正小标宋简体" w:eastAsia="方正小标宋简体" w:cs="方正小标宋简体"/>
          <w:spacing w:val="-2"/>
          <w:kern w:val="0"/>
          <w:sz w:val="28"/>
          <w:szCs w:val="28"/>
        </w:rPr>
        <w:t xml:space="preserve">                        </w:t>
      </w:r>
      <w:r>
        <w:rPr>
          <w:rFonts w:hint="eastAsia" w:ascii="方正小标宋简体" w:hAnsi="方正小标宋简体" w:eastAsia="方正小标宋简体" w:cs="方正小标宋简体"/>
          <w:spacing w:val="-2"/>
          <w:kern w:val="0"/>
          <w:sz w:val="28"/>
          <w:szCs w:val="28"/>
          <w:lang w:val="en-US" w:eastAsia="zh-CN"/>
        </w:rPr>
        <w:t xml:space="preserve">  </w:t>
      </w:r>
      <w:r>
        <w:rPr>
          <w:rFonts w:hint="eastAsia" w:ascii="方正小标宋简体" w:hAnsi="方正小标宋简体" w:eastAsia="方正小标宋简体" w:cs="方正小标宋简体"/>
          <w:spacing w:val="-2"/>
          <w:kern w:val="0"/>
          <w:sz w:val="28"/>
          <w:szCs w:val="28"/>
        </w:rPr>
        <w:t xml:space="preserve">    2026年</w:t>
      </w:r>
      <w:r>
        <w:rPr>
          <w:rFonts w:hint="eastAsia" w:ascii="方正小标宋简体" w:hAnsi="方正小标宋简体" w:eastAsia="方正小标宋简体" w:cs="方正小标宋简体"/>
          <w:spacing w:val="-2"/>
          <w:kern w:val="0"/>
          <w:sz w:val="28"/>
          <w:szCs w:val="28"/>
          <w:lang w:val="en-US" w:eastAsia="zh-CN"/>
        </w:rPr>
        <w:t>5</w:t>
      </w:r>
      <w:r>
        <w:rPr>
          <w:rFonts w:hint="eastAsia" w:ascii="方正小标宋简体" w:hAnsi="方正小标宋简体" w:eastAsia="方正小标宋简体" w:cs="方正小标宋简体"/>
          <w:spacing w:val="-2"/>
          <w:kern w:val="0"/>
          <w:sz w:val="28"/>
          <w:szCs w:val="28"/>
        </w:rPr>
        <w:t>月</w:t>
      </w:r>
      <w:r>
        <w:rPr>
          <w:rFonts w:hint="eastAsia" w:ascii="方正小标宋简体" w:hAnsi="方正小标宋简体" w:eastAsia="方正小标宋简体" w:cs="方正小标宋简体"/>
          <w:spacing w:val="-2"/>
          <w:kern w:val="0"/>
          <w:sz w:val="28"/>
          <w:szCs w:val="28"/>
          <w:lang w:val="en-US" w:eastAsia="zh-CN"/>
        </w:rPr>
        <w:t>26</w:t>
      </w:r>
      <w:r>
        <w:rPr>
          <w:rFonts w:hint="eastAsia" w:ascii="方正小标宋简体" w:hAnsi="方正小标宋简体" w:eastAsia="方正小标宋简体" w:cs="方正小标宋简体"/>
          <w:spacing w:val="-2"/>
          <w:kern w:val="0"/>
          <w:sz w:val="28"/>
          <w:szCs w:val="28"/>
        </w:rPr>
        <w:t>日</w:t>
      </w:r>
    </w:p>
    <w:p w14:paraId="3B22B375"/>
    <w:sectPr>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A8D96">
    <w:pPr>
      <w:pStyle w:val="4"/>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7DF02">
    <w:pPr>
      <w:pStyle w:val="4"/>
      <w:spacing w:line="14" w:lineRule="auto"/>
      <w:ind w:left="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5FE1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63054">
    <w:pPr>
      <w:pStyle w:val="4"/>
      <w:spacing w:line="14" w:lineRule="auto"/>
      <w:ind w:left="0"/>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posOffset>2581275</wp:posOffset>
              </wp:positionH>
              <wp:positionV relativeFrom="paragraph">
                <wp:posOffset>0</wp:posOffset>
              </wp:positionV>
              <wp:extent cx="199390" cy="20129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99390" cy="201295"/>
                      </a:xfrm>
                      <a:prstGeom prst="rect">
                        <a:avLst/>
                      </a:prstGeom>
                      <a:noFill/>
                      <a:ln w="6350">
                        <a:noFill/>
                      </a:ln>
                      <a:effectLst/>
                    </wps:spPr>
                    <wps:txbx>
                      <w:txbxContent>
                        <w:p w14:paraId="4593BB7B">
                          <w:pPr>
                            <w:pStyle w:val="5"/>
                            <w:rPr>
                              <w:sz w:val="22"/>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11</w:t>
                          </w:r>
                          <w:r>
                            <w:rPr>
                              <w:sz w:val="24"/>
                              <w:szCs w:val="24"/>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03.25pt;margin-top:0pt;height:15.85pt;width:15.7pt;mso-position-horizontal-relative:margin;z-index:251660288;mso-width-relative:page;mso-height-relative:page;" filled="f" stroked="f" coordsize="21600,21600" o:gfxdata="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DdN+E3XAAAABwEAAA8AAAAAAAAAAQAgAAAAIgAAAGRycy9k&#10;b3ducmV2LnhtbFBLAQIUABQAAAAIAIdO4kCcH64/PAIAAG8EAAAOAAAAAAAAAAEAIAAAACYBAABk&#10;cnMvZTJvRG9jLnhtbFBLBQYAAAAABgAGAFkBAADUBQAAAAA=&#10;">
              <v:fill on="f" focussize="0,0"/>
              <v:stroke on="f" weight="0.5pt"/>
              <v:imagedata o:title=""/>
              <o:lock v:ext="edit" aspectratio="f"/>
              <v:textbox inset="0mm,0mm,0mm,0mm">
                <w:txbxContent>
                  <w:p w14:paraId="4593BB7B">
                    <w:pPr>
                      <w:pStyle w:val="5"/>
                      <w:rPr>
                        <w:sz w:val="22"/>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11</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0D8F2163">
      <w:pPr>
        <w:pStyle w:val="7"/>
        <w:rPr>
          <w:b/>
          <w:bCs/>
        </w:rPr>
      </w:pPr>
      <w:r>
        <w:rPr>
          <w:rStyle w:val="11"/>
        </w:rPr>
        <w:t>[</w:t>
      </w:r>
      <w:r>
        <w:rPr>
          <w:rStyle w:val="11"/>
        </w:rPr>
        <w:footnoteRef/>
      </w:r>
      <w:r>
        <w:rPr>
          <w:rStyle w:val="11"/>
        </w:rPr>
        <w:t>]</w:t>
      </w:r>
      <w:r>
        <w:rPr>
          <w:rStyle w:val="13"/>
        </w:rPr>
        <w:t>《工业车辆使用、操作与维护安全规范》（GB/T36507-2023）</w:t>
      </w:r>
      <w:r>
        <w:rPr>
          <w:rStyle w:val="13"/>
          <w:rFonts w:hint="default"/>
        </w:rPr>
        <w:t>4.6.1.11</w:t>
      </w:r>
      <w:r>
        <w:rPr>
          <w:rStyle w:val="13"/>
        </w:rPr>
        <w:t>：车辆运行时，载荷或载荷搬运装置应保持在足以通过运行路段表面和局部障碍物的运行高有可能，后倾载荷，缩回门架/货叉(适用时)。除了堆垛作业外，不应起升载荷。</w:t>
      </w:r>
    </w:p>
  </w:footnote>
  <w:footnote w:id="1">
    <w:p w14:paraId="4D752C87">
      <w:pPr>
        <w:pStyle w:val="7"/>
      </w:pPr>
      <w:r>
        <w:rPr>
          <w:rStyle w:val="11"/>
        </w:rPr>
        <w:t>[</w:t>
      </w:r>
      <w:r>
        <w:rPr>
          <w:rStyle w:val="11"/>
        </w:rPr>
        <w:footnoteRef/>
      </w:r>
      <w:r>
        <w:rPr>
          <w:rStyle w:val="11"/>
        </w:rPr>
        <w:t>]</w:t>
      </w:r>
      <w:r>
        <w:rPr>
          <w:rStyle w:val="13"/>
        </w:rPr>
        <w:t>《工业车辆使用、操作与维护安全规范》（GB/T36507-2023）4.6.1.4：操作者应始终与运行方向上的车辆或人员保持安全的制动距离。在运行过程中，操作者应专注于操作车辆并确保车辆一直处于其控制之下。</w:t>
      </w:r>
    </w:p>
  </w:footnote>
  <w:footnote w:id="2">
    <w:p w14:paraId="3FCB8E02">
      <w:pPr>
        <w:pStyle w:val="7"/>
      </w:pPr>
      <w:r>
        <w:rPr>
          <w:rStyle w:val="11"/>
        </w:rPr>
        <w:t>[</w:t>
      </w:r>
      <w:r>
        <w:rPr>
          <w:rStyle w:val="11"/>
        </w:rPr>
        <w:footnoteRef/>
      </w:r>
      <w:r>
        <w:rPr>
          <w:rStyle w:val="11"/>
        </w:rPr>
        <w:t>]</w:t>
      </w:r>
      <w:r>
        <w:rPr>
          <w:rStyle w:val="13"/>
        </w:rPr>
        <w:t>《中华人民共和国特种设备安全法》第三十七条第一款：特种设备的使用应当具有规定的安全距离，安全防护措施。</w:t>
      </w:r>
    </w:p>
  </w:footnote>
  <w:footnote w:id="3">
    <w:p w14:paraId="754ADB38">
      <w:pPr>
        <w:pStyle w:val="7"/>
        <w:rPr>
          <w:rStyle w:val="13"/>
          <w:rFonts w:hint="default"/>
        </w:rPr>
      </w:pPr>
      <w:r>
        <w:rPr>
          <w:rStyle w:val="13"/>
        </w:rPr>
        <w:t>[</w:t>
      </w:r>
      <w:r>
        <w:rPr>
          <w:rStyle w:val="13"/>
        </w:rPr>
        <w:footnoteRef/>
      </w:r>
      <w:r>
        <w:rPr>
          <w:rStyle w:val="13"/>
        </w:rPr>
        <w:t>]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4">
    <w:p w14:paraId="3B6DE23A">
      <w:pPr>
        <w:pStyle w:val="7"/>
        <w:rPr>
          <w:rStyle w:val="13"/>
          <w:rFonts w:hint="default"/>
        </w:rPr>
      </w:pPr>
      <w:r>
        <w:rPr>
          <w:rStyle w:val="13"/>
        </w:rPr>
        <w:t>[</w:t>
      </w:r>
      <w:r>
        <w:rPr>
          <w:rStyle w:val="13"/>
        </w:rPr>
        <w:footnoteRef/>
      </w:r>
      <w:r>
        <w:rPr>
          <w:rStyle w:val="13"/>
        </w:rPr>
        <w:t>] 《中华人民共和国安全生产法》第二十二条第一款：生产经营单位的全员安全生产责任制应当明确各岗位的责任人员、责任范围和考核标准等内容。</w:t>
      </w:r>
    </w:p>
  </w:footnote>
  <w:footnote w:id="5">
    <w:p w14:paraId="54F3B515">
      <w:pPr>
        <w:pStyle w:val="7"/>
        <w:rPr>
          <w:rStyle w:val="13"/>
          <w:rFonts w:hint="default"/>
        </w:rPr>
      </w:pPr>
      <w:r>
        <w:rPr>
          <w:rStyle w:val="13"/>
        </w:rPr>
        <w:t>[</w:t>
      </w:r>
      <w:r>
        <w:rPr>
          <w:rStyle w:val="13"/>
        </w:rPr>
        <w:footnoteRef/>
      </w:r>
      <w:r>
        <w:rPr>
          <w:rStyle w:val="13"/>
        </w:rPr>
        <w:t>]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6">
    <w:p w14:paraId="73D1189E">
      <w:pPr>
        <w:pStyle w:val="7"/>
      </w:pPr>
      <w:r>
        <w:rPr>
          <w:rStyle w:val="13"/>
        </w:rPr>
        <w:t>[</w:t>
      </w:r>
      <w:r>
        <w:rPr>
          <w:rStyle w:val="13"/>
        </w:rPr>
        <w:footnoteRef/>
      </w:r>
      <w:r>
        <w:rPr>
          <w:rStyle w:val="13"/>
        </w:rPr>
        <w:t xml:space="preserve">] </w:t>
      </w:r>
      <w:r>
        <w:rPr>
          <w:rStyle w:val="13"/>
          <w:rFonts w:hint="default"/>
        </w:rPr>
        <w:t>《中华人民共和国安全生产法》第一百一十四条 发生生产安全事故，对负有责任的生产经营单位除要求其依法承担相应的赔偿等责任外，由应急管理部门依照下列规定处以罚款：第（一）项 发生一般事故的，处三十万元以上一百万元以下的罚款。</w:t>
      </w:r>
    </w:p>
  </w:footnote>
  <w:footnote w:id="7">
    <w:p w14:paraId="1F3F9BDE">
      <w:pPr>
        <w:pStyle w:val="7"/>
      </w:pPr>
      <w:r>
        <w:rPr>
          <w:rStyle w:val="11"/>
        </w:rPr>
        <w:t>[</w:t>
      </w:r>
      <w:r>
        <w:rPr>
          <w:rStyle w:val="11"/>
        </w:rPr>
        <w:footnoteRef/>
      </w:r>
      <w:r>
        <w:rPr>
          <w:rStyle w:val="11"/>
        </w:rPr>
        <w:t>]</w:t>
      </w:r>
      <w:r>
        <w:rPr>
          <w:rStyle w:val="13"/>
          <w:rFonts w:hint="default"/>
        </w:rPr>
        <w:t>《中华人民共和国安全生产法》第九十五条 生产经营单位的主要负责人未履行本法规定的安全生产管理职责，导致发生生产安全事故的，由应急管理部门依照下列规定处以罚款:第（一）项 发生一般事故的，处上一年年收入百分之四十的罚款。</w:t>
      </w:r>
    </w:p>
  </w:footnote>
  <w:footnote w:id="8">
    <w:p w14:paraId="6A14B33B">
      <w:pPr>
        <w:rPr>
          <w:rFonts w:ascii="宋体" w:hAnsi="宋体" w:cs="宋体"/>
          <w:color w:val="4A4A4A"/>
          <w:sz w:val="15"/>
          <w:szCs w:val="15"/>
          <w:shd w:val="clear" w:color="auto" w:fill="FFFFFF"/>
        </w:rPr>
      </w:pPr>
      <w:r>
        <w:rPr>
          <w:rStyle w:val="11"/>
        </w:rPr>
        <w:t>[</w:t>
      </w:r>
      <w:r>
        <w:rPr>
          <w:rStyle w:val="11"/>
        </w:rPr>
        <w:footnoteRef/>
      </w:r>
      <w:r>
        <w:rPr>
          <w:rStyle w:val="11"/>
        </w:rPr>
        <w:t>]</w:t>
      </w:r>
      <w:r>
        <w:rPr>
          <w:rStyle w:val="13"/>
        </w:rPr>
        <w:t>《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footnote>
  <w:footnote w:id="9">
    <w:p w14:paraId="614C74A6">
      <w:pPr>
        <w:pStyle w:val="7"/>
        <w:rPr>
          <w:rFonts w:ascii="宋体" w:hAnsi="宋体" w:cs="宋体"/>
          <w:color w:val="4A4A4A"/>
          <w:sz w:val="15"/>
          <w:shd w:val="clear" w:color="auto" w:fill="FFFFFF"/>
        </w:rPr>
      </w:pPr>
      <w:r>
        <w:rPr>
          <w:rStyle w:val="11"/>
        </w:rPr>
        <w:t>[</w:t>
      </w:r>
      <w:r>
        <w:rPr>
          <w:rStyle w:val="11"/>
        </w:rPr>
        <w:footnoteRef/>
      </w:r>
      <w:r>
        <w:rPr>
          <w:rStyle w:val="11"/>
        </w:rPr>
        <w:t>]</w:t>
      </w:r>
      <w:r>
        <w:rPr>
          <w:rStyle w:val="13"/>
        </w:rPr>
        <w:t>《建设工程安全生产管理条例》第十四条：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8FA22"/>
    <w:multiLevelType w:val="singleLevel"/>
    <w:tmpl w:val="8DF8FA22"/>
    <w:lvl w:ilvl="0" w:tentative="0">
      <w:start w:val="1"/>
      <w:numFmt w:val="decimal"/>
      <w:suff w:val="nothing"/>
      <w:lvlText w:val="%1．"/>
      <w:lvlJc w:val="left"/>
      <w:pPr>
        <w:ind w:left="0" w:firstLine="400"/>
      </w:pPr>
      <w:rPr>
        <w:rFonts w:hint="default"/>
      </w:rPr>
    </w:lvl>
  </w:abstractNum>
  <w:abstractNum w:abstractNumId="1">
    <w:nsid w:val="B5898761"/>
    <w:multiLevelType w:val="singleLevel"/>
    <w:tmpl w:val="B5898761"/>
    <w:lvl w:ilvl="0" w:tentative="0">
      <w:start w:val="6"/>
      <w:numFmt w:val="chineseCounting"/>
      <w:suff w:val="nothing"/>
      <w:lvlText w:val="（%1）"/>
      <w:lvlJc w:val="left"/>
      <w:rPr>
        <w:rFonts w:hint="eastAsia"/>
      </w:rPr>
    </w:lvl>
  </w:abstractNum>
  <w:abstractNum w:abstractNumId="2">
    <w:nsid w:val="E4FE9CDA"/>
    <w:multiLevelType w:val="singleLevel"/>
    <w:tmpl w:val="E4FE9CDA"/>
    <w:lvl w:ilvl="0" w:tentative="0">
      <w:start w:val="3"/>
      <w:numFmt w:val="chineseCounting"/>
      <w:suff w:val="nothing"/>
      <w:lvlText w:val="%1、"/>
      <w:lvlJc w:val="left"/>
      <w:rPr>
        <w:rFonts w:hint="eastAsia"/>
      </w:rPr>
    </w:lvl>
  </w:abstractNum>
  <w:abstractNum w:abstractNumId="3">
    <w:nsid w:val="742B7295"/>
    <w:multiLevelType w:val="singleLevel"/>
    <w:tmpl w:val="742B7295"/>
    <w:lvl w:ilvl="0" w:tentative="0">
      <w:start w:val="2"/>
      <w:numFmt w:val="chineseCounting"/>
      <w:suff w:val="nothing"/>
      <w:lvlText w:val="（%1）"/>
      <w:lvlJc w:val="left"/>
      <w:pPr>
        <w:ind w:left="-10"/>
      </w:pPr>
      <w:rPr>
        <w:rFonts w:hint="eastAsia"/>
      </w:rPr>
    </w:lvl>
  </w:abstractNum>
  <w:abstractNum w:abstractNumId="4">
    <w:nsid w:val="7AF7E942"/>
    <w:multiLevelType w:val="singleLevel"/>
    <w:tmpl w:val="7AF7E942"/>
    <w:lvl w:ilvl="0" w:tentative="0">
      <w:start w:val="1"/>
      <w:numFmt w:val="decimal"/>
      <w:suff w:val="nothing"/>
      <w:lvlText w:val="%1．"/>
      <w:lvlJc w:val="left"/>
      <w:pPr>
        <w:ind w:left="0" w:firstLine="400"/>
      </w:pPr>
      <w:rPr>
        <w:rFont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262E4E"/>
    <w:rsid w:val="557E5D22"/>
    <w:rsid w:val="70C404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line="560" w:lineRule="exact"/>
      <w:ind w:right="-288" w:rightChars="-137" w:firstLine="872" w:firstLineChars="200"/>
      <w:outlineLvl w:val="0"/>
    </w:pPr>
    <w:rPr>
      <w:rFonts w:eastAsia="黑体"/>
      <w:b/>
      <w:kern w:val="44"/>
      <w:sz w:val="32"/>
    </w:rPr>
  </w:style>
  <w:style w:type="paragraph" w:styleId="3">
    <w:name w:val="heading 2"/>
    <w:basedOn w:val="1"/>
    <w:next w:val="1"/>
    <w:link w:val="12"/>
    <w:unhideWhenUsed/>
    <w:qFormat/>
    <w:uiPriority w:val="0"/>
    <w:pPr>
      <w:keepNext/>
      <w:keepLines/>
      <w:spacing w:line="560" w:lineRule="exact"/>
      <w:ind w:right="-288" w:rightChars="-137" w:firstLine="872" w:firstLineChars="200"/>
      <w:outlineLvl w:val="1"/>
    </w:pPr>
    <w:rPr>
      <w:rFonts w:ascii="Arial" w:hAnsi="Arial" w:eastAsia="楷体_GB2312"/>
      <w:sz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4">
    <w:name w:val="Body Text"/>
    <w:basedOn w:val="1"/>
    <w:qFormat/>
    <w:uiPriority w:val="1"/>
    <w:pPr>
      <w:ind w:left="27"/>
    </w:pPr>
    <w:rPr>
      <w:sz w:val="32"/>
      <w:szCs w:val="32"/>
    </w:rPr>
  </w:style>
  <w:style w:type="paragraph" w:styleId="5">
    <w:name w:val="footer"/>
    <w:basedOn w:val="1"/>
    <w:qFormat/>
    <w:uiPriority w:val="0"/>
    <w:pPr>
      <w:tabs>
        <w:tab w:val="center" w:pos="4153"/>
        <w:tab w:val="right" w:pos="8306"/>
      </w:tabs>
      <w:snapToGrid w:val="0"/>
    </w:pPr>
    <w:rPr>
      <w:sz w:val="18"/>
    </w:rPr>
  </w:style>
  <w:style w:type="paragraph" w:styleId="6">
    <w:name w:val="toc 1"/>
    <w:basedOn w:val="1"/>
    <w:next w:val="1"/>
    <w:qFormat/>
    <w:uiPriority w:val="0"/>
    <w:rPr>
      <w:rFonts w:ascii="Times New Roman" w:hAnsi="Times New Roman" w:eastAsia="黑体"/>
      <w:sz w:val="24"/>
      <w:szCs w:val="24"/>
    </w:rPr>
  </w:style>
  <w:style w:type="paragraph" w:styleId="7">
    <w:name w:val="footnote text"/>
    <w:basedOn w:val="1"/>
    <w:qFormat/>
    <w:uiPriority w:val="0"/>
    <w:pPr>
      <w:snapToGrid w:val="0"/>
    </w:pPr>
    <w:rPr>
      <w:rFonts w:ascii="Times New Roman" w:hAnsi="Times New Roman"/>
      <w:color w:val="000000" w:themeColor="text1"/>
      <w:szCs w:val="15"/>
      <w14:textFill>
        <w14:solidFill>
          <w14:schemeClr w14:val="tx1"/>
        </w14:solidFill>
      </w14:textFill>
    </w:rPr>
  </w:style>
  <w:style w:type="paragraph" w:styleId="8">
    <w:name w:val="toc 2"/>
    <w:basedOn w:val="1"/>
    <w:next w:val="1"/>
    <w:qFormat/>
    <w:uiPriority w:val="0"/>
    <w:pPr>
      <w:ind w:left="420" w:leftChars="200"/>
    </w:pPr>
    <w:rPr>
      <w:rFonts w:ascii="Times New Roman" w:hAnsi="Times New Roman"/>
      <w:sz w:val="24"/>
      <w:szCs w:val="24"/>
    </w:rPr>
  </w:style>
  <w:style w:type="character" w:styleId="11">
    <w:name w:val="footnote reference"/>
    <w:basedOn w:val="10"/>
    <w:qFormat/>
    <w:uiPriority w:val="0"/>
    <w:rPr>
      <w:rFonts w:ascii="Times New Roman" w:hAnsi="Times New Roman" w:eastAsia="宋体"/>
      <w:sz w:val="21"/>
      <w:vertAlign w:val="superscript"/>
    </w:rPr>
  </w:style>
  <w:style w:type="character" w:customStyle="1" w:styleId="12">
    <w:name w:val="标题 2 Char"/>
    <w:link w:val="3"/>
    <w:qFormat/>
    <w:uiPriority w:val="0"/>
    <w:rPr>
      <w:rFonts w:ascii="Arial" w:hAnsi="Arial" w:eastAsia="楷体_GB2312"/>
      <w:sz w:val="32"/>
    </w:rPr>
  </w:style>
  <w:style w:type="character" w:customStyle="1" w:styleId="13">
    <w:name w:val="脚注 Char"/>
    <w:link w:val="14"/>
    <w:qFormat/>
    <w:uiPriority w:val="0"/>
    <w:rPr>
      <w:rFonts w:hint="eastAsia" w:ascii="Times New Roman" w:hAnsi="Times New Roman"/>
      <w:color w:val="000000" w:themeColor="text1"/>
      <w:sz w:val="18"/>
      <w:szCs w:val="18"/>
      <w14:textFill>
        <w14:solidFill>
          <w14:schemeClr w14:val="tx1"/>
        </w14:solidFill>
      </w14:textFill>
    </w:rPr>
  </w:style>
  <w:style w:type="paragraph" w:customStyle="1" w:styleId="14">
    <w:name w:val="脚注"/>
    <w:basedOn w:val="1"/>
    <w:link w:val="13"/>
    <w:qFormat/>
    <w:uiPriority w:val="0"/>
    <w:pPr>
      <w:snapToGrid w:val="0"/>
    </w:pPr>
    <w:rPr>
      <w:rFonts w:hint="eastAsia" w:ascii="Times New Roman" w:hAnsi="Times New Roman"/>
      <w:color w:val="000000" w:themeColor="text1"/>
      <w:sz w:val="18"/>
      <w:szCs w:val="18"/>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2</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2026-06-30T08:32:42Z</dcterms:created>
  <dc:creator>Administrator</dc:creator>
  <cp:lastModifiedBy>夕雾</cp:lastModifiedBy>
  <dcterms:modified xsi:type="dcterms:W3CDTF">2026-06-30T08:35:10Z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eyJoZGlkIjoiMmM1NzA0ODc1ZDgzNmE5MmVmMWJkMTljZDUzOGQwNjIiLCJ1c2VySWQiOiI3MTg4MzU1MjIifQ==</vt:lpwstr>
  </property>
  <property fmtid="{D5CDD505-2E9C-101B-9397-08002B2CF9AE}" pid="4" name="ICV">
    <vt:lpwstr>069B7D67B0074C928C610A04D5A9694F_12</vt:lpwstr>
  </property>
</Properties>
</file>