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江苏元聚咖企业管理有限公司深圳分公司</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“2023.2.26”物体打击死亡一般事故</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责任追究和整改措施落实</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4月</w:t>
      </w:r>
      <w:r>
        <w:rPr>
          <w:rFonts w:hint="eastAsia" w:ascii="仿宋_GB2312" w:hAnsi="宋体" w:eastAsia="仿宋_GB2312"/>
          <w:color w:val="000000" w:themeColor="text1"/>
          <w:sz w:val="32"/>
          <w:szCs w:val="22"/>
          <w:lang w:val="en-US" w:eastAsia="zh-CN"/>
          <w14:textFill>
            <w14:solidFill>
              <w14:schemeClr w14:val="tx1"/>
            </w14:solidFill>
          </w14:textFill>
        </w:rPr>
        <w:t>份牵头组织成立江苏元聚咖企业管理有限公司深圳分公司（以下简称：江苏元聚咖）“2023.2.26”（2023年）物体打击死亡一般事故后评估小组（以下简称“评估小组”），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auto"/>
          <w:sz w:val="32"/>
          <w:szCs w:val="22"/>
          <w:highlight w:val="none"/>
          <w:lang w:val="en-US" w:eastAsia="zh-CN"/>
        </w:rPr>
        <w:t>4</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月13日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事故责任单位、事故关联单位联席会议，区应急局有关负责人就该起事故后评估的目的、意义、后续评估工作流程安排、时间节点、工作要求等进行了说明与沟通，并就事故评估工作方案责任分工、时间进度等内容进行了沟通与确认，达成一致意见。与会各方并就本次事故教训吸取和后续事故预防各自发表了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建管委、马桥镇，采取现场、远程沟通和资料收集方式进行评估，主要确认事故发生后，相关单位行业监管、属地监管，单位主体责任落实情况。对江苏元聚咖采取远程沟通、资料收集</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方式进行了评估，对上海闸航路基材料有限公司进行了</w:t>
      </w:r>
      <w:r>
        <w:rPr>
          <w:rFonts w:hint="eastAsia" w:ascii="仿宋_GB2312" w:hAnsi="宋体" w:eastAsia="仿宋_GB2312"/>
          <w:color w:val="000000" w:themeColor="text1"/>
          <w:sz w:val="32"/>
          <w:szCs w:val="22"/>
          <w:lang w:val="en-US" w:eastAsia="zh-CN"/>
          <w14:textFill>
            <w14:solidFill>
              <w14:schemeClr w14:val="tx1"/>
            </w14:solidFill>
          </w14:textFill>
        </w:rPr>
        <w:t>资料收集、现场走访</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4月15日）、人员谈话方式进行了评估。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根据《事故调查报告》，本起事故为生产安全非责任事故，无相关人员需要行政、刑事处理。事故责任单位、事故关联单位内部人员处理见各自提交的整改资料。</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评估小组通过资料审查，人员问询、现场走访与核查等形式，对事故责任及关联单位事故处理、事故后续整改措施落实、事故预防长效机制等情况进行了针对性检查评估。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规范了登高等危险作业审批流程，教育与培训事故相关责任人员，进行从业人员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（一）进一步完善了安全生产制度体系。建立了较为健全的安全生产规章制度和安全操作规程，包括</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安全生产责任制、风险辨识评估与控制管理制度、安全检查与隐患排查治理制度、作业安全管理制度、安全教育培训制度、危险作业审批制度等。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编制隐患排查方案、计划，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（四）落实安全教育培训工作。对从业人员进行入职三级安全教育、事故警示教育、安全生产持续再教育，保留有教育培训记录和档案资料。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（五）规范和严格了登高等危险作业审批许可程序。查见了登高作业许可资料、相关作业安全交底记录等台账资料。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（六）编制了单位应急预案并开展应急演练。应急预案包括火灾、物体打击事故等，查见了相关演练方案、演练报告、演练照片和签到记录等。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行业监管、属地监管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综合资料审查、人员问询、现场走访核查确认结果，评估小组认为此次事故处理、内部责任追究符合该起《事故调查报告》要求，后续整改措施落实有效。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重大风险辨识与管控、隐患排查与治理、危险作业许可与监管、从业人员（包括外单位、临时用工等）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（二）加强从业人员的安全意识与能力培训。特别要做好持证人员（安全负责人、安全管理人员、特种作业人员），危险作业人员（如登高、动火等）的培训与教育，以提高从业人员的安全意识和安全管理水平。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（三）加强项目现场安全检查与隐患问题整改。项目现场要确定安全管理人员，负责项目过程的问题隐患排查，并督促问题隐患的整改，建立隐患台账，保留检查记录。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江苏元聚咖企业管理有限公司深圳分公司</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“2023.2.26”物体打击死亡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b/>
          <w:bCs/>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一般事故后评估小组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2024年5月10日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C4B7C"/>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201016A"/>
    <w:rsid w:val="04185498"/>
    <w:rsid w:val="05A43D64"/>
    <w:rsid w:val="097519BC"/>
    <w:rsid w:val="09842A15"/>
    <w:rsid w:val="0B18779D"/>
    <w:rsid w:val="0B245862"/>
    <w:rsid w:val="0F6A77FB"/>
    <w:rsid w:val="1373256D"/>
    <w:rsid w:val="147A3417"/>
    <w:rsid w:val="149A61E1"/>
    <w:rsid w:val="175514A2"/>
    <w:rsid w:val="175D721C"/>
    <w:rsid w:val="17C45868"/>
    <w:rsid w:val="17FBE8D8"/>
    <w:rsid w:val="1A366198"/>
    <w:rsid w:val="1C42294D"/>
    <w:rsid w:val="1DFC091B"/>
    <w:rsid w:val="1E765F50"/>
    <w:rsid w:val="1F992D2A"/>
    <w:rsid w:val="237D7293"/>
    <w:rsid w:val="2467441E"/>
    <w:rsid w:val="25E93097"/>
    <w:rsid w:val="2782275D"/>
    <w:rsid w:val="2B0D78A5"/>
    <w:rsid w:val="2C651EED"/>
    <w:rsid w:val="310B75DF"/>
    <w:rsid w:val="31C81974"/>
    <w:rsid w:val="32A20421"/>
    <w:rsid w:val="33E76D48"/>
    <w:rsid w:val="35104F58"/>
    <w:rsid w:val="35AD4508"/>
    <w:rsid w:val="35D825ED"/>
    <w:rsid w:val="369D022E"/>
    <w:rsid w:val="37886425"/>
    <w:rsid w:val="3BD821B5"/>
    <w:rsid w:val="3DBA0C7B"/>
    <w:rsid w:val="3DE9465E"/>
    <w:rsid w:val="3EE338FA"/>
    <w:rsid w:val="3EE9514F"/>
    <w:rsid w:val="47692A3C"/>
    <w:rsid w:val="48BE4B9A"/>
    <w:rsid w:val="48FD1513"/>
    <w:rsid w:val="496F78AA"/>
    <w:rsid w:val="4AF11E5F"/>
    <w:rsid w:val="4C153D43"/>
    <w:rsid w:val="4D4261B3"/>
    <w:rsid w:val="4EFD1998"/>
    <w:rsid w:val="514C116E"/>
    <w:rsid w:val="52EC1BFF"/>
    <w:rsid w:val="57DB0FE8"/>
    <w:rsid w:val="59A556ED"/>
    <w:rsid w:val="5AD93B85"/>
    <w:rsid w:val="5BD451EC"/>
    <w:rsid w:val="5C945403"/>
    <w:rsid w:val="5CC72843"/>
    <w:rsid w:val="5EBB61F8"/>
    <w:rsid w:val="5EBDEF7B"/>
    <w:rsid w:val="5EC96258"/>
    <w:rsid w:val="5F326928"/>
    <w:rsid w:val="5F39B20B"/>
    <w:rsid w:val="5F582E1B"/>
    <w:rsid w:val="60AB2DEE"/>
    <w:rsid w:val="60D74757"/>
    <w:rsid w:val="61624E28"/>
    <w:rsid w:val="62895BA0"/>
    <w:rsid w:val="660A72D8"/>
    <w:rsid w:val="666842C9"/>
    <w:rsid w:val="67131EDF"/>
    <w:rsid w:val="68015062"/>
    <w:rsid w:val="6B5B6524"/>
    <w:rsid w:val="6C6E3A97"/>
    <w:rsid w:val="6CD1637E"/>
    <w:rsid w:val="6EA0059F"/>
    <w:rsid w:val="6EA22FE5"/>
    <w:rsid w:val="6ED335A5"/>
    <w:rsid w:val="6EFF061A"/>
    <w:rsid w:val="6FF2019B"/>
    <w:rsid w:val="702F0840"/>
    <w:rsid w:val="70904AD9"/>
    <w:rsid w:val="70942346"/>
    <w:rsid w:val="77C7E2CA"/>
    <w:rsid w:val="78730186"/>
    <w:rsid w:val="78CA90EC"/>
    <w:rsid w:val="7962C656"/>
    <w:rsid w:val="79FF681C"/>
    <w:rsid w:val="7AEFED13"/>
    <w:rsid w:val="7BCB0BF9"/>
    <w:rsid w:val="7DF7C3EC"/>
    <w:rsid w:val="7DF8F957"/>
    <w:rsid w:val="7E3428CE"/>
    <w:rsid w:val="7E481C50"/>
    <w:rsid w:val="7EFD3964"/>
    <w:rsid w:val="7F733F80"/>
    <w:rsid w:val="7FBF8646"/>
    <w:rsid w:val="AFBA3211"/>
    <w:rsid w:val="B3DA92A4"/>
    <w:rsid w:val="BBD628CC"/>
    <w:rsid w:val="BD3BE8A9"/>
    <w:rsid w:val="BF4FF59A"/>
    <w:rsid w:val="BF6FE6AA"/>
    <w:rsid w:val="C7BE4CA6"/>
    <w:rsid w:val="DCFD18E4"/>
    <w:rsid w:val="DE0BA84C"/>
    <w:rsid w:val="FBFF2883"/>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2513</Words>
  <Characters>2539</Characters>
  <Lines>39</Lines>
  <Paragraphs>11</Paragraphs>
  <TotalTime>2</TotalTime>
  <ScaleCrop>false</ScaleCrop>
  <LinksUpToDate>false</LinksUpToDate>
  <CharactersWithSpaces>2547</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2025-11-10T09:04:52Z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