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660" w:lineRule="exact"/>
        <w:jc w:val="left"/>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1</w:t>
      </w:r>
    </w:p>
    <w:p>
      <w:pPr>
        <w:wordWrap w:val="0"/>
        <w:spacing w:line="66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上海友智起重吊装集团有限公司</w:t>
      </w:r>
    </w:p>
    <w:p>
      <w:pPr>
        <w:wordWrap w:val="0"/>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z w:val="44"/>
          <w:szCs w:val="44"/>
        </w:rPr>
        <w:t>“2021.1.2”死亡事故</w:t>
      </w:r>
      <w:bookmarkStart w:id="0" w:name="_Toc90553607"/>
      <w:r>
        <w:rPr>
          <w:rFonts w:hint="eastAsia" w:ascii="方正小标宋简体" w:hAnsi="方正小标宋简体" w:eastAsia="方正小标宋简体" w:cs="方正小标宋简体"/>
          <w:color w:val="000000"/>
          <w:sz w:val="44"/>
          <w:szCs w:val="44"/>
        </w:rPr>
        <w:t>整改</w:t>
      </w:r>
      <w:r>
        <w:rPr>
          <w:rFonts w:hint="eastAsia" w:ascii="方正小标宋简体" w:hAnsi="方正小标宋简体" w:eastAsia="方正小标宋简体" w:cs="方正小标宋简体"/>
          <w:sz w:val="44"/>
          <w:szCs w:val="44"/>
        </w:rPr>
        <w:t>措施</w:t>
      </w:r>
    </w:p>
    <w:p>
      <w:pPr>
        <w:wordWrap w:val="0"/>
        <w:spacing w:line="6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落实情况评估报告</w:t>
      </w:r>
    </w:p>
    <w:p>
      <w:pPr>
        <w:spacing w:line="660" w:lineRule="exact"/>
        <w:ind w:firstLine="640" w:firstLineChars="200"/>
        <w:jc w:val="left"/>
        <w:rPr>
          <w:rFonts w:hint="eastAsia" w:ascii="黑体" w:hAnsi="黑体" w:eastAsia="黑体" w:cs="黑体"/>
          <w:color w:val="000000"/>
          <w:sz w:val="32"/>
          <w:szCs w:val="32"/>
        </w:rPr>
      </w:pPr>
    </w:p>
    <w:p>
      <w:pPr>
        <w:spacing w:line="660" w:lineRule="exact"/>
        <w:ind w:firstLine="640" w:firstLineChars="200"/>
        <w:jc w:val="left"/>
        <w:rPr>
          <w:rFonts w:ascii="黑体" w:hAnsi="黑体" w:eastAsia="黑体" w:cs="黑体"/>
          <w:color w:val="000000"/>
          <w:sz w:val="32"/>
          <w:szCs w:val="32"/>
        </w:rPr>
      </w:pPr>
      <w:r>
        <w:rPr>
          <w:rFonts w:hint="eastAsia" w:ascii="黑体" w:hAnsi="黑体" w:eastAsia="黑体" w:cs="黑体"/>
          <w:color w:val="000000"/>
          <w:sz w:val="32"/>
          <w:szCs w:val="32"/>
        </w:rPr>
        <w:t>一、前言</w:t>
      </w:r>
      <w:bookmarkEnd w:id="0"/>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1月2日8时20分，闵行区龙吴路4900号上海友智起重吊装集团有限公司员工林兴维（男，56岁，重庆市人）被发现倒在该公司黄沙堆场内皮带运输机维修通道垂直下方的场地上，送闵行区中西医结合医院经抢救无效死亡。事故发生后，依据相关法律法规，</w:t>
      </w:r>
      <w:r>
        <w:rPr>
          <w:rFonts w:hint="eastAsia" w:ascii="仿宋_GB2312" w:hAnsi="仿宋_GB2312" w:eastAsia="仿宋_GB2312" w:cs="仿宋_GB2312"/>
          <w:sz w:val="32"/>
          <w:szCs w:val="32"/>
          <w:lang w:eastAsia="zh-CN"/>
        </w:rPr>
        <w:t>闵行区</w:t>
      </w:r>
      <w:r>
        <w:rPr>
          <w:rFonts w:hint="eastAsia" w:ascii="仿宋_GB2312" w:hAnsi="仿宋_GB2312" w:eastAsia="仿宋_GB2312" w:cs="仿宋_GB2312"/>
          <w:sz w:val="32"/>
          <w:szCs w:val="32"/>
        </w:rPr>
        <w:t>应急管理局会同相关部门组织事故调查组展开调查。事故调查报告于20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日获批复同意。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确保事故责任单位安全隐患整改工作真正得到落实，更好的推荐企业安全生产主体责任的落实，促使事故责任单位安全管理状况的改善，按照《中华人民共和国安全生产法》《生产安全事故防范和整改措施落实情况评估办法》（安委办〔</w:t>
      </w:r>
      <w:r>
        <w:rPr>
          <w:rFonts w:ascii="仿宋_GB2312" w:hAnsi="仿宋_GB2312" w:eastAsia="仿宋_GB2312" w:cs="仿宋_GB2312"/>
          <w:sz w:val="32"/>
          <w:szCs w:val="32"/>
        </w:rPr>
        <w:t>2021〕4号）等相关法律法规和规范性文件要求，区应急局会同有关部门组成</w:t>
      </w:r>
      <w:r>
        <w:rPr>
          <w:rFonts w:hint="eastAsia" w:ascii="仿宋_GB2312" w:hAnsi="仿宋_GB2312" w:eastAsia="仿宋_GB2312" w:cs="仿宋_GB2312"/>
          <w:sz w:val="32"/>
          <w:szCs w:val="32"/>
        </w:rPr>
        <w:t>上海友智起重吊装集团有限公司“</w:t>
      </w:r>
      <w:r>
        <w:rPr>
          <w:rFonts w:ascii="仿宋_GB2312" w:hAnsi="仿宋_GB2312" w:eastAsia="仿宋_GB2312" w:cs="仿宋_GB2312"/>
          <w:sz w:val="32"/>
          <w:szCs w:val="32"/>
        </w:rPr>
        <w:t>2021.1.2”死亡事故评估组（以下简称评估组），对</w:t>
      </w:r>
      <w:r>
        <w:rPr>
          <w:rFonts w:hint="eastAsia" w:ascii="仿宋_GB2312" w:hAnsi="仿宋_GB2312" w:eastAsia="仿宋_GB2312" w:cs="仿宋_GB2312"/>
          <w:sz w:val="32"/>
          <w:szCs w:val="32"/>
        </w:rPr>
        <w:t>上海友智起重吊装集团有限公司“</w:t>
      </w:r>
      <w:r>
        <w:rPr>
          <w:rFonts w:ascii="仿宋_GB2312" w:hAnsi="仿宋_GB2312" w:eastAsia="仿宋_GB2312" w:cs="仿宋_GB2312"/>
          <w:sz w:val="32"/>
          <w:szCs w:val="32"/>
        </w:rPr>
        <w:t>2021.1.2”死亡事故整改措施落实情况进行评估。</w:t>
      </w:r>
    </w:p>
    <w:p>
      <w:pPr>
        <w:pStyle w:val="2"/>
        <w:spacing w:before="0" w:after="0" w:line="560" w:lineRule="exact"/>
        <w:ind w:firstLine="642" w:firstLineChars="200"/>
        <w:rPr>
          <w:rFonts w:ascii="黑体" w:hAnsi="黑体" w:eastAsia="黑体" w:cs="黑体"/>
          <w:color w:val="000000"/>
          <w:kern w:val="2"/>
          <w:sz w:val="32"/>
          <w:szCs w:val="32"/>
        </w:rPr>
      </w:pPr>
      <w:bookmarkStart w:id="1" w:name="_Toc90553608"/>
      <w:r>
        <w:rPr>
          <w:rFonts w:hint="eastAsia" w:ascii="黑体" w:hAnsi="黑体" w:eastAsia="黑体" w:cs="黑体"/>
          <w:color w:val="000000"/>
          <w:kern w:val="2"/>
          <w:sz w:val="32"/>
          <w:szCs w:val="32"/>
        </w:rPr>
        <w:t>二、评估工作组织及开展情况</w:t>
      </w:r>
      <w:bookmarkEnd w:id="1"/>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2</w:t>
      </w:r>
      <w:r>
        <w:rPr>
          <w:rFonts w:ascii="仿宋_GB2312" w:hAnsi="仿宋_GB2312" w:eastAsia="仿宋_GB2312" w:cs="仿宋_GB2312"/>
          <w:sz w:val="32"/>
          <w:szCs w:val="32"/>
        </w:rPr>
        <w:t>月，评估组明确了评估对象、评估内容、评估方法及工作安排。</w:t>
      </w:r>
      <w:r>
        <w:rPr>
          <w:rFonts w:hint="eastAsia" w:ascii="仿宋_GB2312" w:hAnsi="仿宋_GB2312" w:eastAsia="仿宋_GB2312" w:cs="仿宋_GB2312"/>
          <w:sz w:val="32"/>
          <w:szCs w:val="32"/>
          <w:lang w:val="en-US" w:eastAsia="zh-CN"/>
        </w:rPr>
        <w:t>3</w:t>
      </w:r>
      <w:r>
        <w:rPr>
          <w:rFonts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ascii="仿宋_GB2312" w:hAnsi="仿宋_GB2312" w:eastAsia="仿宋_GB2312" w:cs="仿宋_GB2312"/>
          <w:sz w:val="32"/>
          <w:szCs w:val="32"/>
        </w:rPr>
        <w:t>日，完成资料收集工作、核查评估工作并撰写完成本报告。</w:t>
      </w:r>
    </w:p>
    <w:p>
      <w:pPr>
        <w:pStyle w:val="2"/>
        <w:spacing w:before="0" w:after="0" w:line="560" w:lineRule="exact"/>
        <w:ind w:firstLine="642" w:firstLineChars="200"/>
        <w:rPr>
          <w:rFonts w:ascii="黑体" w:hAnsi="黑体" w:eastAsia="黑体" w:cs="黑体"/>
          <w:color w:val="000000"/>
          <w:kern w:val="2"/>
          <w:sz w:val="32"/>
          <w:szCs w:val="32"/>
        </w:rPr>
      </w:pPr>
      <w:bookmarkStart w:id="2" w:name="_Toc90553609"/>
      <w:r>
        <w:rPr>
          <w:rFonts w:hint="eastAsia" w:ascii="黑体" w:hAnsi="黑体" w:eastAsia="黑体" w:cs="黑体"/>
          <w:color w:val="000000"/>
          <w:kern w:val="2"/>
          <w:sz w:val="32"/>
          <w:szCs w:val="32"/>
        </w:rPr>
        <w:t>三、评估方法</w:t>
      </w:r>
      <w:bookmarkEnd w:id="2"/>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采用资料核实，现场核查、工作记录等方法进行。</w:t>
      </w:r>
    </w:p>
    <w:p>
      <w:pPr>
        <w:pStyle w:val="2"/>
        <w:spacing w:before="0" w:after="0" w:line="560" w:lineRule="exact"/>
        <w:ind w:firstLine="642" w:firstLineChars="200"/>
        <w:rPr>
          <w:rFonts w:ascii="黑体" w:hAnsi="黑体" w:eastAsia="黑体" w:cs="黑体"/>
          <w:color w:val="000000"/>
          <w:kern w:val="2"/>
          <w:sz w:val="32"/>
          <w:szCs w:val="32"/>
        </w:rPr>
      </w:pPr>
      <w:bookmarkStart w:id="3" w:name="_Toc90553610"/>
      <w:r>
        <w:rPr>
          <w:rFonts w:hint="eastAsia" w:ascii="黑体" w:hAnsi="黑体" w:eastAsia="黑体" w:cs="黑体"/>
          <w:color w:val="000000"/>
          <w:kern w:val="2"/>
          <w:sz w:val="32"/>
          <w:szCs w:val="32"/>
        </w:rPr>
        <w:t>四、事故责任追究落实情况</w:t>
      </w:r>
      <w:bookmarkEnd w:id="3"/>
    </w:p>
    <w:p>
      <w:pPr>
        <w:pStyle w:val="3"/>
        <w:spacing w:before="0" w:after="0" w:line="560" w:lineRule="exact"/>
        <w:ind w:firstLine="642" w:firstLineChars="200"/>
        <w:rPr>
          <w:rFonts w:ascii="楷体" w:hAnsi="楷体" w:eastAsia="楷体" w:cs="楷体"/>
          <w:color w:val="000000"/>
        </w:rPr>
      </w:pPr>
      <w:bookmarkStart w:id="4" w:name="_Toc90553611"/>
      <w:r>
        <w:rPr>
          <w:rFonts w:hint="eastAsia" w:ascii="楷体" w:hAnsi="楷体" w:eastAsia="楷体" w:cs="楷体"/>
          <w:color w:val="000000"/>
        </w:rPr>
        <w:t>（一）刑事、行政责任迫究落实情况</w:t>
      </w:r>
      <w:bookmarkEnd w:id="4"/>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此事故未涉及刑事、行政责任追究</w:t>
      </w:r>
    </w:p>
    <w:p>
      <w:pPr>
        <w:pStyle w:val="3"/>
        <w:spacing w:before="0" w:after="0" w:line="560" w:lineRule="exact"/>
        <w:ind w:firstLine="642" w:firstLineChars="200"/>
        <w:rPr>
          <w:rFonts w:ascii="楷体" w:hAnsi="楷体" w:eastAsia="楷体" w:cs="楷体"/>
          <w:color w:val="000000"/>
        </w:rPr>
      </w:pPr>
      <w:bookmarkStart w:id="5" w:name="_Toc90553612"/>
      <w:r>
        <w:rPr>
          <w:rFonts w:hint="eastAsia" w:ascii="楷体" w:hAnsi="楷体" w:eastAsia="楷体" w:cs="楷体"/>
          <w:color w:val="000000"/>
        </w:rPr>
        <w:t>（二）行政处罚落实情况</w:t>
      </w:r>
      <w:bookmarkEnd w:id="5"/>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本起事故无责任单位及责任人，属偶然意外发生。</w:t>
      </w:r>
    </w:p>
    <w:p>
      <w:pPr>
        <w:pStyle w:val="2"/>
        <w:spacing w:before="0" w:after="0" w:line="560" w:lineRule="exact"/>
        <w:ind w:firstLine="642" w:firstLineChars="200"/>
        <w:rPr>
          <w:rFonts w:ascii="黑体" w:hAnsi="黑体" w:eastAsia="黑体" w:cs="黑体"/>
          <w:color w:val="000000"/>
          <w:kern w:val="2"/>
          <w:sz w:val="32"/>
          <w:szCs w:val="32"/>
        </w:rPr>
      </w:pPr>
      <w:bookmarkStart w:id="6" w:name="_Toc90553613"/>
      <w:r>
        <w:rPr>
          <w:rFonts w:hint="eastAsia" w:ascii="黑体" w:hAnsi="黑体" w:eastAsia="黑体" w:cs="黑体"/>
          <w:color w:val="000000"/>
          <w:kern w:val="2"/>
          <w:sz w:val="32"/>
          <w:szCs w:val="32"/>
        </w:rPr>
        <w:t>五、事故责任单位安全整改工作落实情况</w:t>
      </w:r>
      <w:bookmarkEnd w:id="6"/>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因本起事故属偶然意外发生，故无相关整改，但本着强化安全理念，努力做到本质安全的理念，企业通过此次事故吸取教训，进一步强化作业环境的深度安全检查，防范各类意外事件。</w:t>
      </w:r>
    </w:p>
    <w:p>
      <w:pPr>
        <w:pStyle w:val="2"/>
        <w:spacing w:before="0" w:after="0" w:line="560" w:lineRule="exact"/>
        <w:ind w:firstLine="642" w:firstLineChars="200"/>
        <w:rPr>
          <w:rFonts w:ascii="黑体" w:hAnsi="黑体" w:eastAsia="黑体" w:cs="黑体"/>
          <w:color w:val="000000"/>
          <w:kern w:val="2"/>
          <w:sz w:val="32"/>
          <w:szCs w:val="32"/>
        </w:rPr>
      </w:pPr>
      <w:bookmarkStart w:id="7" w:name="_Toc90553614"/>
      <w:r>
        <w:rPr>
          <w:rFonts w:hint="eastAsia" w:ascii="黑体" w:hAnsi="黑体" w:eastAsia="黑体" w:cs="黑体"/>
          <w:color w:val="000000"/>
          <w:kern w:val="2"/>
          <w:sz w:val="32"/>
          <w:szCs w:val="32"/>
        </w:rPr>
        <w:t>六、标准、规范的修订完善情况</w:t>
      </w:r>
      <w:bookmarkEnd w:id="7"/>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企业修订完善了《公司施工现场安全管理制度》并已发布实施。</w:t>
      </w:r>
    </w:p>
    <w:p>
      <w:pPr>
        <w:pStyle w:val="2"/>
        <w:spacing w:before="0" w:after="0" w:line="560" w:lineRule="exact"/>
        <w:ind w:firstLine="642" w:firstLineChars="200"/>
        <w:rPr>
          <w:rFonts w:ascii="黑体" w:hAnsi="黑体" w:eastAsia="黑体" w:cs="黑体"/>
          <w:color w:val="000000"/>
          <w:kern w:val="2"/>
          <w:sz w:val="32"/>
          <w:szCs w:val="32"/>
        </w:rPr>
      </w:pPr>
      <w:bookmarkStart w:id="8" w:name="_Toc90553615"/>
      <w:r>
        <w:rPr>
          <w:rFonts w:hint="eastAsia" w:ascii="黑体" w:hAnsi="黑体" w:eastAsia="黑体" w:cs="黑体"/>
          <w:color w:val="000000"/>
          <w:kern w:val="2"/>
          <w:sz w:val="32"/>
          <w:szCs w:val="32"/>
        </w:rPr>
        <w:t>七、评估结论</w:t>
      </w:r>
      <w:bookmarkEnd w:id="8"/>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评估组通过事故调查报告、资料核查等工作，得出以下核查评估结果：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事故单位已善后处理赔偿工作。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事故单位已基本按照事故调查报告和行业主管部门的要求落实相关整改工作。</w:t>
      </w:r>
    </w:p>
    <w:p>
      <w:pPr>
        <w:pStyle w:val="2"/>
        <w:spacing w:before="0" w:after="0" w:line="560" w:lineRule="exact"/>
        <w:ind w:firstLine="642" w:firstLineChars="200"/>
        <w:rPr>
          <w:rFonts w:ascii="黑体" w:hAnsi="黑体" w:eastAsia="黑体" w:cs="黑体"/>
          <w:color w:val="000000"/>
          <w:kern w:val="2"/>
          <w:sz w:val="32"/>
          <w:szCs w:val="32"/>
        </w:rPr>
      </w:pPr>
      <w:bookmarkStart w:id="9" w:name="_Toc90553616"/>
      <w:r>
        <w:rPr>
          <w:rFonts w:hint="eastAsia" w:ascii="黑体" w:hAnsi="黑体" w:eastAsia="黑体" w:cs="黑体"/>
          <w:color w:val="000000"/>
          <w:kern w:val="2"/>
          <w:sz w:val="32"/>
          <w:szCs w:val="32"/>
        </w:rPr>
        <w:t>八、意见和建议</w:t>
      </w:r>
      <w:bookmarkEnd w:id="9"/>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（一）</w:t>
      </w:r>
      <w:r>
        <w:rPr>
          <w:rFonts w:hint="eastAsia" w:ascii="仿宋_GB2312" w:hAnsi="仿宋_GB2312" w:eastAsia="仿宋_GB2312" w:cs="仿宋_GB2312"/>
          <w:sz w:val="32"/>
          <w:szCs w:val="32"/>
        </w:rPr>
        <w:t>事故单位要牢固树立科学发展、安全发展理念，切实履行“党政同责，一岗双责”和新《安全生产法》建立全员安全生产责任制及《上海市安全生产条例》“一岗一责”的规定，坚守“发展决不能牺牲人的生命为代价”红线，完善企业安全生产责任制内容，真正将企业安全主体责任落到实处。</w:t>
      </w:r>
    </w:p>
    <w:p>
      <w:pPr>
        <w:numPr>
          <w:ilvl w:val="0"/>
          <w:numId w:val="0"/>
        </w:numPr>
        <w:spacing w:line="560" w:lineRule="exact"/>
        <w:ind w:firstLine="642" w:firstLineChars="200"/>
        <w:rPr>
          <w:rFonts w:hint="eastAsia"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（二）</w:t>
      </w:r>
      <w:r>
        <w:rPr>
          <w:rFonts w:hint="eastAsia" w:ascii="仿宋_GB2312" w:hAnsi="仿宋_GB2312" w:eastAsia="仿宋_GB2312" w:cs="仿宋_GB2312"/>
          <w:sz w:val="32"/>
          <w:szCs w:val="32"/>
        </w:rPr>
        <w:t>安全生产事关社会稳定、事关广大人民群众身心健康和生命财产安全，企业作为责任主体单位要从思想上对安全生产工作引起高度重视，切实落实有效措施，举一反三，持续开展隐患排查治理工作，发现重大隐患应及时向安全监管部门和有关部门报告，组织制定并实施事故隐患治理方案，对事故隐患做到整改措施到位、资金落实到位、整改期限和责任人到位、应急预案到位，全力防范各类事故发生；</w:t>
      </w:r>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（三）</w:t>
      </w:r>
      <w:r>
        <w:rPr>
          <w:rFonts w:hint="eastAsia" w:ascii="仿宋_GB2312" w:hAnsi="仿宋_GB2312" w:eastAsia="仿宋_GB2312" w:cs="仿宋_GB2312"/>
          <w:sz w:val="32"/>
          <w:szCs w:val="32"/>
        </w:rPr>
        <w:t>事故单位进一步对相关人员进行安全教育培训，考试合格后方能上岗。督促相关人员按照安全管理制定和安全操作规程要求进行作业并建立相应的奖惩制度。对涉及</w:t>
      </w:r>
      <w:bookmarkStart w:id="10" w:name="_GoBack"/>
      <w:bookmarkEnd w:id="10"/>
      <w:r>
        <w:rPr>
          <w:rFonts w:hint="eastAsia" w:ascii="仿宋_GB2312" w:hAnsi="仿宋_GB2312" w:eastAsia="仿宋_GB2312" w:cs="仿宋_GB2312"/>
          <w:sz w:val="32"/>
          <w:szCs w:val="32"/>
        </w:rPr>
        <w:t>“八项特殊作业”的作业要加强管理，举一反三，杜绝类似事故。</w:t>
      </w:r>
    </w:p>
    <w:p>
      <w:pPr>
        <w:jc w:val="right"/>
        <w:rPr>
          <w:rFonts w:ascii="仿宋" w:hAnsi="仿宋" w:eastAsia="仿宋" w:cs="宋体"/>
          <w:sz w:val="32"/>
          <w:szCs w:val="32"/>
        </w:rPr>
      </w:pPr>
      <w:r>
        <w:rPr>
          <w:rFonts w:hint="eastAsia" w:ascii="仿宋" w:hAnsi="仿宋" w:eastAsia="仿宋" w:cs="宋体"/>
          <w:sz w:val="32"/>
          <w:szCs w:val="32"/>
        </w:rPr>
        <w:t xml:space="preserve">                           </w:t>
      </w:r>
    </w:p>
    <w:p>
      <w:pPr>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上海友智起重吊装集团公司</w:t>
      </w:r>
    </w:p>
    <w:p>
      <w:pPr>
        <w:jc w:val="right"/>
        <w:rPr>
          <w:rFonts w:ascii="仿宋" w:hAnsi="仿宋" w:eastAsia="仿宋"/>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2021.1.2”死亡事故评估组</w:t>
      </w:r>
      <w:r>
        <w:rPr>
          <w:rFonts w:hint="eastAsia" w:ascii="仿宋_GB2312" w:hAnsi="仿宋_GB2312" w:eastAsia="仿宋_GB2312" w:cs="仿宋_GB2312"/>
          <w:sz w:val="32"/>
          <w:szCs w:val="32"/>
        </w:rPr>
        <w:t xml:space="preserve">                                2</w:t>
      </w:r>
      <w:r>
        <w:rPr>
          <w:rFonts w:ascii="仿宋_GB2312" w:hAnsi="仿宋_GB2312" w:eastAsia="仿宋_GB2312" w:cs="仿宋_GB2312"/>
          <w:sz w:val="32"/>
          <w:szCs w:val="32"/>
        </w:rPr>
        <w:t>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Nimbus Roman No9 L">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CNfcMGwIAACcEAAAOAAAAAAAAAAEAIAAAADU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6AB"/>
    <w:rsid w:val="00056A8A"/>
    <w:rsid w:val="000D6265"/>
    <w:rsid w:val="001D6126"/>
    <w:rsid w:val="00340A57"/>
    <w:rsid w:val="0051758F"/>
    <w:rsid w:val="005E0B47"/>
    <w:rsid w:val="00610620"/>
    <w:rsid w:val="00A266AB"/>
    <w:rsid w:val="00B02C7F"/>
    <w:rsid w:val="00BA0E0E"/>
    <w:rsid w:val="00FD375C"/>
    <w:rsid w:val="6AFFD64C"/>
    <w:rsid w:val="6F9E9B6A"/>
    <w:rsid w:val="7AB302D6"/>
    <w:rsid w:val="DECB1CEC"/>
    <w:rsid w:val="DFFB88E9"/>
    <w:rsid w:val="EAFDC705"/>
    <w:rsid w:val="EFADC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11"/>
    <w:qFormat/>
    <w:uiPriority w:val="0"/>
    <w:pPr>
      <w:keepNext/>
      <w:keepLines/>
      <w:spacing w:before="260" w:after="260" w:line="416" w:lineRule="auto"/>
      <w:outlineLvl w:val="1"/>
    </w:pPr>
    <w:rPr>
      <w:rFonts w:ascii="等线 Light" w:hAnsi="等线 Light" w:eastAsia="等线 Light" w:cs="Times New Roman"/>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脚 字符"/>
    <w:basedOn w:val="7"/>
    <w:link w:val="4"/>
    <w:qFormat/>
    <w:uiPriority w:val="99"/>
    <w:rPr>
      <w:sz w:val="18"/>
      <w:szCs w:val="18"/>
    </w:rPr>
  </w:style>
  <w:style w:type="character" w:customStyle="1" w:styleId="9">
    <w:name w:val="页眉 字符"/>
    <w:basedOn w:val="7"/>
    <w:link w:val="5"/>
    <w:qFormat/>
    <w:uiPriority w:val="99"/>
    <w:rPr>
      <w:sz w:val="18"/>
      <w:szCs w:val="18"/>
    </w:rPr>
  </w:style>
  <w:style w:type="character" w:customStyle="1" w:styleId="10">
    <w:name w:val="标题 1 字符"/>
    <w:basedOn w:val="7"/>
    <w:link w:val="2"/>
    <w:qFormat/>
    <w:uiPriority w:val="0"/>
    <w:rPr>
      <w:rFonts w:ascii="Calibri" w:hAnsi="Calibri" w:eastAsia="宋体" w:cs="Times New Roman"/>
      <w:b/>
      <w:bCs/>
      <w:kern w:val="44"/>
      <w:sz w:val="44"/>
      <w:szCs w:val="44"/>
    </w:rPr>
  </w:style>
  <w:style w:type="character" w:customStyle="1" w:styleId="11">
    <w:name w:val="标题 2 字符"/>
    <w:basedOn w:val="7"/>
    <w:link w:val="3"/>
    <w:qFormat/>
    <w:uiPriority w:val="0"/>
    <w:rPr>
      <w:rFonts w:ascii="等线 Light" w:hAnsi="等线 Light" w:eastAsia="等线 Light" w:cs="Times New Roman"/>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235</Words>
  <Characters>1344</Characters>
  <Lines>11</Lines>
  <Paragraphs>3</Paragraphs>
  <TotalTime>4</TotalTime>
  <ScaleCrop>false</ScaleCrop>
  <LinksUpToDate>false</LinksUpToDate>
  <CharactersWithSpaces>1576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2023-02-02T10:36:00Z</dcterms:created>
  <dc:creator>qinhai</dc:creator>
  <cp:lastModifiedBy>mh</cp:lastModifiedBy>
  <dcterms:modified xsi:type="dcterms:W3CDTF">2023-02-09T17:22:57Z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