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firstLine="567"/>
        <w:rPr>
          <w:rFonts w:ascii="仿宋_GB2312"/>
        </w:rPr>
      </w:pPr>
      <w:r>
        <w:rPr>
          <w:rFonts w:ascii="仿宋_GB2312"/>
        </w:rPr>
        <mc:AlternateContent>
          <mc:Choice Requires="wps">
            <w:drawing>
              <wp:anchor distT="0" distB="0" distL="114300" distR="114300" simplePos="0" relativeHeight="251659264"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1" name="矩形 1" descr="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"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pPr>
                          </w:p>
                        </w:txbxContent>
                      </wps:txbx>
                      <wps:bodyPr upright="1"/>
                    </wps:wsp>
                  </a:graphicData>
                </a:graphic>
              </wp:anchor>
            </w:drawing>
          </mc:Choice>
          <mc:Fallback>
            <w:pict>
              <v:rect id="_x0000_s1026" o:spid="_x0000_s1026" o:spt="1" alt="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" style="position:absolute;left:0pt;margin-left:-10pt;margin-top:10pt;height:5pt;width:5pt;mso-position-horizontal-relative:page;mso-position-vertical-relative:page;visibility:hidden;z-index:251659264;mso-width-relative:page;mso-height-relative:page;" fillcolor="#FFFFFF" filled="t" stroked="t" coordsize="21600,21600" o:allowincell="f" o:gfxdata="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">
                <v:fill on="t" focussize="0,0"/>
                <v:stroke color="#000000" joinstyle="miter"/>
                <v:imagedata o:title=""/>
                <o:lock v:ext="edit" aspectratio="f"/>
                <v:textbox>
                  <w:txbxContent>
                    <w:p>
                      <w:pPr>
                        <w:jc w:val="center"/>
                      </w:pPr>
                    </w:p>
                  </w:txbxContent>
                </v:textbox>
              </v:rect>
            </w:pict>
          </mc:Fallback>
        </mc:AlternateContent>
      </w:r>
    </w:p>
    <w:p>
      <w:pPr>
        <w:spacing w:line="520" w:lineRule="exact"/>
        <w:rPr>
          <w:rFonts w:ascii="仿宋_GB2312"/>
        </w:rPr>
      </w:pPr>
    </w:p>
    <w:p>
      <w:pPr>
        <w:spacing w:line="500" w:lineRule="exact"/>
        <w:ind w:firstLine="567"/>
        <w:rPr>
          <w:rFonts w:ascii="仿宋_GB2312"/>
        </w:rPr>
      </w:pPr>
    </w:p>
    <w:p>
      <w:pPr>
        <w:widowControl/>
        <w:shd w:val="clear" w:color="auto" w:fill="FFFFFF"/>
        <w:spacing w:line="570" w:lineRule="exact"/>
        <w:rPr>
          <w:rFonts w:ascii="仿宋_GB2312" w:eastAsia="仿宋_GB2312" w:cs="宋体"/>
          <w:kern w:val="0"/>
          <w:sz w:val="32"/>
          <w:szCs w:val="32"/>
          <w:lang w:val="zh-CN"/>
        </w:rPr>
      </w:pPr>
      <w:r>
        <w:rPr>
          <w:rFonts w:hint="eastAsia" w:ascii="黑体" w:hAnsi="黑体" w:eastAsia="黑体" w:cs="Arial"/>
          <w:bCs/>
          <w:color w:val="000000"/>
          <w:kern w:val="0"/>
          <w:sz w:val="32"/>
          <w:szCs w:val="32"/>
        </w:rPr>
        <w:t>附件</w:t>
      </w:r>
    </w:p>
    <w:p>
      <w:pPr>
        <w:spacing w:line="560" w:lineRule="exact"/>
        <w:jc w:val="center"/>
        <w:rPr>
          <w:rFonts w:ascii="方正小标宋简体" w:hAnsi="Arial" w:eastAsia="方正小标宋简体" w:cs="Arial"/>
          <w:bCs/>
          <w:sz w:val="44"/>
          <w:szCs w:val="21"/>
          <w:shd w:val="clear" w:color="auto" w:fill="FFFFFF"/>
        </w:rPr>
      </w:pPr>
    </w:p>
    <w:p>
      <w:pPr>
        <w:spacing w:line="560" w:lineRule="exact"/>
        <w:jc w:val="center"/>
        <w:rPr>
          <w:rFonts w:ascii="方正小标宋简体" w:hAnsi="Arial" w:eastAsia="方正小标宋简体" w:cs="Arial"/>
          <w:bCs/>
          <w:sz w:val="44"/>
          <w:szCs w:val="21"/>
          <w:shd w:val="clear" w:color="auto" w:fill="FFFFFF"/>
        </w:rPr>
      </w:pPr>
      <w:r>
        <w:rPr>
          <w:rFonts w:hint="eastAsia" w:ascii="方正小标宋简体" w:hAnsi="Arial" w:eastAsia="方正小标宋简体" w:cs="Arial"/>
          <w:bCs/>
          <w:sz w:val="44"/>
          <w:szCs w:val="21"/>
          <w:shd w:val="clear" w:color="auto" w:fill="FFFFFF"/>
        </w:rPr>
        <w:t>上海圣乐藏实业有限公司</w:t>
      </w:r>
    </w:p>
    <w:p>
      <w:pPr>
        <w:spacing w:line="560" w:lineRule="exact"/>
        <w:jc w:val="center"/>
        <w:rPr>
          <w:rFonts w:ascii="方正小标宋简体" w:hAnsi="宋体" w:eastAsia="方正小标宋简体" w:cs="Arial"/>
          <w:bCs/>
          <w:kern w:val="0"/>
          <w:sz w:val="44"/>
          <w:szCs w:val="44"/>
        </w:rPr>
      </w:pPr>
      <w:r>
        <w:rPr>
          <w:rFonts w:hint="eastAsia" w:ascii="方正小标宋简体" w:hAnsi="Arial" w:eastAsia="方正小标宋简体" w:cs="Arial"/>
          <w:bCs/>
          <w:sz w:val="44"/>
          <w:szCs w:val="21"/>
          <w:shd w:val="clear" w:color="auto" w:fill="FFFFFF"/>
        </w:rPr>
        <w:t>“11</w:t>
      </w:r>
      <w:r>
        <w:rPr>
          <w:rFonts w:hint="eastAsia" w:ascii="方正小标宋简体" w:hAnsi="Arial" w:eastAsia="方正小标宋简体" w:cs="Arial"/>
          <w:bCs/>
          <w:sz w:val="44"/>
          <w:szCs w:val="21"/>
          <w:shd w:val="clear" w:color="auto" w:fill="FFFFFF"/>
          <w:lang w:val="en-US" w:eastAsia="zh-CN"/>
        </w:rPr>
        <w:t>·</w:t>
      </w:r>
      <w:r>
        <w:rPr>
          <w:rFonts w:hint="eastAsia" w:ascii="方正小标宋简体" w:hAnsi="Arial" w:eastAsia="方正小标宋简体" w:cs="Arial"/>
          <w:bCs/>
          <w:sz w:val="44"/>
          <w:szCs w:val="21"/>
          <w:shd w:val="clear" w:color="auto" w:fill="FFFFFF"/>
        </w:rPr>
        <w:t>26”</w:t>
      </w:r>
      <w:r>
        <w:rPr>
          <w:rFonts w:hint="eastAsia" w:ascii="方正小标宋简体" w:hAnsi="宋体" w:eastAsia="方正小标宋简体" w:cs="Arial"/>
          <w:bCs/>
          <w:kern w:val="0"/>
          <w:sz w:val="44"/>
          <w:szCs w:val="44"/>
        </w:rPr>
        <w:t>高处坠落死亡事故调查报告</w:t>
      </w:r>
    </w:p>
    <w:p>
      <w:pPr>
        <w:spacing w:line="560" w:lineRule="exact"/>
        <w:jc w:val="center"/>
        <w:rPr>
          <w:rFonts w:ascii="方正小标宋简体" w:hAnsi="宋体" w:eastAsia="方正小标宋简体" w:cs="Arial"/>
          <w:b/>
          <w:bCs/>
          <w:kern w:val="0"/>
          <w:sz w:val="44"/>
          <w:szCs w:val="44"/>
        </w:rPr>
      </w:pP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2020年11月26日下午15时40分左右，在位于上海市</w:t>
      </w:r>
      <w:r>
        <w:rPr>
          <w:rFonts w:hint="eastAsia" w:ascii="仿宋_GB2312" w:hAnsi="仿宋_GB2312" w:eastAsia="仿宋_GB2312" w:cs="仿宋_GB2312"/>
          <w:color w:val="000000"/>
          <w:kern w:val="0"/>
          <w:sz w:val="32"/>
          <w:szCs w:val="32"/>
        </w:rPr>
        <w:t>崇明区北沿公路2097号上海崇明东平国家森林公园康养中心项目2号楼施工过程中</w:t>
      </w:r>
      <w:r>
        <w:rPr>
          <w:rFonts w:hint="eastAsia" w:ascii="仿宋_GB2312" w:hAnsi="仿宋_GB2312" w:eastAsia="仿宋_GB2312" w:cs="仿宋_GB2312"/>
          <w:sz w:val="32"/>
          <w:szCs w:val="32"/>
        </w:rPr>
        <w:t>发生一起高处坠落事故，造成1人死亡。</w:t>
      </w:r>
    </w:p>
    <w:p>
      <w:pPr>
        <w:adjustRightInd w:val="0"/>
        <w:snapToGrid w:val="0"/>
        <w:spacing w:line="56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事故发生后，根据《中华人民共和国安全生产法》和《生产安全事故报告和调查处理条例》(国务院令第493号)及《上海市〈生产安全事故报告和调查处理条例〉的若干规定》（沪府规〔2018〕7号）等法律法规的规定，受上海市崇明区人民政府委托，由上海市崇明区应急管理局（以下简称“区应急局”）牵头，会同上海市崇明区建设和管理委员会、上海市崇明区总工会、上海市公安局崇明分局、区旅投公司组成</w:t>
      </w:r>
      <w:r>
        <w:rPr>
          <w:rFonts w:hint="eastAsia" w:ascii="仿宋_GB2312" w:hAnsi="仿宋_GB2312" w:eastAsia="仿宋_GB2312" w:cs="仿宋_GB2312"/>
          <w:color w:val="000000"/>
          <w:kern w:val="0"/>
          <w:sz w:val="32"/>
          <w:szCs w:val="32"/>
        </w:rPr>
        <w:t>上海圣乐藏实业有限公司</w:t>
      </w:r>
      <w:r>
        <w:rPr>
          <w:rFonts w:hint="eastAsia" w:ascii="仿宋_GB2312" w:hAnsi="仿宋_GB2312" w:eastAsia="仿宋_GB2312" w:cs="仿宋_GB2312"/>
          <w:sz w:val="32"/>
          <w:szCs w:val="32"/>
        </w:rPr>
        <w:t>“11·26”高处坠落死亡事故调查组（以下简称“事故调查组”），开展事故调查工作，并邀请中共上海市崇明区纪委（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adjustRightInd w:val="0"/>
        <w:snapToGrid w:val="0"/>
        <w:spacing w:line="560" w:lineRule="exact"/>
        <w:ind w:firstLine="643" w:firstLineChars="200"/>
        <w:rPr>
          <w:rFonts w:ascii="黑体" w:eastAsia="黑体"/>
          <w:b/>
          <w:sz w:val="32"/>
          <w:szCs w:val="32"/>
        </w:rPr>
      </w:pPr>
      <w:r>
        <w:rPr>
          <w:rFonts w:hint="eastAsia" w:ascii="黑体" w:eastAsia="黑体"/>
          <w:b/>
          <w:sz w:val="32"/>
          <w:szCs w:val="32"/>
        </w:rPr>
        <w:t>一、事故单位及项目基本情况</w:t>
      </w:r>
    </w:p>
    <w:p>
      <w:pPr>
        <w:adjustRightInd w:val="0"/>
        <w:snapToGrid w:val="0"/>
        <w:spacing w:line="560" w:lineRule="exact"/>
        <w:ind w:firstLine="643" w:firstLineChars="200"/>
        <w:rPr>
          <w:rFonts w:ascii="楷体_GB2312" w:eastAsia="楷体_GB2312"/>
          <w:b/>
          <w:sz w:val="32"/>
          <w:szCs w:val="32"/>
        </w:rPr>
      </w:pPr>
      <w:r>
        <w:rPr>
          <w:rFonts w:hint="eastAsia" w:ascii="楷体_GB2312" w:eastAsia="楷体_GB2312"/>
          <w:b/>
          <w:sz w:val="32"/>
          <w:szCs w:val="32"/>
        </w:rPr>
        <w:t>（一）事故相关单位基本情况</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1.上海圣乐藏实业有限公司（以下简称圣乐藏公司），住所：上海市闵行区吴宝路415号二层A02室、三层A02室，类型：有限责任公司（自然人投资或控股），企业信用代码：91310112577407681A，法定代表人：周介波，经营范围：建筑材料的销售，建筑装饰装修建设工程设计施工一体化等，营业期限：2011年06月14日至2021年06月13日。</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2.上海泰华培训中心有限公司（以下简称泰华公司），住所：上海市崇明区东平林场，类型：有限责任公司（非自然人投资或控股的法人独资），企业信用代码：91310230631055593Y，法定代表人：朱国祥，经营范围：系统内技术培训，营业期限：1988年03月26日至不约定期限。</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hint="eastAsia" w:ascii="仿宋_GB2312" w:eastAsia="仿宋_GB2312" w:cstheme="minorBidi"/>
          <w:sz w:val="32"/>
          <w:szCs w:val="32"/>
        </w:rPr>
        <w:t>上海东服建筑劳务有限公司（以下简称东服公司），</w:t>
      </w:r>
      <w:r>
        <w:rPr>
          <w:rFonts w:hint="eastAsia" w:ascii="仿宋_GB2312" w:eastAsia="仿宋_GB2312"/>
          <w:sz w:val="32"/>
          <w:szCs w:val="32"/>
        </w:rPr>
        <w:t>住所：上海市浦东新区历城路70号甲二楼，类型：有限责任公司（自然人投资或控股），企业信用代码：9131011576690154XJ，法定代表人：茅水龙，经营范围：建筑劳务服务（不含中介）及相关业务咨询等，营业期限：2004年09月03日至不约定期限。</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4.上海建工集团股份有限公司（以下简称建工集团），住所：</w:t>
      </w:r>
      <w:r>
        <w:rPr>
          <w:rFonts w:hint="eastAsia" w:ascii="仿宋_GB2312" w:eastAsia="仿宋_GB2312" w:cstheme="minorBidi"/>
          <w:sz w:val="32"/>
          <w:szCs w:val="32"/>
        </w:rPr>
        <w:t>中国（上海）自由贸易试验区福山路33号</w:t>
      </w:r>
      <w:r>
        <w:rPr>
          <w:rFonts w:hint="eastAsia" w:ascii="仿宋_GB2312" w:eastAsia="仿宋_GB2312"/>
          <w:sz w:val="32"/>
          <w:szCs w:val="32"/>
        </w:rPr>
        <w:t>，类型：其他股份有限公司(上市)，企业信用代码：91310000631189305E，法定代表人：徐征，经营范围：境内外各类建设工程的承包、设计、施工、咨询及配套设备、材料、构件的生产、经营、销售等，营业期限：1998年06月15日至无固定期限。</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5.上海建科工程咨询有限公司</w:t>
      </w:r>
      <w:r>
        <w:rPr>
          <w:rFonts w:hint="eastAsia" w:ascii="仿宋_GB2312" w:eastAsia="仿宋_GB2312" w:cstheme="minorBidi"/>
          <w:sz w:val="32"/>
          <w:szCs w:val="32"/>
        </w:rPr>
        <w:t>（以下简称</w:t>
      </w:r>
      <w:r>
        <w:rPr>
          <w:rFonts w:hint="eastAsia" w:ascii="仿宋_GB2312" w:eastAsia="仿宋_GB2312"/>
          <w:sz w:val="32"/>
          <w:szCs w:val="32"/>
        </w:rPr>
        <w:t>建科咨询公司</w:t>
      </w:r>
      <w:r>
        <w:rPr>
          <w:rFonts w:hint="eastAsia" w:ascii="仿宋_GB2312" w:eastAsia="仿宋_GB2312" w:cstheme="minorBidi"/>
          <w:sz w:val="32"/>
          <w:szCs w:val="32"/>
        </w:rPr>
        <w:t>）</w:t>
      </w:r>
      <w:r>
        <w:rPr>
          <w:rFonts w:hint="eastAsia" w:ascii="仿宋_GB2312" w:eastAsia="仿宋_GB2312"/>
          <w:sz w:val="32"/>
          <w:szCs w:val="32"/>
        </w:rPr>
        <w:t>，住所：上海市崇明区秀山路34号，类型：有限责任公司（非自然人投资或控股的法人独资），企业信用代码：913102308331524636，法定代表人：张强，经营范围：工程建设监理及咨询等，营业期限：1997年06月06日至无固定期限。</w:t>
      </w:r>
    </w:p>
    <w:p>
      <w:pPr>
        <w:adjustRightInd w:val="0"/>
        <w:snapToGrid w:val="0"/>
        <w:spacing w:line="560" w:lineRule="exact"/>
        <w:ind w:firstLine="643" w:firstLineChars="200"/>
        <w:rPr>
          <w:rFonts w:ascii="楷体_GB2312" w:eastAsia="楷体_GB2312"/>
          <w:b/>
          <w:sz w:val="32"/>
          <w:szCs w:val="32"/>
        </w:rPr>
      </w:pPr>
      <w:r>
        <w:rPr>
          <w:rFonts w:hint="eastAsia" w:ascii="楷体_GB2312" w:eastAsia="楷体_GB2312"/>
          <w:b/>
          <w:sz w:val="32"/>
          <w:szCs w:val="32"/>
        </w:rPr>
        <w:t>（二）项目工程基本情况</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1.项目工程名称：</w:t>
      </w:r>
      <w:r>
        <w:rPr>
          <w:rFonts w:hint="eastAsia" w:ascii="仿宋_GB2312" w:hAnsi="仿宋_GB2312" w:eastAsia="仿宋_GB2312" w:cs="仿宋_GB2312"/>
          <w:sz w:val="32"/>
          <w:szCs w:val="32"/>
        </w:rPr>
        <w:t>上海崇明东平森林公园森林康养中心项目。</w:t>
      </w:r>
    </w:p>
    <w:p>
      <w:pPr>
        <w:adjustRightInd w:val="0"/>
        <w:snapToGrid w:val="0"/>
        <w:spacing w:line="56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2.项目工程地址：上海市崇明区东平农场（东平森林公园）北沿公路以南，东平森林公园1号门对面</w:t>
      </w:r>
      <w:r>
        <w:rPr>
          <w:rFonts w:hint="eastAsia" w:ascii="仿宋_GB2312" w:eastAsia="仿宋_GB2312"/>
          <w:sz w:val="32"/>
          <w:szCs w:val="32"/>
        </w:rPr>
        <w:t>。</w:t>
      </w:r>
    </w:p>
    <w:p>
      <w:pPr>
        <w:adjustRightInd w:val="0"/>
        <w:snapToGrid w:val="0"/>
        <w:spacing w:line="56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rPr>
        <w:t>3.项目参建单位：</w:t>
      </w:r>
      <w:r>
        <w:rPr>
          <w:rFonts w:hint="eastAsia" w:ascii="仿宋_GB2312" w:eastAsia="仿宋_GB2312"/>
          <w:sz w:val="32"/>
          <w:szCs w:val="32"/>
        </w:rPr>
        <w:t xml:space="preserve">建设单位为泰华公司，总承包单位为建工集团，劳务施工单位为东服公司，工程监理单位为建科咨询公司，建筑材料供应商为圣乐藏公司。 </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4.项目工程概况：2020年10月泰华公司与建工集团签订《上海东平国家森林公园森林康养中心项目施工合同》，计划开始时间： 2020年10月16日，计划竣工日期：2021年3月25日。工程内容：康养中心1号楼至5号楼、总共5幢房屋的建设。地上建筑总面积为15500</w:t>
      </w:r>
      <w:r>
        <w:rPr>
          <w:rFonts w:hint="eastAsia" w:ascii="仿宋_GB2312" w:hAnsi="仿宋_GB2312" w:eastAsia="仿宋_GB2312" w:cs="仿宋_GB2312"/>
          <w:kern w:val="2"/>
          <w:sz w:val="32"/>
          <w:szCs w:val="32"/>
        </w:rPr>
        <w:t>㎡</w:t>
      </w:r>
      <w:r>
        <w:rPr>
          <w:rFonts w:hint="eastAsia" w:ascii="仿宋_GB2312" w:eastAsia="仿宋_GB2312"/>
          <w:sz w:val="32"/>
          <w:szCs w:val="32"/>
        </w:rPr>
        <w:t>，无地下建筑部分；2020年建工集团与东服公司签订《上海东平国家森林公园森林康养中心劳务分包合同》，计划开始时间：2020年10月25日，计划竣工日期：2021年3月25日；2020年10月17日，建工集团与圣乐藏公司签订《建设工程材料采购合同》，供应红模板18000张、杉木方220000根。</w:t>
      </w:r>
    </w:p>
    <w:p>
      <w:pPr>
        <w:adjustRightInd w:val="0"/>
        <w:snapToGrid w:val="0"/>
        <w:spacing w:line="560" w:lineRule="exact"/>
        <w:ind w:firstLine="643" w:firstLineChars="200"/>
        <w:rPr>
          <w:rFonts w:ascii="黑体" w:eastAsia="黑体"/>
          <w:b/>
          <w:sz w:val="32"/>
          <w:szCs w:val="32"/>
        </w:rPr>
      </w:pPr>
      <w:r>
        <w:rPr>
          <w:rFonts w:hint="eastAsia" w:ascii="黑体" w:eastAsia="黑体"/>
          <w:b/>
          <w:sz w:val="32"/>
          <w:szCs w:val="32"/>
        </w:rPr>
        <w:t>二、事故发生经过及事故救援情况</w:t>
      </w:r>
    </w:p>
    <w:p>
      <w:pPr>
        <w:adjustRightInd w:val="0"/>
        <w:snapToGrid w:val="0"/>
        <w:spacing w:line="560" w:lineRule="exact"/>
        <w:ind w:firstLine="643" w:firstLineChars="200"/>
        <w:rPr>
          <w:rFonts w:ascii="楷体_GB2312" w:eastAsia="楷体_GB2312"/>
          <w:b/>
          <w:sz w:val="32"/>
          <w:szCs w:val="32"/>
        </w:rPr>
      </w:pPr>
      <w:r>
        <w:rPr>
          <w:rFonts w:hint="eastAsia" w:ascii="楷体_GB2312" w:eastAsia="楷体_GB2312"/>
          <w:b/>
          <w:sz w:val="32"/>
          <w:szCs w:val="32"/>
        </w:rPr>
        <w:t xml:space="preserve">（一）事故发生经过 </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zh-CN"/>
        </w:rPr>
        <w:t>2020年</w:t>
      </w:r>
      <w:r>
        <w:rPr>
          <w:rFonts w:hint="eastAsia" w:ascii="仿宋_GB2312" w:eastAsia="仿宋_GB2312"/>
          <w:sz w:val="32"/>
          <w:szCs w:val="32"/>
        </w:rPr>
        <w:t>11</w:t>
      </w:r>
      <w:r>
        <w:rPr>
          <w:rFonts w:hint="eastAsia" w:ascii="仿宋_GB2312" w:eastAsia="仿宋_GB2312"/>
          <w:sz w:val="32"/>
          <w:szCs w:val="32"/>
          <w:lang w:val="zh-CN"/>
        </w:rPr>
        <w:t>月</w:t>
      </w:r>
      <w:r>
        <w:rPr>
          <w:rFonts w:hint="eastAsia" w:ascii="仿宋_GB2312" w:eastAsia="仿宋_GB2312"/>
          <w:sz w:val="32"/>
          <w:szCs w:val="32"/>
        </w:rPr>
        <w:t>26</w:t>
      </w:r>
      <w:r>
        <w:rPr>
          <w:rFonts w:hint="eastAsia" w:ascii="仿宋_GB2312" w:eastAsia="仿宋_GB2312"/>
          <w:sz w:val="32"/>
          <w:szCs w:val="32"/>
          <w:lang w:val="zh-CN"/>
        </w:rPr>
        <w:t>日</w:t>
      </w:r>
      <w:r>
        <w:rPr>
          <w:rFonts w:hint="eastAsia" w:ascii="仿宋_GB2312" w:eastAsia="仿宋_GB2312"/>
          <w:sz w:val="32"/>
          <w:szCs w:val="32"/>
        </w:rPr>
        <w:t>15时30分左右，材料供应商</w:t>
      </w:r>
      <w:r>
        <w:rPr>
          <w:rFonts w:hint="eastAsia" w:ascii="仿宋_GB2312" w:eastAsia="仿宋_GB2312"/>
          <w:sz w:val="32"/>
          <w:szCs w:val="32"/>
          <w:lang w:val="zh-CN"/>
        </w:rPr>
        <w:t>圣乐藏公司派甘某某到项目部了解东服公司反映的模板质量问题，项目部安排东服公司质量巡查员蔡峥嵘陪同查看，行至2号楼登高入口处，因蔡峥嵘当时正与同事手机联系工作，由于担心楼内信号不佳，故告知甘某某模板质量问题后，继续留在入口处联系工作，甘某某独自进入楼内查看材料情况，在缺少安全防护措施情况下</w:t>
      </w:r>
      <w:r>
        <w:rPr>
          <w:rFonts w:hint="eastAsia" w:ascii="仿宋_GB2312" w:eastAsia="仿宋_GB2312"/>
          <w:sz w:val="32"/>
          <w:szCs w:val="32"/>
          <w:lang w:eastAsia="zh-CN"/>
        </w:rPr>
        <w:t>甘某某</w:t>
      </w:r>
      <w:r>
        <w:rPr>
          <w:rFonts w:hint="eastAsia" w:ascii="仿宋_GB2312" w:eastAsia="仿宋_GB2312"/>
          <w:sz w:val="32"/>
          <w:szCs w:val="32"/>
        </w:rPr>
        <w:t>在2号楼三层楼外侧临边查看模板质量时，不慎从三楼（9.1</w:t>
      </w:r>
      <w:r>
        <w:rPr>
          <w:rFonts w:hint="eastAsia" w:ascii="仿宋_GB2312" w:eastAsia="仿宋_GB2312"/>
          <w:sz w:val="32"/>
          <w:szCs w:val="32"/>
          <w:lang w:val="en-US" w:eastAsia="zh-CN"/>
        </w:rPr>
        <w:t>m</w:t>
      </w:r>
      <w:r>
        <w:rPr>
          <w:rFonts w:hint="eastAsia" w:ascii="仿宋_GB2312" w:eastAsia="仿宋_GB2312"/>
          <w:sz w:val="32"/>
          <w:szCs w:val="32"/>
        </w:rPr>
        <w:t>高处）跌落至二楼外围（5.4</w:t>
      </w:r>
      <w:r>
        <w:rPr>
          <w:rFonts w:hint="eastAsia" w:ascii="仿宋_GB2312" w:eastAsia="仿宋_GB2312"/>
          <w:sz w:val="32"/>
          <w:szCs w:val="32"/>
          <w:lang w:val="en-US" w:eastAsia="zh-CN"/>
        </w:rPr>
        <w:t>m</w:t>
      </w:r>
      <w:r>
        <w:rPr>
          <w:rFonts w:hint="eastAsia" w:ascii="仿宋_GB2312" w:eastAsia="仿宋_GB2312"/>
          <w:sz w:val="32"/>
          <w:szCs w:val="32"/>
        </w:rPr>
        <w:t>高处）脚手架隔离木质板上，木质板被折断后，人摔落至</w:t>
      </w:r>
      <w:r>
        <w:rPr>
          <w:rFonts w:hint="eastAsia" w:ascii="仿宋_GB2312" w:eastAsia="仿宋_GB2312"/>
          <w:sz w:val="32"/>
          <w:szCs w:val="32"/>
          <w:lang w:eastAsia="zh-CN"/>
        </w:rPr>
        <w:t>一</w:t>
      </w:r>
      <w:r>
        <w:rPr>
          <w:rFonts w:hint="eastAsia" w:ascii="仿宋_GB2312" w:eastAsia="仿宋_GB2312"/>
          <w:sz w:val="32"/>
          <w:szCs w:val="32"/>
        </w:rPr>
        <w:t>层</w:t>
      </w:r>
      <w:r>
        <w:rPr>
          <w:rFonts w:hint="eastAsia" w:ascii="仿宋_GB2312" w:eastAsia="仿宋_GB2312"/>
          <w:sz w:val="32"/>
          <w:szCs w:val="32"/>
          <w:lang w:eastAsia="zh-CN"/>
        </w:rPr>
        <w:t>混凝土</w:t>
      </w:r>
      <w:r>
        <w:rPr>
          <w:rFonts w:hint="eastAsia" w:ascii="仿宋_GB2312" w:eastAsia="仿宋_GB2312"/>
          <w:sz w:val="32"/>
          <w:szCs w:val="32"/>
        </w:rPr>
        <w:t>地面。</w:t>
      </w:r>
    </w:p>
    <w:p>
      <w:pPr>
        <w:adjustRightInd w:val="0"/>
        <w:snapToGrid w:val="0"/>
        <w:spacing w:line="560" w:lineRule="exact"/>
        <w:ind w:firstLine="643" w:firstLineChars="200"/>
        <w:rPr>
          <w:rFonts w:ascii="楷体_GB2312" w:eastAsia="楷体_GB2312"/>
          <w:b/>
          <w:sz w:val="32"/>
          <w:szCs w:val="32"/>
        </w:rPr>
      </w:pPr>
      <w:r>
        <w:rPr>
          <w:rFonts w:hint="eastAsia" w:ascii="楷体_GB2312" w:eastAsia="楷体_GB2312"/>
          <w:b/>
          <w:sz w:val="32"/>
          <w:szCs w:val="32"/>
        </w:rPr>
        <w:t>（二）事故救援情况</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lang w:val="zh-CN"/>
        </w:rPr>
        <w:t>事故发生后，正在2号楼楼底巡查“落手清”工作的人员张敏辉发现甘某某躺在2号楼底，后脑有血流出，随即通知正在巡查的带班郑赞拨打120急救，将其送至上海新华医院崇明分院救治。最终因伤势过重，抢救无效，于11月26日</w:t>
      </w:r>
      <w:r>
        <w:rPr>
          <w:rFonts w:hint="eastAsia" w:ascii="仿宋_GB2312" w:eastAsia="仿宋_GB2312" w:cstheme="minorBidi"/>
          <w:sz w:val="32"/>
          <w:szCs w:val="32"/>
        </w:rPr>
        <w:t>22时30分</w:t>
      </w:r>
      <w:r>
        <w:rPr>
          <w:rFonts w:hint="eastAsia" w:ascii="仿宋_GB2312" w:eastAsia="仿宋_GB2312"/>
          <w:sz w:val="32"/>
          <w:szCs w:val="32"/>
          <w:lang w:val="zh-CN"/>
        </w:rPr>
        <w:t>死亡。</w:t>
      </w:r>
    </w:p>
    <w:p>
      <w:pPr>
        <w:adjustRightInd w:val="0"/>
        <w:snapToGrid w:val="0"/>
        <w:spacing w:line="560" w:lineRule="exact"/>
        <w:ind w:firstLine="643" w:firstLineChars="200"/>
        <w:rPr>
          <w:rFonts w:ascii="黑体" w:eastAsia="黑体"/>
          <w:b/>
          <w:sz w:val="32"/>
          <w:szCs w:val="32"/>
        </w:rPr>
      </w:pPr>
      <w:r>
        <w:rPr>
          <w:rFonts w:hint="eastAsia" w:ascii="黑体" w:eastAsia="黑体"/>
          <w:b/>
          <w:sz w:val="32"/>
          <w:szCs w:val="32"/>
        </w:rPr>
        <w:t>三、事故造成的人员伤亡和直接经济损失</w:t>
      </w:r>
    </w:p>
    <w:p>
      <w:pPr>
        <w:adjustRightInd w:val="0"/>
        <w:snapToGrid w:val="0"/>
        <w:spacing w:line="560" w:lineRule="exact"/>
        <w:ind w:firstLine="643" w:firstLineChars="200"/>
        <w:rPr>
          <w:rFonts w:ascii="楷体_GB2312" w:eastAsia="楷体_GB2312"/>
          <w:b/>
          <w:sz w:val="32"/>
          <w:szCs w:val="32"/>
        </w:rPr>
      </w:pPr>
      <w:r>
        <w:rPr>
          <w:rFonts w:hint="eastAsia" w:ascii="楷体_GB2312" w:eastAsia="楷体_GB2312"/>
          <w:b/>
          <w:sz w:val="32"/>
          <w:szCs w:val="32"/>
        </w:rPr>
        <w:t>（一）事故伤亡情况</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本起事故造成1人死亡，死者：</w:t>
      </w:r>
      <w:r>
        <w:rPr>
          <w:rFonts w:hint="eastAsia" w:ascii="仿宋_GB2312" w:eastAsia="仿宋_GB2312"/>
          <w:sz w:val="32"/>
          <w:szCs w:val="32"/>
          <w:lang w:eastAsia="zh-CN"/>
        </w:rPr>
        <w:t>甘某某</w:t>
      </w:r>
      <w:r>
        <w:rPr>
          <w:rFonts w:hint="eastAsia" w:ascii="仿宋_GB2312" w:eastAsia="仿宋_GB2312"/>
          <w:sz w:val="32"/>
          <w:szCs w:val="32"/>
        </w:rPr>
        <w:t>，自然人，销售业务员，30岁，户口地址：</w:t>
      </w:r>
      <w:r>
        <w:rPr>
          <w:rFonts w:hint="eastAsia" w:ascii="仿宋_GB2312" w:eastAsia="仿宋_GB2312"/>
          <w:sz w:val="32"/>
          <w:szCs w:val="32"/>
          <w:lang w:eastAsia="zh-CN"/>
        </w:rPr>
        <w:t>贵州省玉屏侗族自治县XX镇XX村XX号</w:t>
      </w:r>
      <w:r>
        <w:rPr>
          <w:rFonts w:hint="eastAsia" w:ascii="仿宋_GB2312" w:eastAsia="仿宋_GB2312"/>
          <w:sz w:val="32"/>
          <w:szCs w:val="32"/>
        </w:rPr>
        <w:t>，身份证号：</w:t>
      </w:r>
      <w:bookmarkStart w:id="0" w:name="_GoBack"/>
      <w:bookmarkEnd w:id="0"/>
      <w:r>
        <w:rPr>
          <w:rFonts w:hint="eastAsia" w:ascii="仿宋_GB2312" w:eastAsia="仿宋_GB2312"/>
          <w:sz w:val="32"/>
          <w:szCs w:val="32"/>
          <w:lang w:eastAsia="zh-CN"/>
        </w:rPr>
        <w:t>52222319900730XXXX</w:t>
      </w:r>
      <w:r>
        <w:rPr>
          <w:rFonts w:hint="eastAsia" w:ascii="仿宋_GB2312" w:eastAsia="仿宋_GB2312"/>
          <w:sz w:val="32"/>
          <w:szCs w:val="32"/>
        </w:rPr>
        <w:t>。</w:t>
      </w:r>
    </w:p>
    <w:p>
      <w:pPr>
        <w:adjustRightInd w:val="0"/>
        <w:snapToGrid w:val="0"/>
        <w:spacing w:line="560" w:lineRule="exact"/>
        <w:ind w:firstLine="643" w:firstLineChars="200"/>
        <w:rPr>
          <w:rFonts w:ascii="楷体_GB2312" w:eastAsia="楷体_GB2312"/>
          <w:b/>
          <w:sz w:val="32"/>
          <w:szCs w:val="32"/>
        </w:rPr>
      </w:pPr>
      <w:r>
        <w:rPr>
          <w:rFonts w:hint="eastAsia" w:ascii="楷体_GB2312" w:eastAsia="楷体_GB2312"/>
          <w:b/>
          <w:sz w:val="32"/>
          <w:szCs w:val="32"/>
        </w:rPr>
        <w:t>（二）事故直接经济损失</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本起事故造成直接经济损失约人民币150万元。</w:t>
      </w:r>
    </w:p>
    <w:p>
      <w:pPr>
        <w:adjustRightInd w:val="0"/>
        <w:snapToGrid w:val="0"/>
        <w:spacing w:line="560" w:lineRule="exact"/>
        <w:ind w:firstLine="643" w:firstLineChars="200"/>
        <w:rPr>
          <w:rFonts w:ascii="黑体" w:eastAsia="黑体"/>
          <w:b/>
          <w:sz w:val="32"/>
          <w:szCs w:val="32"/>
        </w:rPr>
      </w:pPr>
      <w:r>
        <w:rPr>
          <w:rFonts w:hint="eastAsia" w:ascii="黑体" w:eastAsia="黑体"/>
          <w:b/>
          <w:sz w:val="32"/>
          <w:szCs w:val="32"/>
        </w:rPr>
        <w:t>四、现场勘查情况</w:t>
      </w:r>
    </w:p>
    <w:p>
      <w:pPr>
        <w:pStyle w:val="5"/>
        <w:widowControl/>
        <w:shd w:val="clear" w:color="auto" w:fill="FFFFFF"/>
        <w:spacing w:beforeAutospacing="0" w:afterAutospacing="0" w:line="560"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（一）事故现场位于上海市崇明区建设镇北沿公路2097号，上海崇明东平森林公园森林康养中心项目2号楼底层，死亡人员在建筑东侧（2-3/2E-2F/轴线）位置。</w:t>
      </w:r>
    </w:p>
    <w:p>
      <w:pPr>
        <w:pStyle w:val="5"/>
        <w:widowControl/>
        <w:shd w:val="clear" w:color="auto" w:fill="FFFFFF"/>
        <w:spacing w:beforeAutospacing="0" w:afterAutospacing="0" w:line="560"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（二）上海崇明东平森林公园森林康养中心项目2号楼，是一幢新建混凝土框架结构的四层建筑，底层高5.4m,建筑面积1624.1㎡，二层、三层高3.7m，建筑面积1423.6㎡。</w:t>
      </w:r>
    </w:p>
    <w:p>
      <w:pPr>
        <w:pStyle w:val="5"/>
        <w:widowControl/>
        <w:shd w:val="clear" w:color="auto" w:fill="FFFFFF"/>
        <w:spacing w:beforeAutospacing="0" w:afterAutospacing="0" w:line="560"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2-3/2E-2F轴线位置底层与二层之间，铁质脚手架（长1.8m，宽0.9m，高2m）与混凝土外壁之间有1.4m间隙，东西有圆形钢管架空，钢管间距1.2m，上面盖有脚手架隔离木质层板，断裂口南北0.9m，东西0.6m，靠西侧二层地面有一顶黄色塑料安全帽。</w:t>
      </w:r>
    </w:p>
    <w:p>
      <w:pPr>
        <w:pStyle w:val="5"/>
        <w:widowControl/>
        <w:shd w:val="clear" w:color="auto" w:fill="FFFFFF"/>
        <w:spacing w:beforeAutospacing="0" w:afterAutospacing="0" w:line="560"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（四）2-3/2E-2F轴线位置二层与三层之间无空隙挡板和安全网等物，三层已经封顶，四层正处于立模板、扎钢筋阶段。</w:t>
      </w:r>
    </w:p>
    <w:p>
      <w:pPr>
        <w:pStyle w:val="5"/>
        <w:widowControl/>
        <w:shd w:val="clear" w:color="auto" w:fill="FFFFFF"/>
        <w:spacing w:beforeAutospacing="0" w:afterAutospacing="0" w:line="560"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w:t>
      </w:r>
      <w:r>
        <w:rPr>
          <w:rFonts w:hint="eastAsia" w:ascii="仿宋_GB2312" w:hAnsi="仿宋_GB2312" w:eastAsia="仿宋_GB2312" w:cs="仿宋_GB2312"/>
          <w:sz w:val="32"/>
          <w:szCs w:val="32"/>
        </w:rPr>
        <w:t>当天气象情况：小雨，气温：11℃-13℃ ，东北风3级。</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（六）2020年11月26日，</w:t>
      </w:r>
      <w:r>
        <w:rPr>
          <w:rFonts w:hint="eastAsia" w:ascii="仿宋_GB2312" w:hAnsi="仿宋_GB2312" w:eastAsia="仿宋_GB2312" w:cs="仿宋_GB2312"/>
          <w:sz w:val="32"/>
        </w:rPr>
        <w:t>经上海交通大学医学院附属新华医院崇明分院出具的《居民死亡医学证明书》</w:t>
      </w:r>
      <w:r>
        <w:rPr>
          <w:rFonts w:hint="eastAsia" w:ascii="仿宋_GB2312" w:hAnsi="仿宋_GB2312" w:eastAsia="仿宋_GB2312" w:cs="仿宋_GB2312"/>
          <w:sz w:val="32"/>
          <w:szCs w:val="32"/>
        </w:rPr>
        <w:t>（</w:t>
      </w:r>
      <w:r>
        <w:rPr>
          <w:rFonts w:hint="eastAsia" w:ascii="仿宋_GB2312" w:hAnsi="仿宋_GB2312" w:eastAsia="仿宋_GB2312" w:cs="仿宋_GB2312"/>
          <w:sz w:val="32"/>
        </w:rPr>
        <w:t>No:2020-2-0109065</w:t>
      </w:r>
      <w:r>
        <w:rPr>
          <w:rFonts w:hint="eastAsia" w:ascii="仿宋_GB2312" w:hAnsi="仿宋_GB2312" w:eastAsia="仿宋_GB2312" w:cs="仿宋_GB2312"/>
          <w:sz w:val="32"/>
          <w:szCs w:val="32"/>
        </w:rPr>
        <w:t>）载明，</w:t>
      </w:r>
      <w:r>
        <w:rPr>
          <w:rFonts w:hint="eastAsia" w:ascii="仿宋_GB2312" w:hAnsi="仿宋_GB2312" w:eastAsia="仿宋_GB2312" w:cs="仿宋_GB2312"/>
          <w:sz w:val="32"/>
          <w:szCs w:val="32"/>
          <w:lang w:eastAsia="zh-CN"/>
        </w:rPr>
        <w:t>甘某某</w:t>
      </w:r>
      <w:r>
        <w:rPr>
          <w:rFonts w:hint="eastAsia" w:ascii="仿宋_GB2312" w:hAnsi="仿宋_GB2312" w:eastAsia="仿宋_GB2312" w:cs="仿宋_GB2312"/>
          <w:sz w:val="32"/>
        </w:rPr>
        <w:t>直接死亡原因：创伤性脑颅，引起其直接死亡的原因情况为：跌倒。</w:t>
      </w:r>
      <w:r>
        <w:rPr>
          <w:rFonts w:hint="eastAsia" w:ascii="仿宋_GB2312" w:hAnsi="仿宋_GB2312" w:eastAsia="仿宋_GB2312" w:cs="仿宋_GB2312"/>
          <w:sz w:val="32"/>
          <w:szCs w:val="32"/>
        </w:rPr>
        <w:t>死亡时间：2020年11月26日22时30分。</w:t>
      </w:r>
    </w:p>
    <w:p>
      <w:pPr>
        <w:pStyle w:val="5"/>
        <w:widowControl/>
        <w:shd w:val="clear" w:color="auto" w:fill="FFFFFF"/>
        <w:spacing w:beforeAutospacing="0" w:afterAutospacing="0" w:line="560" w:lineRule="exact"/>
        <w:ind w:firstLine="643" w:firstLineChars="200"/>
        <w:rPr>
          <w:rFonts w:ascii="黑体" w:hAnsi="黑体" w:eastAsia="黑体" w:cs="黑体"/>
          <w:b/>
          <w:kern w:val="2"/>
          <w:sz w:val="32"/>
          <w:szCs w:val="32"/>
        </w:rPr>
      </w:pPr>
      <w:r>
        <w:rPr>
          <w:rFonts w:hint="eastAsia" w:ascii="黑体" w:hAnsi="黑体" w:eastAsia="黑体" w:cs="黑体"/>
          <w:b/>
          <w:kern w:val="2"/>
          <w:sz w:val="32"/>
          <w:szCs w:val="32"/>
        </w:rPr>
        <w:t>五、事故发生原因和事故性质</w:t>
      </w:r>
    </w:p>
    <w:p>
      <w:pPr>
        <w:adjustRightInd w:val="0"/>
        <w:snapToGrid w:val="0"/>
        <w:spacing w:line="570" w:lineRule="exact"/>
        <w:ind w:firstLine="643" w:firstLineChars="200"/>
        <w:rPr>
          <w:rFonts w:ascii="楷体_GB2312" w:hAnsi="Times New Roman" w:eastAsia="楷体_GB2312"/>
          <w:b/>
          <w:sz w:val="32"/>
          <w:szCs w:val="32"/>
        </w:rPr>
      </w:pPr>
      <w:r>
        <w:rPr>
          <w:rFonts w:hint="eastAsia" w:ascii="楷体_GB2312" w:hAnsi="Times New Roman" w:eastAsia="楷体_GB2312"/>
          <w:b/>
          <w:sz w:val="32"/>
          <w:szCs w:val="32"/>
        </w:rPr>
        <w:t>（一）事故发生原因</w:t>
      </w:r>
    </w:p>
    <w:p>
      <w:pPr>
        <w:adjustRightInd w:val="0"/>
        <w:snapToGrid w:val="0"/>
        <w:spacing w:line="570" w:lineRule="exact"/>
        <w:ind w:firstLine="643" w:firstLineChars="200"/>
        <w:rPr>
          <w:rFonts w:ascii="仿宋_GB2312" w:eastAsia="仿宋_GB2312"/>
          <w:sz w:val="32"/>
          <w:szCs w:val="32"/>
        </w:rPr>
      </w:pPr>
      <w:r>
        <w:rPr>
          <w:rFonts w:hint="eastAsia" w:ascii="仿宋_GB2312" w:eastAsia="仿宋_GB2312"/>
          <w:b/>
          <w:sz w:val="32"/>
          <w:szCs w:val="32"/>
        </w:rPr>
        <w:t>1.直接原因</w:t>
      </w:r>
    </w:p>
    <w:p>
      <w:pPr>
        <w:pStyle w:val="5"/>
        <w:widowControl/>
        <w:shd w:val="clear" w:color="auto" w:fill="FFFFFF"/>
        <w:spacing w:beforeAutospacing="0" w:afterAutospacing="0" w:line="560" w:lineRule="exact"/>
        <w:ind w:firstLine="640" w:firstLineChars="200"/>
        <w:rPr>
          <w:rFonts w:ascii="仿宋_GB2312" w:eastAsia="仿宋_GB2312" w:cstheme="minorBidi"/>
          <w:kern w:val="2"/>
          <w:sz w:val="32"/>
          <w:szCs w:val="32"/>
        </w:rPr>
      </w:pPr>
      <w:r>
        <w:rPr>
          <w:rFonts w:hint="eastAsia" w:ascii="仿宋_GB2312" w:eastAsia="仿宋_GB2312" w:cstheme="minorBidi"/>
          <w:kern w:val="2"/>
          <w:sz w:val="32"/>
          <w:szCs w:val="32"/>
        </w:rPr>
        <w:t>圣乐藏公司作业人员未</w:t>
      </w:r>
      <w:r>
        <w:rPr>
          <w:rFonts w:hint="eastAsia" w:ascii="仿宋_GB2312" w:eastAsia="仿宋_GB2312" w:cstheme="minorBidi"/>
          <w:kern w:val="2"/>
          <w:sz w:val="32"/>
          <w:szCs w:val="32"/>
          <w:lang w:eastAsia="zh-CN"/>
        </w:rPr>
        <w:t>正确佩戴高处作业防护装备，且</w:t>
      </w:r>
      <w:r>
        <w:rPr>
          <w:rFonts w:hint="eastAsia" w:ascii="仿宋_GB2312" w:eastAsia="仿宋_GB2312" w:cstheme="minorBidi"/>
          <w:kern w:val="2"/>
          <w:sz w:val="32"/>
          <w:szCs w:val="32"/>
        </w:rPr>
        <w:t>在不了解施工现场的情况下，</w:t>
      </w:r>
      <w:r>
        <w:rPr>
          <w:rFonts w:hint="eastAsia" w:ascii="仿宋_GB2312" w:eastAsia="仿宋_GB2312" w:cstheme="minorBidi"/>
          <w:kern w:val="2"/>
          <w:sz w:val="32"/>
          <w:szCs w:val="32"/>
          <w:lang w:eastAsia="zh-CN"/>
        </w:rPr>
        <w:t>擅</w:t>
      </w:r>
      <w:r>
        <w:rPr>
          <w:rFonts w:hint="eastAsia" w:ascii="仿宋_GB2312" w:eastAsia="仿宋_GB2312" w:cstheme="minorBidi"/>
          <w:kern w:val="2"/>
          <w:sz w:val="32"/>
          <w:szCs w:val="32"/>
        </w:rPr>
        <w:t>自前往三楼（9.1</w:t>
      </w:r>
      <w:r>
        <w:rPr>
          <w:rFonts w:hint="eastAsia" w:ascii="仿宋_GB2312" w:eastAsia="仿宋_GB2312" w:cstheme="minorBidi"/>
          <w:kern w:val="2"/>
          <w:sz w:val="32"/>
          <w:szCs w:val="32"/>
          <w:lang w:val="en-US" w:eastAsia="zh-CN"/>
        </w:rPr>
        <w:t>m</w:t>
      </w:r>
      <w:r>
        <w:rPr>
          <w:rFonts w:hint="eastAsia" w:ascii="仿宋_GB2312" w:eastAsia="仿宋_GB2312" w:cstheme="minorBidi"/>
          <w:kern w:val="2"/>
          <w:sz w:val="32"/>
          <w:szCs w:val="32"/>
        </w:rPr>
        <w:t>）未设置围栏等防护措施</w:t>
      </w:r>
      <w:r>
        <w:rPr>
          <w:rFonts w:hint="eastAsia" w:ascii="仿宋_GB2312" w:eastAsia="仿宋_GB2312" w:cstheme="minorBidi"/>
          <w:kern w:val="2"/>
          <w:sz w:val="32"/>
          <w:szCs w:val="32"/>
          <w:lang w:eastAsia="zh-CN"/>
        </w:rPr>
        <w:t>的脚手架旁</w:t>
      </w:r>
      <w:r>
        <w:rPr>
          <w:rFonts w:hint="eastAsia" w:ascii="仿宋_GB2312" w:eastAsia="仿宋_GB2312" w:cstheme="minorBidi"/>
          <w:kern w:val="2"/>
          <w:sz w:val="32"/>
          <w:szCs w:val="32"/>
        </w:rPr>
        <w:t>查看问题模板，导致其</w:t>
      </w:r>
      <w:r>
        <w:rPr>
          <w:rFonts w:hint="eastAsia" w:ascii="仿宋_GB2312" w:eastAsia="仿宋_GB2312" w:cstheme="minorBidi"/>
          <w:kern w:val="2"/>
          <w:sz w:val="32"/>
          <w:szCs w:val="32"/>
          <w:lang w:eastAsia="zh-CN"/>
        </w:rPr>
        <w:t>不慎</w:t>
      </w:r>
      <w:r>
        <w:rPr>
          <w:rFonts w:hint="eastAsia" w:ascii="仿宋_GB2312" w:eastAsia="仿宋_GB2312" w:cstheme="minorBidi"/>
          <w:kern w:val="2"/>
          <w:sz w:val="32"/>
          <w:szCs w:val="32"/>
        </w:rPr>
        <w:t>从脚手架与混凝土外壁之间的空隙（空隙约为1.4</w:t>
      </w:r>
      <w:r>
        <w:rPr>
          <w:rFonts w:hint="eastAsia" w:ascii="仿宋_GB2312" w:eastAsia="仿宋_GB2312" w:cstheme="minorBidi"/>
          <w:kern w:val="2"/>
          <w:sz w:val="32"/>
          <w:szCs w:val="32"/>
          <w:lang w:val="en-US" w:eastAsia="zh-CN"/>
        </w:rPr>
        <w:t>m</w:t>
      </w:r>
      <w:r>
        <w:rPr>
          <w:rFonts w:hint="eastAsia" w:ascii="仿宋_GB2312" w:eastAsia="仿宋_GB2312" w:cstheme="minorBidi"/>
          <w:kern w:val="2"/>
          <w:sz w:val="32"/>
          <w:szCs w:val="32"/>
        </w:rPr>
        <w:t>）坠落至地面，是事故发生的直接原因。</w:t>
      </w:r>
    </w:p>
    <w:p>
      <w:pPr>
        <w:adjustRightInd w:val="0"/>
        <w:snapToGrid w:val="0"/>
        <w:spacing w:line="570" w:lineRule="exact"/>
        <w:ind w:firstLine="643" w:firstLineChars="200"/>
        <w:rPr>
          <w:rFonts w:ascii="仿宋_GB2312" w:eastAsia="仿宋_GB2312"/>
          <w:b/>
          <w:sz w:val="32"/>
          <w:szCs w:val="32"/>
        </w:rPr>
      </w:pPr>
      <w:r>
        <w:rPr>
          <w:rFonts w:hint="eastAsia" w:ascii="仿宋_GB2312" w:eastAsia="仿宋_GB2312"/>
          <w:b/>
          <w:sz w:val="32"/>
          <w:szCs w:val="32"/>
        </w:rPr>
        <w:t>2.间接原因</w:t>
      </w:r>
    </w:p>
    <w:p>
      <w:pPr>
        <w:adjustRightInd w:val="0"/>
        <w:snapToGrid w:val="0"/>
        <w:spacing w:line="570" w:lineRule="exact"/>
        <w:ind w:firstLine="640" w:firstLineChars="200"/>
        <w:rPr>
          <w:rFonts w:ascii="仿宋_GB2312" w:eastAsia="仿宋_GB2312"/>
          <w:bCs/>
          <w:sz w:val="32"/>
          <w:szCs w:val="32"/>
        </w:rPr>
      </w:pPr>
      <w:r>
        <w:rPr>
          <w:rFonts w:hint="eastAsia" w:ascii="仿宋_GB2312" w:eastAsia="仿宋_GB2312"/>
          <w:bCs/>
          <w:sz w:val="32"/>
          <w:szCs w:val="32"/>
        </w:rPr>
        <w:t>（1）圣乐藏公司作为材料供应商对派出员工疏于日常管理、安全教育培训不到位、未及时消除现场安全事故隐患、未能制止违规操作行为、现场安全防护不到位、安全监管不力</w:t>
      </w:r>
      <w:r>
        <w:rPr>
          <w:rFonts w:hint="eastAsia" w:ascii="仿宋_GB2312" w:eastAsia="仿宋_GB2312"/>
          <w:bCs/>
          <w:sz w:val="32"/>
          <w:szCs w:val="32"/>
          <w:lang w:val="en-US" w:eastAsia="zh-CN"/>
        </w:rPr>
        <w:t>,</w:t>
      </w:r>
      <w:r>
        <w:rPr>
          <w:rFonts w:hint="eastAsia" w:ascii="仿宋_GB2312" w:eastAsia="仿宋_GB2312"/>
          <w:bCs/>
          <w:sz w:val="32"/>
          <w:szCs w:val="32"/>
        </w:rPr>
        <w:t>是事故发生的间接原因。</w:t>
      </w:r>
    </w:p>
    <w:p>
      <w:pPr>
        <w:adjustRightInd w:val="0"/>
        <w:snapToGrid w:val="0"/>
        <w:spacing w:line="570" w:lineRule="exact"/>
        <w:ind w:firstLine="640" w:firstLineChars="200"/>
        <w:rPr>
          <w:rFonts w:ascii="仿宋_GB2312" w:eastAsia="仿宋_GB2312"/>
          <w:bCs/>
          <w:sz w:val="32"/>
          <w:szCs w:val="32"/>
        </w:rPr>
      </w:pPr>
      <w:r>
        <w:rPr>
          <w:rFonts w:hint="eastAsia" w:ascii="仿宋_GB2312" w:eastAsia="仿宋_GB2312"/>
          <w:bCs/>
          <w:sz w:val="32"/>
          <w:szCs w:val="32"/>
        </w:rPr>
        <w:t>（2）东服公司对施工现场的监管不力，未能及时排查施工现场潜在的危险因素，现场的安全防护措施不够完善，对进入施工现场的员工的安全教育和安全交底不到位，是事故发生的间接原因。</w:t>
      </w:r>
    </w:p>
    <w:p>
      <w:pPr>
        <w:adjustRightInd w:val="0"/>
        <w:snapToGrid w:val="0"/>
        <w:spacing w:line="570" w:lineRule="exact"/>
        <w:ind w:firstLine="640" w:firstLineChars="200"/>
        <w:rPr>
          <w:rFonts w:ascii="仿宋_GB2312" w:eastAsia="仿宋_GB2312" w:cstheme="minorBidi"/>
          <w:sz w:val="32"/>
          <w:szCs w:val="32"/>
        </w:rPr>
      </w:pPr>
      <w:r>
        <w:rPr>
          <w:rFonts w:hint="eastAsia" w:ascii="仿宋_GB2312" w:eastAsia="仿宋_GB2312" w:cstheme="minorBidi"/>
          <w:sz w:val="32"/>
          <w:szCs w:val="32"/>
        </w:rPr>
        <w:t>（3）建工集团安全管理不到位，与分包单位的总体沟通协调不力，布置作业任务随意、指令不清，现场巡查检查不到位，导致分包单位、材料供应商在没有作业交底和安全防护的情况下施工作业，是事故发生的间接原因。</w:t>
      </w:r>
    </w:p>
    <w:p>
      <w:pPr>
        <w:adjustRightInd w:val="0"/>
        <w:snapToGrid w:val="0"/>
        <w:spacing w:line="560" w:lineRule="exact"/>
        <w:ind w:firstLine="640" w:firstLineChars="200"/>
        <w:rPr>
          <w:rFonts w:ascii="仿宋_GB2312" w:eastAsia="仿宋_GB2312"/>
          <w:color w:val="FF0000"/>
          <w:sz w:val="32"/>
          <w:szCs w:val="32"/>
        </w:rPr>
      </w:pPr>
      <w:r>
        <w:rPr>
          <w:rFonts w:hint="eastAsia" w:ascii="仿宋_GB2312" w:eastAsia="仿宋_GB2312" w:cstheme="minorBidi"/>
          <w:sz w:val="32"/>
          <w:szCs w:val="32"/>
        </w:rPr>
        <w:t>（4）建科咨询公司作为监理单位对施工现场的监督上有所缺失，未能及时掌握现场的施工情况，现场监管不力，对安全生产隐患未能采取有效措施，是事故发生的间接原因。</w:t>
      </w:r>
    </w:p>
    <w:p>
      <w:pPr>
        <w:adjustRightInd w:val="0"/>
        <w:snapToGrid w:val="0"/>
        <w:spacing w:line="570" w:lineRule="exact"/>
        <w:ind w:firstLine="643" w:firstLineChars="200"/>
        <w:rPr>
          <w:rFonts w:ascii="楷体_GB2312" w:hAnsi="Times New Roman" w:eastAsia="楷体_GB2312"/>
          <w:b/>
          <w:sz w:val="32"/>
          <w:szCs w:val="32"/>
        </w:rPr>
      </w:pPr>
      <w:r>
        <w:rPr>
          <w:rFonts w:hint="eastAsia" w:ascii="楷体_GB2312" w:hAnsi="Times New Roman" w:eastAsia="楷体_GB2312"/>
          <w:b/>
          <w:sz w:val="32"/>
          <w:szCs w:val="32"/>
        </w:rPr>
        <w:t>（二）事故性质</w:t>
      </w:r>
    </w:p>
    <w:p>
      <w:pPr>
        <w:pStyle w:val="5"/>
        <w:widowControl/>
        <w:shd w:val="clear" w:color="auto" w:fill="FFFFFF"/>
        <w:spacing w:beforeAutospacing="0" w:afterAutospacing="0" w:line="560" w:lineRule="exact"/>
        <w:ind w:firstLine="640" w:firstLineChars="200"/>
        <w:rPr>
          <w:rFonts w:ascii="仿宋_GB2312" w:eastAsia="仿宋_GB2312" w:cstheme="minorBidi"/>
          <w:kern w:val="2"/>
          <w:sz w:val="32"/>
          <w:szCs w:val="32"/>
        </w:rPr>
      </w:pPr>
      <w:r>
        <w:rPr>
          <w:rFonts w:hint="eastAsia" w:ascii="仿宋_GB2312" w:eastAsia="仿宋_GB2312"/>
          <w:sz w:val="32"/>
          <w:szCs w:val="32"/>
        </w:rPr>
        <w:t>经事故调查组调查认定</w:t>
      </w:r>
      <w:r>
        <w:rPr>
          <w:rFonts w:hint="eastAsia" w:ascii="仿宋_GB2312" w:eastAsia="仿宋_GB2312" w:cstheme="minorBidi"/>
          <w:kern w:val="2"/>
          <w:sz w:val="32"/>
          <w:szCs w:val="32"/>
        </w:rPr>
        <w:t>，这是一起生产安全责任事故。</w:t>
      </w:r>
    </w:p>
    <w:p>
      <w:pPr>
        <w:pStyle w:val="5"/>
        <w:widowControl/>
        <w:shd w:val="clear" w:color="auto" w:fill="FFFFFF"/>
        <w:spacing w:beforeAutospacing="0" w:afterAutospacing="0" w:line="560" w:lineRule="exact"/>
        <w:ind w:firstLine="643" w:firstLineChars="200"/>
        <w:rPr>
          <w:rFonts w:ascii="黑体" w:hAnsi="黑体" w:eastAsia="黑体" w:cs="黑体"/>
          <w:b/>
          <w:kern w:val="2"/>
          <w:sz w:val="32"/>
          <w:szCs w:val="32"/>
        </w:rPr>
      </w:pPr>
      <w:r>
        <w:rPr>
          <w:rFonts w:hint="eastAsia" w:ascii="黑体" w:hAnsi="黑体" w:eastAsia="黑体" w:cs="黑体"/>
          <w:b/>
          <w:kern w:val="2"/>
          <w:sz w:val="32"/>
          <w:szCs w:val="32"/>
        </w:rPr>
        <w:t>六、事故责任认定及处理建议</w:t>
      </w:r>
    </w:p>
    <w:p>
      <w:pPr>
        <w:adjustRightInd w:val="0"/>
        <w:snapToGrid w:val="0"/>
        <w:spacing w:line="570" w:lineRule="exact"/>
        <w:ind w:firstLine="643" w:firstLineChars="200"/>
        <w:rPr>
          <w:rFonts w:ascii="仿宋_GB2312" w:eastAsia="仿宋_GB2312" w:cstheme="minorBidi"/>
          <w:color w:val="000000" w:themeColor="text1"/>
          <w:sz w:val="32"/>
          <w:szCs w:val="32"/>
          <w14:textFill>
            <w14:solidFill>
              <w14:schemeClr w14:val="tx1"/>
            </w14:solidFill>
          </w14:textFill>
        </w:rPr>
      </w:pPr>
      <w:r>
        <w:rPr>
          <w:rFonts w:hint="eastAsia" w:ascii="楷体_GB2312" w:hAnsi="Times New Roman" w:eastAsia="楷体_GB2312"/>
          <w:b/>
          <w:sz w:val="32"/>
          <w:szCs w:val="32"/>
        </w:rPr>
        <w:t>（一）对事故责任人员的责任认定及处理建议</w:t>
      </w:r>
    </w:p>
    <w:p>
      <w:pPr>
        <w:pStyle w:val="5"/>
        <w:widowControl/>
        <w:shd w:val="clear" w:color="auto" w:fill="FFFFFF"/>
        <w:spacing w:beforeAutospacing="0" w:afterAutospacing="0" w:line="560" w:lineRule="exact"/>
        <w:ind w:firstLine="640" w:firstLineChars="200"/>
        <w:rPr>
          <w:rFonts w:ascii="仿宋_GB2312" w:eastAsia="仿宋_GB2312" w:cstheme="minorBidi"/>
          <w:color w:val="000000" w:themeColor="text1"/>
          <w:kern w:val="2"/>
          <w:sz w:val="32"/>
          <w:szCs w:val="32"/>
          <w14:textFill>
            <w14:solidFill>
              <w14:schemeClr w14:val="tx1"/>
            </w14:solidFill>
          </w14:textFill>
        </w:rPr>
      </w:pPr>
      <w:r>
        <w:rPr>
          <w:rFonts w:hint="eastAsia" w:ascii="仿宋_GB2312" w:eastAsia="仿宋_GB2312" w:cstheme="minorBidi"/>
          <w:color w:val="000000" w:themeColor="text1"/>
          <w:kern w:val="2"/>
          <w:sz w:val="32"/>
          <w:szCs w:val="32"/>
          <w14:textFill>
            <w14:solidFill>
              <w14:schemeClr w14:val="tx1"/>
            </w14:solidFill>
          </w14:textFill>
        </w:rPr>
        <w:t>1.</w:t>
      </w:r>
      <w:r>
        <w:rPr>
          <w:rFonts w:hint="eastAsia" w:ascii="仿宋_GB2312" w:eastAsia="仿宋_GB2312" w:cstheme="minorBidi"/>
          <w:color w:val="000000" w:themeColor="text1"/>
          <w:kern w:val="2"/>
          <w:sz w:val="32"/>
          <w:szCs w:val="32"/>
          <w:lang w:eastAsia="zh-CN"/>
          <w14:textFill>
            <w14:solidFill>
              <w14:schemeClr w14:val="tx1"/>
            </w14:solidFill>
          </w14:textFill>
        </w:rPr>
        <w:t>甘某某</w:t>
      </w:r>
      <w:r>
        <w:rPr>
          <w:rFonts w:hint="eastAsia" w:ascii="仿宋_GB2312" w:eastAsia="仿宋_GB2312" w:cstheme="minorBidi"/>
          <w:color w:val="000000" w:themeColor="text1"/>
          <w:kern w:val="2"/>
          <w:sz w:val="32"/>
          <w:szCs w:val="32"/>
          <w14:textFill>
            <w14:solidFill>
              <w14:schemeClr w14:val="tx1"/>
            </w14:solidFill>
          </w14:textFill>
        </w:rPr>
        <w:t>，圣乐藏公司销售业务员。安全意识淡薄，自我保护意识不强，在检查模板时缺少安全防护措施,</w:t>
      </w:r>
      <w:r>
        <w:rPr>
          <w:rFonts w:hint="eastAsia" w:ascii="仿宋_GB2312" w:eastAsia="仿宋_GB2312"/>
          <w:sz w:val="32"/>
          <w:szCs w:val="32"/>
        </w:rPr>
        <w:t>对事故发生负有一定责任，</w:t>
      </w:r>
      <w:r>
        <w:rPr>
          <w:rFonts w:hint="eastAsia" w:ascii="仿宋_GB2312" w:eastAsia="仿宋_GB2312" w:cstheme="minorBidi"/>
          <w:color w:val="000000" w:themeColor="text1"/>
          <w:kern w:val="2"/>
          <w:sz w:val="32"/>
          <w:szCs w:val="32"/>
          <w14:textFill>
            <w14:solidFill>
              <w14:schemeClr w14:val="tx1"/>
            </w14:solidFill>
          </w14:textFill>
        </w:rPr>
        <w:t>鉴于其在事故中死亡，建议不再追究其责任。</w:t>
      </w:r>
    </w:p>
    <w:p>
      <w:pPr>
        <w:pStyle w:val="5"/>
        <w:widowControl/>
        <w:shd w:val="clear" w:color="auto" w:fill="FFFFFF"/>
        <w:spacing w:beforeAutospacing="0" w:afterAutospacing="0" w:line="560" w:lineRule="exact"/>
        <w:ind w:firstLine="640" w:firstLineChars="200"/>
        <w:rPr>
          <w:rFonts w:ascii="仿宋_GB2312" w:eastAsia="仿宋_GB2312" w:cstheme="minorBidi"/>
          <w:color w:val="000000" w:themeColor="text1"/>
          <w:kern w:val="2"/>
          <w:sz w:val="32"/>
          <w:szCs w:val="32"/>
          <w14:textFill>
            <w14:solidFill>
              <w14:schemeClr w14:val="tx1"/>
            </w14:solidFill>
          </w14:textFill>
        </w:rPr>
      </w:pPr>
      <w:r>
        <w:rPr>
          <w:rFonts w:hint="eastAsia" w:ascii="仿宋_GB2312" w:eastAsia="仿宋_GB2312" w:cstheme="minorBidi"/>
          <w:color w:val="000000" w:themeColor="text1"/>
          <w:kern w:val="2"/>
          <w:sz w:val="32"/>
          <w:szCs w:val="32"/>
          <w14:textFill>
            <w14:solidFill>
              <w14:schemeClr w14:val="tx1"/>
            </w14:solidFill>
          </w14:textFill>
        </w:rPr>
        <w:t>2.周介波，圣乐藏公司法定代表人。未对进入建筑施工现场的本</w:t>
      </w:r>
      <w:r>
        <w:rPr>
          <w:rFonts w:hint="eastAsia" w:ascii="仿宋_GB2312" w:eastAsia="仿宋_GB2312" w:cstheme="minorBidi"/>
          <w:color w:val="000000" w:themeColor="text1"/>
          <w:kern w:val="2"/>
          <w:sz w:val="32"/>
          <w:szCs w:val="32"/>
          <w:lang w:eastAsia="zh-CN"/>
          <w14:textFill>
            <w14:solidFill>
              <w14:schemeClr w14:val="tx1"/>
            </w14:solidFill>
          </w14:textFill>
        </w:rPr>
        <w:t>公司</w:t>
      </w:r>
      <w:r>
        <w:rPr>
          <w:rFonts w:hint="eastAsia" w:ascii="仿宋_GB2312" w:eastAsia="仿宋_GB2312" w:cstheme="minorBidi"/>
          <w:color w:val="000000" w:themeColor="text1"/>
          <w:kern w:val="2"/>
          <w:sz w:val="32"/>
          <w:szCs w:val="32"/>
          <w14:textFill>
            <w14:solidFill>
              <w14:schemeClr w14:val="tx1"/>
            </w14:solidFill>
          </w14:textFill>
        </w:rPr>
        <w:t>人员进行必要的安全教育培训，缺少与总包、分包单位的安全管理沟通，现场安全监管不到位，对事故发生负有责任。</w:t>
      </w:r>
    </w:p>
    <w:p>
      <w:pPr>
        <w:pStyle w:val="5"/>
        <w:widowControl/>
        <w:shd w:val="clear" w:color="auto" w:fill="FFFFFF"/>
        <w:spacing w:beforeAutospacing="0" w:afterAutospacing="0" w:line="560" w:lineRule="exact"/>
        <w:ind w:firstLine="640" w:firstLineChars="200"/>
        <w:rPr>
          <w:rFonts w:ascii="仿宋_GB2312" w:eastAsia="仿宋_GB2312" w:cstheme="minorBidi"/>
          <w:color w:val="000000" w:themeColor="text1"/>
          <w:kern w:val="2"/>
          <w:sz w:val="32"/>
          <w:szCs w:val="32"/>
          <w14:textFill>
            <w14:solidFill>
              <w14:schemeClr w14:val="tx1"/>
            </w14:solidFill>
          </w14:textFill>
        </w:rPr>
      </w:pPr>
      <w:r>
        <w:rPr>
          <w:rFonts w:hint="eastAsia" w:ascii="仿宋_GB2312" w:eastAsia="仿宋_GB2312" w:cstheme="minorBidi"/>
          <w:color w:val="000000" w:themeColor="text1"/>
          <w:kern w:val="2"/>
          <w:sz w:val="32"/>
          <w:szCs w:val="32"/>
          <w14:textFill>
            <w14:solidFill>
              <w14:schemeClr w14:val="tx1"/>
            </w14:solidFill>
          </w14:textFill>
        </w:rPr>
        <w:t>责成圣乐藏公司对周介波按照企业有关规定给予处理，并将处理结果报区应急局。</w:t>
      </w:r>
    </w:p>
    <w:p>
      <w:pPr>
        <w:adjustRightInd w:val="0"/>
        <w:snapToGrid w:val="0"/>
        <w:spacing w:line="570" w:lineRule="exact"/>
        <w:ind w:firstLine="640" w:firstLineChars="200"/>
        <w:rPr>
          <w:rFonts w:ascii="仿宋_GB2312" w:eastAsia="仿宋_GB2312" w:cstheme="minorBidi"/>
          <w:sz w:val="32"/>
          <w:szCs w:val="32"/>
        </w:rPr>
      </w:pPr>
      <w:r>
        <w:rPr>
          <w:rFonts w:hint="eastAsia" w:ascii="仿宋_GB2312" w:eastAsia="仿宋_GB2312" w:cstheme="minorBidi"/>
          <w:color w:val="000000" w:themeColor="text1"/>
          <w:sz w:val="32"/>
          <w:szCs w:val="32"/>
          <w14:textFill>
            <w14:solidFill>
              <w14:schemeClr w14:val="tx1"/>
            </w14:solidFill>
          </w14:textFill>
        </w:rPr>
        <w:t>3.蔡峥嵘，东服公司质量巡查员。</w:t>
      </w:r>
      <w:r>
        <w:rPr>
          <w:rFonts w:hint="eastAsia" w:ascii="仿宋_GB2312" w:eastAsia="仿宋_GB2312" w:cstheme="minorBidi"/>
          <w:sz w:val="32"/>
          <w:szCs w:val="32"/>
        </w:rPr>
        <w:t>未能履行好陪同</w:t>
      </w:r>
      <w:r>
        <w:rPr>
          <w:rFonts w:hint="eastAsia" w:ascii="仿宋_GB2312" w:eastAsia="仿宋_GB2312" w:cstheme="minorBidi"/>
          <w:sz w:val="32"/>
          <w:szCs w:val="32"/>
          <w:lang w:eastAsia="zh-CN"/>
        </w:rPr>
        <w:t>甘某某</w:t>
      </w:r>
      <w:r>
        <w:rPr>
          <w:rFonts w:hint="eastAsia" w:ascii="仿宋_GB2312" w:eastAsia="仿宋_GB2312" w:cstheme="minorBidi"/>
          <w:sz w:val="32"/>
          <w:szCs w:val="32"/>
        </w:rPr>
        <w:t>前往查看问题模板的安全职责，未告知</w:t>
      </w:r>
      <w:r>
        <w:rPr>
          <w:rFonts w:hint="eastAsia" w:ascii="仿宋_GB2312" w:eastAsia="仿宋_GB2312" w:cstheme="minorBidi"/>
          <w:sz w:val="32"/>
          <w:szCs w:val="32"/>
          <w:lang w:eastAsia="zh-CN"/>
        </w:rPr>
        <w:t>甘某某</w:t>
      </w:r>
      <w:r>
        <w:rPr>
          <w:rFonts w:hint="eastAsia" w:ascii="仿宋_GB2312" w:eastAsia="仿宋_GB2312" w:cstheme="minorBidi"/>
          <w:sz w:val="32"/>
          <w:szCs w:val="32"/>
        </w:rPr>
        <w:t>工地现场所存在的安全隐患，现场安全监护不到位，</w:t>
      </w:r>
      <w:r>
        <w:rPr>
          <w:rFonts w:hint="eastAsia" w:ascii="仿宋_GB2312" w:eastAsia="仿宋_GB2312"/>
          <w:sz w:val="32"/>
          <w:szCs w:val="32"/>
        </w:rPr>
        <w:t>对事故发生负有责任</w:t>
      </w:r>
      <w:r>
        <w:rPr>
          <w:rFonts w:hint="eastAsia" w:ascii="仿宋_GB2312" w:eastAsia="仿宋_GB2312" w:cstheme="minorBidi"/>
          <w:sz w:val="32"/>
          <w:szCs w:val="32"/>
        </w:rPr>
        <w:t>。</w:t>
      </w:r>
    </w:p>
    <w:p>
      <w:pPr>
        <w:adjustRightInd w:val="0"/>
        <w:snapToGrid w:val="0"/>
        <w:spacing w:line="570" w:lineRule="exact"/>
        <w:ind w:firstLine="640" w:firstLineChars="200"/>
        <w:rPr>
          <w:rFonts w:ascii="仿宋_GB2312" w:eastAsia="仿宋_GB2312" w:cstheme="minorBidi"/>
          <w:sz w:val="32"/>
          <w:szCs w:val="32"/>
        </w:rPr>
      </w:pPr>
      <w:r>
        <w:rPr>
          <w:rFonts w:hint="eastAsia" w:ascii="仿宋_GB2312" w:eastAsia="仿宋_GB2312" w:cstheme="minorBidi"/>
          <w:sz w:val="32"/>
          <w:szCs w:val="32"/>
        </w:rPr>
        <w:t>4.王宝庆，东服公司工程科经理。对建筑工地存在的安全隐患未能有效排查，未能及时设置警示标志以及防护栏杆，缺少对进场人员的安全交底，</w:t>
      </w:r>
      <w:r>
        <w:rPr>
          <w:rFonts w:hint="eastAsia" w:ascii="仿宋_GB2312" w:eastAsia="仿宋_GB2312"/>
          <w:sz w:val="32"/>
          <w:szCs w:val="32"/>
        </w:rPr>
        <w:t>对事故发生负有责任。</w:t>
      </w:r>
    </w:p>
    <w:p>
      <w:pPr>
        <w:adjustRightInd w:val="0"/>
        <w:snapToGrid w:val="0"/>
        <w:spacing w:line="560" w:lineRule="exact"/>
        <w:ind w:firstLine="640" w:firstLineChars="200"/>
        <w:rPr>
          <w:rFonts w:ascii="仿宋_GB2312" w:eastAsia="仿宋_GB2312" w:cstheme="minorBidi"/>
          <w:color w:val="000000" w:themeColor="text1"/>
          <w:sz w:val="32"/>
          <w:szCs w:val="32"/>
          <w14:textFill>
            <w14:solidFill>
              <w14:schemeClr w14:val="tx1"/>
            </w14:solidFill>
          </w14:textFill>
        </w:rPr>
      </w:pPr>
      <w:r>
        <w:rPr>
          <w:rFonts w:hint="eastAsia" w:ascii="仿宋_GB2312" w:eastAsia="仿宋_GB2312" w:cstheme="minorBidi"/>
          <w:color w:val="000000" w:themeColor="text1"/>
          <w:sz w:val="32"/>
          <w:szCs w:val="32"/>
          <w14:textFill>
            <w14:solidFill>
              <w14:schemeClr w14:val="tx1"/>
            </w14:solidFill>
          </w14:textFill>
        </w:rPr>
        <w:t>责成圣东服公司对蔡峥嵘、</w:t>
      </w:r>
      <w:r>
        <w:rPr>
          <w:rFonts w:hint="eastAsia" w:ascii="仿宋_GB2312" w:eastAsia="仿宋_GB2312" w:cstheme="minorBidi"/>
          <w:sz w:val="32"/>
          <w:szCs w:val="32"/>
        </w:rPr>
        <w:t>王宝庆，</w:t>
      </w:r>
      <w:r>
        <w:rPr>
          <w:rFonts w:hint="eastAsia" w:ascii="仿宋_GB2312" w:eastAsia="仿宋_GB2312" w:cstheme="minorBidi"/>
          <w:color w:val="000000" w:themeColor="text1"/>
          <w:sz w:val="32"/>
          <w:szCs w:val="32"/>
          <w14:textFill>
            <w14:solidFill>
              <w14:schemeClr w14:val="tx1"/>
            </w14:solidFill>
          </w14:textFill>
        </w:rPr>
        <w:t>按照企业有关规定分别给予处理，并将处理结果报区应急局。</w:t>
      </w:r>
    </w:p>
    <w:p>
      <w:pPr>
        <w:adjustRightInd w:val="0"/>
        <w:snapToGrid w:val="0"/>
        <w:spacing w:line="560" w:lineRule="exact"/>
        <w:ind w:firstLine="640" w:firstLineChars="200"/>
        <w:rPr>
          <w:rFonts w:ascii="仿宋_GB2312" w:eastAsia="仿宋_GB2312" w:cstheme="minorBidi"/>
          <w:color w:val="000000" w:themeColor="text1"/>
          <w:sz w:val="32"/>
          <w:szCs w:val="32"/>
          <w14:textFill>
            <w14:solidFill>
              <w14:schemeClr w14:val="tx1"/>
            </w14:solidFill>
          </w14:textFill>
        </w:rPr>
      </w:pPr>
      <w:r>
        <w:rPr>
          <w:rFonts w:hint="eastAsia" w:ascii="仿宋_GB2312" w:eastAsia="仿宋_GB2312" w:cstheme="minorBidi"/>
          <w:sz w:val="32"/>
          <w:szCs w:val="32"/>
        </w:rPr>
        <w:t>5.茅水龙，东服公司法定代表人。未组织制定并实施本单位安全生产教育和培训计划，未督促、检查本单位的安全生产工作，未及时消除生产安全事故隐患，</w:t>
      </w:r>
      <w:r>
        <w:rPr>
          <w:rFonts w:hint="eastAsia" w:ascii="仿宋_GB2312" w:eastAsia="仿宋_GB2312"/>
          <w:sz w:val="32"/>
          <w:szCs w:val="32"/>
        </w:rPr>
        <w:t>安全监管不到位，</w:t>
      </w:r>
      <w:r>
        <w:rPr>
          <w:rFonts w:hint="eastAsia" w:ascii="仿宋_GB2312" w:eastAsia="仿宋_GB2312" w:cstheme="minorBidi"/>
          <w:sz w:val="32"/>
          <w:szCs w:val="32"/>
        </w:rPr>
        <w:t>对事故发生负有责任。</w:t>
      </w:r>
      <w:r>
        <w:rPr>
          <w:rFonts w:hint="eastAsia" w:ascii="仿宋_GB2312" w:eastAsia="仿宋_GB2312"/>
          <w:sz w:val="32"/>
          <w:szCs w:val="32"/>
        </w:rPr>
        <w:t>建议区应急局依法对东服公司法定代表人茅水龙给予行政处罚。</w:t>
      </w:r>
    </w:p>
    <w:p>
      <w:pPr>
        <w:pStyle w:val="5"/>
        <w:widowControl/>
        <w:shd w:val="clear" w:color="auto" w:fill="FFFFFF"/>
        <w:spacing w:beforeAutospacing="0" w:afterAutospacing="0" w:line="560" w:lineRule="exact"/>
        <w:ind w:firstLine="640" w:firstLineChars="200"/>
        <w:rPr>
          <w:rFonts w:ascii="仿宋_GB2312" w:eastAsia="仿宋_GB2312" w:cstheme="minorBidi"/>
          <w:color w:val="000000" w:themeColor="text1"/>
          <w:kern w:val="2"/>
          <w:sz w:val="32"/>
          <w:szCs w:val="32"/>
          <w14:textFill>
            <w14:solidFill>
              <w14:schemeClr w14:val="tx1"/>
            </w14:solidFill>
          </w14:textFill>
        </w:rPr>
      </w:pPr>
      <w:r>
        <w:rPr>
          <w:rFonts w:hint="eastAsia" w:ascii="仿宋_GB2312" w:eastAsia="仿宋_GB2312"/>
          <w:sz w:val="32"/>
          <w:szCs w:val="32"/>
        </w:rPr>
        <w:t>6.</w:t>
      </w:r>
      <w:r>
        <w:rPr>
          <w:rFonts w:hint="eastAsia" w:ascii="仿宋_GB2312" w:eastAsia="仿宋_GB2312" w:cstheme="minorBidi"/>
          <w:color w:val="000000" w:themeColor="text1"/>
          <w:kern w:val="2"/>
          <w:sz w:val="32"/>
          <w:szCs w:val="32"/>
          <w14:textFill>
            <w14:solidFill>
              <w14:schemeClr w14:val="tx1"/>
            </w14:solidFill>
          </w14:textFill>
        </w:rPr>
        <w:t>程福建，建工集团东平森林康养中心项目项目经理。现场安全设施管理不到位，缺少对外来人员的安全培训，现场安全巡查力度、广度不够，未能及时发现动态潜在的安全隐患，对事故发生负有责任。</w:t>
      </w:r>
    </w:p>
    <w:p>
      <w:pPr>
        <w:pStyle w:val="5"/>
        <w:widowControl/>
        <w:shd w:val="clear" w:color="auto" w:fill="FFFFFF"/>
        <w:spacing w:beforeAutospacing="0" w:afterAutospacing="0" w:line="560" w:lineRule="exact"/>
        <w:ind w:firstLine="640" w:firstLineChars="200"/>
        <w:rPr>
          <w:rFonts w:ascii="仿宋_GB2312" w:eastAsia="仿宋_GB2312" w:cstheme="minorBidi"/>
          <w:color w:val="FF0000"/>
          <w:kern w:val="2"/>
          <w:sz w:val="32"/>
          <w:szCs w:val="32"/>
        </w:rPr>
      </w:pPr>
      <w:r>
        <w:rPr>
          <w:rFonts w:hint="eastAsia" w:ascii="仿宋_GB2312" w:eastAsia="仿宋_GB2312" w:cstheme="minorBidi"/>
          <w:color w:val="000000" w:themeColor="text1"/>
          <w:kern w:val="2"/>
          <w:sz w:val="32"/>
          <w:szCs w:val="32"/>
          <w14:textFill>
            <w14:solidFill>
              <w14:schemeClr w14:val="tx1"/>
            </w14:solidFill>
          </w14:textFill>
        </w:rPr>
        <w:t>7.姚亚南，建工集团东平森林康养中心项目部安全员。现场安全检查不到位，未落实对外来人员的安全培训，安全隐患巡查不到位，对事故发生负有责任。</w:t>
      </w:r>
    </w:p>
    <w:p>
      <w:pPr>
        <w:pStyle w:val="5"/>
        <w:widowControl/>
        <w:shd w:val="clear" w:color="auto" w:fill="FFFFFF"/>
        <w:spacing w:beforeAutospacing="0" w:afterAutospacing="0" w:line="560" w:lineRule="exact"/>
        <w:ind w:firstLine="640" w:firstLineChars="200"/>
        <w:rPr>
          <w:rFonts w:ascii="仿宋_GB2312" w:eastAsia="仿宋_GB2312" w:cstheme="minorBidi"/>
          <w:color w:val="000000" w:themeColor="text1"/>
          <w:kern w:val="2"/>
          <w:sz w:val="32"/>
          <w:szCs w:val="32"/>
          <w14:textFill>
            <w14:solidFill>
              <w14:schemeClr w14:val="tx1"/>
            </w14:solidFill>
          </w14:textFill>
        </w:rPr>
      </w:pPr>
      <w:r>
        <w:rPr>
          <w:rFonts w:hint="eastAsia" w:ascii="仿宋_GB2312" w:eastAsia="仿宋_GB2312" w:cstheme="minorBidi"/>
          <w:color w:val="000000" w:themeColor="text1"/>
          <w:kern w:val="2"/>
          <w:sz w:val="32"/>
          <w:szCs w:val="32"/>
          <w14:textFill>
            <w14:solidFill>
              <w14:schemeClr w14:val="tx1"/>
            </w14:solidFill>
          </w14:textFill>
        </w:rPr>
        <w:t>责成建工集团对上述人员按照企业有关规定分别给予处理，并将处理结果报区应急局。</w:t>
      </w:r>
    </w:p>
    <w:p>
      <w:pPr>
        <w:adjustRightInd w:val="0"/>
        <w:snapToGrid w:val="0"/>
        <w:spacing w:line="560" w:lineRule="exact"/>
        <w:ind w:firstLine="640" w:firstLineChars="200"/>
        <w:rPr>
          <w:rFonts w:ascii="仿宋_GB2312" w:eastAsia="仿宋_GB2312" w:hAnsiTheme="minorHAnsi" w:cstheme="minorBidi"/>
          <w:color w:val="000000" w:themeColor="text1"/>
          <w:sz w:val="32"/>
          <w:szCs w:val="32"/>
          <w14:textFill>
            <w14:solidFill>
              <w14:schemeClr w14:val="tx1"/>
            </w14:solidFill>
          </w14:textFill>
        </w:rPr>
      </w:pPr>
      <w:r>
        <w:rPr>
          <w:rFonts w:hint="eastAsia" w:ascii="仿宋_GB2312" w:eastAsia="仿宋_GB2312" w:hAnsiTheme="minorHAnsi" w:cstheme="minorBidi"/>
          <w:color w:val="000000" w:themeColor="text1"/>
          <w:sz w:val="32"/>
          <w:szCs w:val="32"/>
          <w14:textFill>
            <w14:solidFill>
              <w14:schemeClr w14:val="tx1"/>
            </w14:solidFill>
          </w14:textFill>
        </w:rPr>
        <w:t>8.张强，建科咨询公司法定代表人。未能有效督促、检查施工现场的安全生产工作，未能排查生产安全事故隐患并提出改进安全生产管理的建议，对事故发生负有责任。</w:t>
      </w:r>
    </w:p>
    <w:p>
      <w:pPr>
        <w:pStyle w:val="5"/>
        <w:widowControl/>
        <w:shd w:val="clear" w:color="auto" w:fill="FFFFFF"/>
        <w:spacing w:beforeAutospacing="0" w:afterAutospacing="0" w:line="560" w:lineRule="exact"/>
        <w:ind w:firstLine="640" w:firstLineChars="200"/>
        <w:rPr>
          <w:rFonts w:ascii="仿宋_GB2312" w:eastAsia="仿宋_GB2312" w:cstheme="minorBidi"/>
          <w:color w:val="FF0000"/>
          <w:kern w:val="2"/>
          <w:sz w:val="32"/>
          <w:szCs w:val="32"/>
        </w:rPr>
      </w:pPr>
      <w:r>
        <w:rPr>
          <w:rFonts w:hint="eastAsia" w:ascii="仿宋_GB2312" w:eastAsia="仿宋_GB2312" w:cstheme="minorBidi"/>
          <w:color w:val="000000" w:themeColor="text1"/>
          <w:sz w:val="32"/>
          <w:szCs w:val="32"/>
          <w14:textFill>
            <w14:solidFill>
              <w14:schemeClr w14:val="tx1"/>
            </w14:solidFill>
          </w14:textFill>
        </w:rPr>
        <w:t>责成建科咨询公司对张强按照企业有关规定给予处理，并将处理结果报区应急局。</w:t>
      </w:r>
    </w:p>
    <w:p>
      <w:pPr>
        <w:adjustRightInd w:val="0"/>
        <w:snapToGrid w:val="0"/>
        <w:spacing w:line="560" w:lineRule="exact"/>
        <w:ind w:firstLine="643" w:firstLineChars="200"/>
        <w:rPr>
          <w:rFonts w:ascii="仿宋_GB2312" w:eastAsia="仿宋_GB2312"/>
          <w:sz w:val="32"/>
          <w:szCs w:val="32"/>
        </w:rPr>
      </w:pPr>
      <w:r>
        <w:rPr>
          <w:rFonts w:hint="eastAsia" w:ascii="楷体_GB2312" w:eastAsia="楷体_GB2312"/>
          <w:b/>
          <w:sz w:val="32"/>
          <w:szCs w:val="32"/>
        </w:rPr>
        <w:t>（二）对事故责任单位的责任认定和处理建议</w:t>
      </w:r>
    </w:p>
    <w:p>
      <w:pPr>
        <w:pStyle w:val="5"/>
        <w:widowControl/>
        <w:shd w:val="clear" w:color="auto" w:fill="FFFFFF"/>
        <w:spacing w:beforeAutospacing="0" w:afterAutospacing="0" w:line="560" w:lineRule="exact"/>
        <w:ind w:firstLine="640" w:firstLineChars="200"/>
        <w:rPr>
          <w:rFonts w:ascii="仿宋_GB2312" w:eastAsia="仿宋_GB2312"/>
          <w:sz w:val="32"/>
          <w:szCs w:val="32"/>
        </w:rPr>
      </w:pPr>
      <w:r>
        <w:rPr>
          <w:rFonts w:hint="eastAsia" w:ascii="仿宋_GB2312" w:eastAsia="仿宋_GB2312"/>
          <w:sz w:val="32"/>
          <w:szCs w:val="32"/>
        </w:rPr>
        <w:t>圣乐藏公司未落实企业安全生产主体责任，安全管理不力，安全检查、巡查不到位，未对出入施工现场人员进行必要的安全生产教育培训和安全技术交底，现场安全防范措施不落实，未能及时发现并消除施工现场的事故隐患，对事故发生负有责任。建议区应急局依法对圣乐藏公司给予行政处罚。</w:t>
      </w:r>
    </w:p>
    <w:p>
      <w:pPr>
        <w:adjustRightInd w:val="0"/>
        <w:snapToGrid w:val="0"/>
        <w:spacing w:line="560" w:lineRule="exact"/>
        <w:ind w:firstLine="643" w:firstLineChars="200"/>
        <w:rPr>
          <w:rFonts w:ascii="黑体" w:eastAsia="黑体"/>
          <w:b/>
          <w:sz w:val="32"/>
          <w:szCs w:val="32"/>
        </w:rPr>
      </w:pPr>
      <w:r>
        <w:rPr>
          <w:rFonts w:hint="eastAsia" w:ascii="黑体" w:eastAsia="黑体"/>
          <w:b/>
          <w:sz w:val="32"/>
          <w:szCs w:val="32"/>
        </w:rPr>
        <w:t>七、事故防范措施建议</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（一）圣乐藏公司要切实加强安全生产管理，加强对公司员工的安全教育培训，提高公司员工的自我保护意识，规范员工的安全生产意识。教育单位员工不盲目进入危险区域作业，作业时应配齐安全防护装备。 </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二）建工集团要强化对施工现场的总体管理，要规范工作任务布置流程，加强现场作业内容的掌控和总体协调管理；对危险性较大的施工作业要提前研判安全风险，制定专项施工方案并指派现场总体协调指挥人员，要对所有进入场地的人员进行必要的安全教育。</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（三）东服公司作为现场施工单位，要认真履行施工现场安全管理职责和义务，加大巡查力度，及时发现施工过程中存在的安全风险、事故隐患、违章作业行为，采取有效措施落实整改，杜绝伤亡事故再次发生。</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四）建科咨询公司作为监理咨询公司要严格履行项目监理的安全管理职责和义务，加大巡查力度，及时发现项目建设过程中存在的安全风险、事故隐患、违章作业行为，并有效督促施工方落实整改，切实把好安全关。</w:t>
      </w: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五）项目各参建方要向全体项目管理和施工作业人员通报该起事故的经过、原因，对全体员工进行全方位的安全意识、安全生产知识和技能的教育和培训，增强作业人员的安全生产自觉性，提高防范事故的能力；要严格落实事故“四不放过”要求，严肃处理相关责任人；要吸取事故教训，举一反三，全面细致地在单位内部组织开展事故隐患排查治理工作。</w:t>
      </w:r>
    </w:p>
    <w:p>
      <w:pPr>
        <w:adjustRightInd w:val="0"/>
        <w:snapToGrid w:val="0"/>
        <w:spacing w:line="560" w:lineRule="exact"/>
        <w:ind w:firstLine="640" w:firstLineChars="200"/>
        <w:rPr>
          <w:rFonts w:ascii="仿宋_GB2312" w:hAnsi="仿宋_GB2312" w:eastAsia="仿宋_GB2312" w:cs="仿宋_GB2312"/>
          <w:sz w:val="32"/>
          <w:szCs w:val="32"/>
        </w:rPr>
      </w:pPr>
    </w:p>
    <w:p>
      <w:pPr>
        <w:pStyle w:val="5"/>
        <w:widowControl/>
        <w:shd w:val="clear" w:color="auto" w:fill="FFFFFF"/>
        <w:spacing w:beforeAutospacing="0" w:afterAutospacing="0"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附件：1.直接经济损失明细</w:t>
      </w:r>
    </w:p>
    <w:p>
      <w:pPr>
        <w:pStyle w:val="5"/>
        <w:widowControl/>
        <w:shd w:val="clear" w:color="auto" w:fill="FFFFFF"/>
        <w:spacing w:beforeAutospacing="0" w:afterAutospacing="0" w:line="560" w:lineRule="exact"/>
        <w:ind w:firstLine="1600" w:firstLineChars="5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2.人员伤亡情况</w:t>
      </w:r>
    </w:p>
    <w:p>
      <w:pPr>
        <w:pStyle w:val="5"/>
        <w:widowControl/>
        <w:shd w:val="clear" w:color="auto" w:fill="FFFFFF"/>
        <w:spacing w:beforeAutospacing="0" w:afterAutospacing="0" w:line="560" w:lineRule="exact"/>
        <w:ind w:firstLine="1600" w:firstLineChars="5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3.事故调查组名单</w:t>
      </w:r>
    </w:p>
    <w:p>
      <w:pPr>
        <w:adjustRightInd w:val="0"/>
        <w:snapToGrid w:val="0"/>
        <w:spacing w:line="560" w:lineRule="exact"/>
        <w:rPr>
          <w:rFonts w:ascii="仿宋_GB2312" w:hAnsi="仿宋_GB2312" w:eastAsia="仿宋_GB2312" w:cs="仿宋_GB2312"/>
          <w:color w:val="000000"/>
          <w:kern w:val="0"/>
          <w:sz w:val="32"/>
          <w:szCs w:val="32"/>
        </w:rPr>
      </w:pPr>
    </w:p>
    <w:p>
      <w:pPr>
        <w:adjustRightInd w:val="0"/>
        <w:snapToGrid w:val="0"/>
        <w:spacing w:line="560" w:lineRule="exact"/>
        <w:ind w:firstLine="4800" w:firstLineChars="1500"/>
        <w:rPr>
          <w:rFonts w:ascii="仿宋_GB2312" w:hAnsi="仿宋_GB2312" w:eastAsia="仿宋_GB2312" w:cs="仿宋_GB2312"/>
          <w:color w:val="000000"/>
          <w:kern w:val="0"/>
          <w:sz w:val="32"/>
          <w:szCs w:val="32"/>
        </w:rPr>
      </w:pPr>
    </w:p>
    <w:p>
      <w:pPr>
        <w:adjustRightInd w:val="0"/>
        <w:snapToGrid w:val="0"/>
        <w:spacing w:line="560" w:lineRule="exact"/>
        <w:ind w:firstLine="4800" w:firstLineChars="1500"/>
        <w:rPr>
          <w:rFonts w:ascii="仿宋_GB2312" w:hAnsi="仿宋_GB2312" w:eastAsia="仿宋_GB2312" w:cs="仿宋_GB2312"/>
          <w:color w:val="000000"/>
          <w:kern w:val="0"/>
          <w:sz w:val="32"/>
          <w:szCs w:val="32"/>
        </w:rPr>
      </w:pPr>
    </w:p>
    <w:p>
      <w:pPr>
        <w:adjustRightInd w:val="0"/>
        <w:snapToGrid w:val="0"/>
        <w:spacing w:line="560" w:lineRule="exact"/>
        <w:ind w:firstLine="4800" w:firstLineChars="15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上海圣乐藏实业有限公司</w:t>
      </w:r>
    </w:p>
    <w:p>
      <w:pPr>
        <w:adjustRightInd w:val="0"/>
        <w:snapToGrid w:val="0"/>
        <w:spacing w:line="560" w:lineRule="exact"/>
        <w:ind w:firstLine="4160" w:firstLineChars="1300"/>
        <w:rPr>
          <w:rFonts w:ascii="仿宋_GB2312" w:hAnsi="仿宋_GB2312" w:eastAsia="仿宋_GB2312" w:cs="仿宋_GB2312"/>
          <w:sz w:val="32"/>
          <w:szCs w:val="32"/>
        </w:rPr>
      </w:pPr>
      <w:r>
        <w:rPr>
          <w:rFonts w:hint="eastAsia" w:ascii="仿宋_GB2312" w:hAnsi="仿宋_GB2312" w:eastAsia="仿宋_GB2312" w:cs="仿宋_GB2312"/>
          <w:sz w:val="32"/>
          <w:szCs w:val="32"/>
        </w:rPr>
        <w:t>“11·26”高处坠落事故调查组</w:t>
      </w:r>
    </w:p>
    <w:p>
      <w:pPr>
        <w:adjustRightInd w:val="0"/>
        <w:snapToGrid w:val="0"/>
        <w:spacing w:line="560" w:lineRule="exact"/>
        <w:ind w:firstLine="5440" w:firstLineChars="1700"/>
        <w:rPr>
          <w:rFonts w:ascii="仿宋_GB2312" w:eastAsia="仿宋_GB2312"/>
          <w:sz w:val="32"/>
          <w:szCs w:val="32"/>
        </w:rPr>
      </w:pPr>
      <w:r>
        <w:rPr>
          <w:rFonts w:hint="eastAsia" w:ascii="仿宋_GB2312" w:eastAsia="仿宋_GB2312"/>
          <w:sz w:val="32"/>
          <w:szCs w:val="32"/>
        </w:rPr>
        <w:t>2021年1月5日</w:t>
      </w:r>
    </w:p>
    <w:p>
      <w:pPr>
        <w:adjustRightInd w:val="0"/>
        <w:snapToGrid w:val="0"/>
        <w:spacing w:line="560" w:lineRule="exact"/>
        <w:rPr>
          <w:rFonts w:ascii="仿宋_GB2312" w:eastAsia="仿宋_GB2312"/>
          <w:sz w:val="32"/>
          <w:szCs w:val="32"/>
        </w:rPr>
      </w:pPr>
    </w:p>
    <w:p>
      <w:pPr>
        <w:pStyle w:val="5"/>
        <w:widowControl/>
        <w:shd w:val="clear" w:color="auto" w:fill="FFFFFF"/>
        <w:spacing w:beforeAutospacing="0" w:afterAutospacing="0" w:line="560" w:lineRule="exact"/>
        <w:jc w:val="both"/>
        <w:rPr>
          <w:rFonts w:hint="eastAsia" w:ascii="仿宋_GB2312" w:eastAsia="仿宋_GB2312"/>
          <w:color w:val="000000"/>
          <w:sz w:val="32"/>
          <w:szCs w:val="32"/>
        </w:rPr>
      </w:pPr>
    </w:p>
    <w:p>
      <w:pPr>
        <w:pStyle w:val="5"/>
        <w:widowControl/>
        <w:shd w:val="clear" w:color="auto" w:fill="FFFFFF"/>
        <w:spacing w:beforeAutospacing="0" w:afterAutospacing="0" w:line="560" w:lineRule="exact"/>
        <w:jc w:val="both"/>
        <w:rPr>
          <w:rFonts w:hint="eastAsia"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r>
        <w:rPr>
          <w:rFonts w:hint="eastAsia" w:ascii="仿宋_GB2312" w:eastAsia="仿宋_GB2312"/>
          <w:color w:val="000000"/>
          <w:sz w:val="32"/>
          <w:szCs w:val="32"/>
        </w:rPr>
        <w:t>附件1</w:t>
      </w: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jc w:val="center"/>
        <w:rPr>
          <w:rFonts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rPr>
        <w:t>上海圣乐藏实业有限公司</w:t>
      </w:r>
    </w:p>
    <w:p>
      <w:pPr>
        <w:jc w:val="center"/>
        <w:rPr>
          <w:rFonts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rPr>
        <w:t>11·26高处坠落死亡事故直接经济损失明细</w:t>
      </w:r>
    </w:p>
    <w:p>
      <w:pPr>
        <w:jc w:val="center"/>
        <w:rPr>
          <w:rFonts w:ascii="仿宋_GB2312" w:hAnsi="华文宋体" w:eastAsia="仿宋_GB2312"/>
          <w:b/>
          <w:sz w:val="28"/>
          <w:szCs w:val="28"/>
        </w:rPr>
      </w:pP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6"/>
        <w:gridCol w:w="2156"/>
        <w:gridCol w:w="2447"/>
        <w:gridCol w:w="2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96" w:type="dxa"/>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b/>
                <w:sz w:val="28"/>
                <w:szCs w:val="28"/>
              </w:rPr>
            </w:pPr>
            <w:r>
              <w:rPr>
                <w:rFonts w:hint="eastAsia" w:ascii="仿宋_GB2312" w:hAnsi="宋体" w:eastAsia="仿宋_GB2312"/>
                <w:b/>
                <w:sz w:val="28"/>
                <w:szCs w:val="28"/>
              </w:rPr>
              <w:t>项目</w:t>
            </w:r>
          </w:p>
        </w:tc>
        <w:tc>
          <w:tcPr>
            <w:tcW w:w="2156" w:type="dxa"/>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b/>
                <w:sz w:val="28"/>
                <w:szCs w:val="28"/>
              </w:rPr>
            </w:pPr>
            <w:r>
              <w:rPr>
                <w:rFonts w:hint="eastAsia" w:ascii="仿宋_GB2312" w:hAnsi="宋体" w:eastAsia="仿宋_GB2312"/>
                <w:b/>
                <w:sz w:val="28"/>
                <w:szCs w:val="28"/>
              </w:rPr>
              <w:t>人身伤亡后</w:t>
            </w:r>
          </w:p>
          <w:p>
            <w:pPr>
              <w:jc w:val="center"/>
              <w:rPr>
                <w:rFonts w:ascii="仿宋_GB2312" w:hAnsi="宋体" w:eastAsia="仿宋_GB2312"/>
                <w:b/>
                <w:sz w:val="28"/>
                <w:szCs w:val="28"/>
              </w:rPr>
            </w:pPr>
            <w:r>
              <w:rPr>
                <w:rFonts w:hint="eastAsia" w:ascii="仿宋_GB2312" w:hAnsi="宋体" w:eastAsia="仿宋_GB2312"/>
                <w:b/>
                <w:sz w:val="28"/>
                <w:szCs w:val="28"/>
              </w:rPr>
              <w:t>支出的费用</w:t>
            </w:r>
          </w:p>
        </w:tc>
        <w:tc>
          <w:tcPr>
            <w:tcW w:w="2447" w:type="dxa"/>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b/>
                <w:sz w:val="28"/>
                <w:szCs w:val="28"/>
              </w:rPr>
            </w:pPr>
            <w:r>
              <w:rPr>
                <w:rFonts w:hint="eastAsia" w:ascii="仿宋_GB2312" w:hAnsi="宋体" w:eastAsia="仿宋_GB2312"/>
                <w:b/>
                <w:sz w:val="28"/>
                <w:szCs w:val="28"/>
              </w:rPr>
              <w:t>善后处理费用</w:t>
            </w:r>
          </w:p>
        </w:tc>
        <w:tc>
          <w:tcPr>
            <w:tcW w:w="2123" w:type="dxa"/>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b/>
                <w:sz w:val="28"/>
                <w:szCs w:val="28"/>
              </w:rPr>
            </w:pPr>
            <w:r>
              <w:rPr>
                <w:rFonts w:hint="eastAsia" w:ascii="仿宋_GB2312" w:hAnsi="宋体" w:eastAsia="仿宋_GB2312"/>
                <w:b/>
                <w:sz w:val="28"/>
                <w:szCs w:val="28"/>
              </w:rPr>
              <w:t>财产损失价值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7" w:hRule="atLeast"/>
        </w:trPr>
        <w:tc>
          <w:tcPr>
            <w:tcW w:w="1796" w:type="dxa"/>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b/>
                <w:sz w:val="28"/>
                <w:szCs w:val="28"/>
              </w:rPr>
            </w:pPr>
            <w:r>
              <w:rPr>
                <w:rFonts w:hint="eastAsia" w:ascii="仿宋_GB2312" w:hAnsi="宋体" w:eastAsia="仿宋_GB2312"/>
                <w:b/>
                <w:sz w:val="28"/>
                <w:szCs w:val="28"/>
              </w:rPr>
              <w:t>费用（万元）</w:t>
            </w:r>
          </w:p>
        </w:tc>
        <w:tc>
          <w:tcPr>
            <w:tcW w:w="2156" w:type="dxa"/>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sz w:val="28"/>
                <w:szCs w:val="28"/>
              </w:rPr>
            </w:pPr>
            <w:r>
              <w:rPr>
                <w:rFonts w:hint="eastAsia" w:ascii="仿宋_GB2312" w:hAnsi="宋体" w:eastAsia="仿宋_GB2312"/>
                <w:sz w:val="28"/>
                <w:szCs w:val="28"/>
              </w:rPr>
              <w:t>0</w:t>
            </w:r>
          </w:p>
        </w:tc>
        <w:tc>
          <w:tcPr>
            <w:tcW w:w="2447" w:type="dxa"/>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sz w:val="28"/>
                <w:szCs w:val="28"/>
              </w:rPr>
            </w:pPr>
            <w:r>
              <w:rPr>
                <w:rFonts w:hint="eastAsia" w:ascii="仿宋_GB2312" w:hAnsi="宋体" w:eastAsia="仿宋_GB2312"/>
                <w:sz w:val="28"/>
                <w:szCs w:val="28"/>
              </w:rPr>
              <w:t>150</w:t>
            </w:r>
          </w:p>
        </w:tc>
        <w:tc>
          <w:tcPr>
            <w:tcW w:w="2123" w:type="dxa"/>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sz w:val="28"/>
                <w:szCs w:val="28"/>
              </w:rPr>
            </w:pPr>
            <w:r>
              <w:rPr>
                <w:rFonts w:hint="eastAsia" w:ascii="仿宋_GB2312" w:hAnsi="宋体" w:eastAsia="仿宋_GB2312"/>
                <w:sz w:val="28"/>
                <w:szCs w:val="28"/>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0" w:hRule="atLeast"/>
        </w:trPr>
        <w:tc>
          <w:tcPr>
            <w:tcW w:w="1796" w:type="dxa"/>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b/>
                <w:sz w:val="28"/>
                <w:szCs w:val="28"/>
              </w:rPr>
            </w:pPr>
            <w:r>
              <w:rPr>
                <w:rFonts w:hint="eastAsia" w:ascii="仿宋_GB2312" w:hAnsi="宋体" w:eastAsia="仿宋_GB2312"/>
                <w:b/>
                <w:sz w:val="28"/>
                <w:szCs w:val="28"/>
              </w:rPr>
              <w:t>合计（万元）</w:t>
            </w:r>
          </w:p>
        </w:tc>
        <w:tc>
          <w:tcPr>
            <w:tcW w:w="6726" w:type="dxa"/>
            <w:gridSpan w:val="3"/>
            <w:tcBorders>
              <w:top w:val="single" w:color="auto" w:sz="4" w:space="0"/>
              <w:left w:val="single" w:color="auto" w:sz="4" w:space="0"/>
              <w:bottom w:val="single" w:color="auto" w:sz="4" w:space="0"/>
              <w:right w:val="single" w:color="auto" w:sz="4" w:space="0"/>
            </w:tcBorders>
          </w:tcPr>
          <w:p>
            <w:pPr>
              <w:rPr>
                <w:rFonts w:ascii="仿宋_GB2312" w:hAnsi="宋体" w:eastAsia="仿宋_GB2312"/>
                <w:sz w:val="28"/>
                <w:szCs w:val="28"/>
              </w:rPr>
            </w:pPr>
            <w:r>
              <w:rPr>
                <w:rFonts w:hint="eastAsia" w:ascii="仿宋_GB2312" w:hAnsi="宋体" w:eastAsia="仿宋_GB2312"/>
                <w:sz w:val="28"/>
                <w:szCs w:val="28"/>
              </w:rPr>
              <w:t>壹佰伍拾万元（150万元）</w:t>
            </w:r>
          </w:p>
        </w:tc>
      </w:tr>
    </w:tbl>
    <w:p>
      <w:pPr>
        <w:rPr>
          <w:rFonts w:ascii="仿宋_GB2312" w:hAnsi="宋体" w:eastAsia="仿宋_GB2312"/>
          <w:sz w:val="24"/>
        </w:rPr>
      </w:pPr>
    </w:p>
    <w:p>
      <w:pPr>
        <w:rPr>
          <w:rFonts w:ascii="仿宋_GB2312" w:hAnsi="宋体" w:eastAsia="仿宋_GB2312"/>
          <w:sz w:val="24"/>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r>
        <w:rPr>
          <w:rFonts w:hint="eastAsia" w:ascii="仿宋_GB2312" w:eastAsia="仿宋_GB2312"/>
          <w:color w:val="000000"/>
          <w:sz w:val="32"/>
          <w:szCs w:val="32"/>
        </w:rPr>
        <w:t>附件2</w:t>
      </w: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jc w:val="center"/>
        <w:rPr>
          <w:rFonts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rPr>
        <w:t>上海圣乐藏实业有限公司</w:t>
      </w:r>
    </w:p>
    <w:p>
      <w:pPr>
        <w:jc w:val="center"/>
        <w:rPr>
          <w:rFonts w:ascii="仿宋_GB2312" w:hAnsi="宋体" w:eastAsia="仿宋_GB2312"/>
          <w:b/>
          <w:sz w:val="30"/>
          <w:szCs w:val="30"/>
        </w:rPr>
      </w:pPr>
      <w:r>
        <w:rPr>
          <w:rFonts w:hint="eastAsia" w:ascii="方正小标宋简体" w:hAnsi="方正小标宋简体" w:eastAsia="方正小标宋简体" w:cs="方正小标宋简体"/>
          <w:b/>
          <w:sz w:val="36"/>
          <w:szCs w:val="36"/>
        </w:rPr>
        <w:t>11·26高处坠落死亡事故人员伤亡情况</w:t>
      </w:r>
    </w:p>
    <w:p>
      <w:pPr>
        <w:rPr>
          <w:rFonts w:ascii="仿宋_GB2312" w:hAnsi="华文宋体" w:eastAsia="仿宋_GB2312"/>
          <w:b/>
          <w:sz w:val="28"/>
          <w:szCs w:val="28"/>
        </w:rPr>
      </w:pP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6"/>
        <w:gridCol w:w="739"/>
        <w:gridCol w:w="697"/>
        <w:gridCol w:w="1009"/>
        <w:gridCol w:w="1009"/>
        <w:gridCol w:w="2432"/>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6" w:type="dxa"/>
            <w:tcBorders>
              <w:top w:val="single" w:color="auto" w:sz="4" w:space="0"/>
              <w:left w:val="single" w:color="auto" w:sz="4" w:space="0"/>
              <w:bottom w:val="single" w:color="auto" w:sz="4" w:space="0"/>
              <w:right w:val="single" w:color="auto" w:sz="4" w:space="0"/>
            </w:tcBorders>
          </w:tcPr>
          <w:p>
            <w:pPr>
              <w:pStyle w:val="5"/>
              <w:spacing w:line="270" w:lineRule="atLeast"/>
              <w:ind w:firstLine="141" w:firstLineChars="50"/>
              <w:jc w:val="both"/>
              <w:rPr>
                <w:rFonts w:ascii="仿宋_GB2312" w:hAnsi="仿宋_GB2312" w:eastAsia="仿宋_GB2312" w:cs="仿宋_GB2312"/>
                <w:b/>
                <w:color w:val="333333"/>
                <w:sz w:val="28"/>
                <w:szCs w:val="28"/>
              </w:rPr>
            </w:pPr>
            <w:r>
              <w:rPr>
                <w:rFonts w:hint="eastAsia" w:ascii="仿宋_GB2312" w:hAnsi="仿宋_GB2312" w:eastAsia="仿宋_GB2312" w:cs="仿宋_GB2312"/>
                <w:b/>
                <w:sz w:val="28"/>
                <w:szCs w:val="28"/>
              </w:rPr>
              <w:t>姓 名</w:t>
            </w:r>
          </w:p>
        </w:tc>
        <w:tc>
          <w:tcPr>
            <w:tcW w:w="739" w:type="dxa"/>
            <w:tcBorders>
              <w:top w:val="single" w:color="auto" w:sz="4" w:space="0"/>
              <w:left w:val="single" w:color="auto" w:sz="4" w:space="0"/>
              <w:bottom w:val="single" w:color="auto" w:sz="4" w:space="0"/>
              <w:right w:val="single" w:color="auto" w:sz="4" w:space="0"/>
            </w:tcBorders>
          </w:tcPr>
          <w:p>
            <w:pPr>
              <w:pStyle w:val="5"/>
              <w:spacing w:line="270" w:lineRule="atLeast"/>
              <w:jc w:val="center"/>
              <w:rPr>
                <w:rFonts w:ascii="仿宋_GB2312" w:hAnsi="仿宋_GB2312" w:eastAsia="仿宋_GB2312" w:cs="仿宋_GB2312"/>
                <w:b/>
                <w:color w:val="333333"/>
                <w:sz w:val="28"/>
                <w:szCs w:val="28"/>
              </w:rPr>
            </w:pPr>
            <w:r>
              <w:rPr>
                <w:rFonts w:hint="eastAsia" w:ascii="仿宋_GB2312" w:hAnsi="仿宋_GB2312" w:eastAsia="仿宋_GB2312" w:cs="仿宋_GB2312"/>
                <w:b/>
                <w:sz w:val="28"/>
                <w:szCs w:val="28"/>
              </w:rPr>
              <w:t>性别</w:t>
            </w:r>
          </w:p>
        </w:tc>
        <w:tc>
          <w:tcPr>
            <w:tcW w:w="697" w:type="dxa"/>
            <w:tcBorders>
              <w:top w:val="single" w:color="auto" w:sz="4" w:space="0"/>
              <w:left w:val="single" w:color="auto" w:sz="4" w:space="0"/>
              <w:bottom w:val="single" w:color="auto" w:sz="4" w:space="0"/>
              <w:right w:val="single" w:color="auto" w:sz="4" w:space="0"/>
            </w:tcBorders>
          </w:tcPr>
          <w:p>
            <w:pPr>
              <w:pStyle w:val="5"/>
              <w:spacing w:line="270" w:lineRule="atLeast"/>
              <w:jc w:val="center"/>
              <w:rPr>
                <w:rFonts w:ascii="仿宋_GB2312" w:hAnsi="仿宋_GB2312" w:eastAsia="仿宋_GB2312" w:cs="仿宋_GB2312"/>
                <w:b/>
                <w:color w:val="333333"/>
                <w:sz w:val="28"/>
                <w:szCs w:val="28"/>
              </w:rPr>
            </w:pPr>
            <w:r>
              <w:rPr>
                <w:rFonts w:hint="eastAsia" w:ascii="仿宋_GB2312" w:hAnsi="仿宋_GB2312" w:eastAsia="仿宋_GB2312" w:cs="仿宋_GB2312"/>
                <w:b/>
                <w:sz w:val="28"/>
                <w:szCs w:val="28"/>
              </w:rPr>
              <w:t>年龄</w:t>
            </w:r>
          </w:p>
        </w:tc>
        <w:tc>
          <w:tcPr>
            <w:tcW w:w="1009" w:type="dxa"/>
            <w:tcBorders>
              <w:top w:val="single" w:color="auto" w:sz="4" w:space="0"/>
              <w:left w:val="single" w:color="auto" w:sz="4" w:space="0"/>
              <w:bottom w:val="single" w:color="auto" w:sz="4" w:space="0"/>
              <w:right w:val="single" w:color="auto" w:sz="4" w:space="0"/>
            </w:tcBorders>
          </w:tcPr>
          <w:p>
            <w:pPr>
              <w:pStyle w:val="5"/>
              <w:spacing w:line="270" w:lineRule="atLeast"/>
              <w:jc w:val="center"/>
              <w:rPr>
                <w:rFonts w:ascii="仿宋_GB2312" w:hAnsi="仿宋_GB2312" w:eastAsia="仿宋_GB2312" w:cs="仿宋_GB2312"/>
                <w:b/>
                <w:color w:val="333333"/>
                <w:sz w:val="28"/>
                <w:szCs w:val="28"/>
              </w:rPr>
            </w:pPr>
            <w:r>
              <w:rPr>
                <w:rFonts w:hint="eastAsia" w:ascii="仿宋_GB2312" w:hAnsi="仿宋_GB2312" w:eastAsia="仿宋_GB2312" w:cs="仿宋_GB2312"/>
                <w:b/>
                <w:sz w:val="28"/>
                <w:szCs w:val="28"/>
              </w:rPr>
              <w:t>工 种</w:t>
            </w:r>
          </w:p>
        </w:tc>
        <w:tc>
          <w:tcPr>
            <w:tcW w:w="1009" w:type="dxa"/>
            <w:tcBorders>
              <w:top w:val="single" w:color="auto" w:sz="4" w:space="0"/>
              <w:left w:val="single" w:color="auto" w:sz="4" w:space="0"/>
              <w:bottom w:val="single" w:color="auto" w:sz="4" w:space="0"/>
              <w:right w:val="single" w:color="auto" w:sz="4" w:space="0"/>
            </w:tcBorders>
          </w:tcPr>
          <w:p>
            <w:pPr>
              <w:pStyle w:val="5"/>
              <w:spacing w:line="270" w:lineRule="atLeast"/>
              <w:jc w:val="center"/>
              <w:rPr>
                <w:rFonts w:ascii="仿宋_GB2312" w:hAnsi="仿宋_GB2312" w:eastAsia="仿宋_GB2312" w:cs="仿宋_GB2312"/>
                <w:b/>
                <w:color w:val="333333"/>
                <w:sz w:val="28"/>
                <w:szCs w:val="28"/>
              </w:rPr>
            </w:pPr>
            <w:r>
              <w:rPr>
                <w:rFonts w:hint="eastAsia" w:ascii="仿宋_GB2312" w:hAnsi="仿宋_GB2312" w:eastAsia="仿宋_GB2312" w:cs="仿宋_GB2312"/>
                <w:b/>
                <w:sz w:val="28"/>
                <w:szCs w:val="28"/>
              </w:rPr>
              <w:t>籍 贯</w:t>
            </w:r>
          </w:p>
        </w:tc>
        <w:tc>
          <w:tcPr>
            <w:tcW w:w="2432" w:type="dxa"/>
            <w:tcBorders>
              <w:top w:val="single" w:color="auto" w:sz="4" w:space="0"/>
              <w:left w:val="single" w:color="auto" w:sz="4" w:space="0"/>
              <w:bottom w:val="single" w:color="auto" w:sz="4" w:space="0"/>
              <w:right w:val="single" w:color="auto" w:sz="4" w:space="0"/>
            </w:tcBorders>
          </w:tcPr>
          <w:p>
            <w:pPr>
              <w:pStyle w:val="5"/>
              <w:spacing w:line="270" w:lineRule="atLeast"/>
              <w:jc w:val="center"/>
              <w:rPr>
                <w:rFonts w:ascii="仿宋_GB2312" w:hAnsi="仿宋_GB2312" w:eastAsia="仿宋_GB2312" w:cs="仿宋_GB2312"/>
                <w:b/>
                <w:color w:val="333333"/>
                <w:sz w:val="28"/>
                <w:szCs w:val="28"/>
              </w:rPr>
            </w:pPr>
            <w:r>
              <w:rPr>
                <w:rFonts w:hint="eastAsia" w:ascii="仿宋_GB2312" w:hAnsi="仿宋_GB2312" w:eastAsia="仿宋_GB2312" w:cs="仿宋_GB2312"/>
                <w:b/>
                <w:sz w:val="28"/>
                <w:szCs w:val="28"/>
              </w:rPr>
              <w:t>家庭地址</w:t>
            </w:r>
          </w:p>
        </w:tc>
        <w:tc>
          <w:tcPr>
            <w:tcW w:w="1420" w:type="dxa"/>
            <w:tcBorders>
              <w:top w:val="single" w:color="auto" w:sz="4" w:space="0"/>
              <w:left w:val="single" w:color="auto" w:sz="4" w:space="0"/>
              <w:bottom w:val="single" w:color="auto" w:sz="4" w:space="0"/>
              <w:right w:val="single" w:color="auto" w:sz="4" w:space="0"/>
            </w:tcBorders>
          </w:tcPr>
          <w:p>
            <w:pPr>
              <w:pStyle w:val="5"/>
              <w:spacing w:line="270" w:lineRule="atLeast"/>
              <w:jc w:val="both"/>
              <w:rPr>
                <w:rFonts w:ascii="仿宋_GB2312" w:hAnsi="仿宋_GB2312" w:eastAsia="仿宋_GB2312" w:cs="仿宋_GB2312"/>
                <w:b/>
                <w:color w:val="333333"/>
                <w:sz w:val="28"/>
                <w:szCs w:val="28"/>
              </w:rPr>
            </w:pPr>
            <w:r>
              <w:rPr>
                <w:rFonts w:hint="eastAsia" w:ascii="仿宋_GB2312" w:hAnsi="仿宋_GB2312" w:eastAsia="仿宋_GB2312" w:cs="仿宋_GB2312"/>
                <w:b/>
                <w:sz w:val="28"/>
                <w:szCs w:val="28"/>
              </w:rPr>
              <w:t>伤害程度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2" w:hRule="atLeast"/>
        </w:trPr>
        <w:tc>
          <w:tcPr>
            <w:tcW w:w="1216" w:type="dxa"/>
            <w:tcBorders>
              <w:top w:val="single" w:color="auto" w:sz="4" w:space="0"/>
              <w:left w:val="single" w:color="auto" w:sz="4" w:space="0"/>
              <w:bottom w:val="single" w:color="auto" w:sz="4" w:space="0"/>
              <w:right w:val="single" w:color="auto" w:sz="4" w:space="0"/>
            </w:tcBorders>
          </w:tcPr>
          <w:p>
            <w:pPr>
              <w:rPr>
                <w:rFonts w:hint="eastAsia" w:ascii="仿宋_GB2312" w:eastAsia="仿宋_GB2312"/>
                <w:sz w:val="32"/>
                <w:szCs w:val="32"/>
                <w:lang w:eastAsia="zh-CN"/>
              </w:rPr>
            </w:pPr>
            <w:r>
              <w:rPr>
                <w:rFonts w:hint="eastAsia" w:ascii="仿宋_GB2312" w:eastAsia="仿宋_GB2312"/>
                <w:sz w:val="32"/>
                <w:szCs w:val="32"/>
                <w:lang w:eastAsia="zh-CN"/>
              </w:rPr>
              <w:t>甘某某</w:t>
            </w:r>
          </w:p>
        </w:tc>
        <w:tc>
          <w:tcPr>
            <w:tcW w:w="739" w:type="dxa"/>
            <w:tcBorders>
              <w:top w:val="single" w:color="auto" w:sz="4" w:space="0"/>
              <w:left w:val="single" w:color="auto" w:sz="4" w:space="0"/>
              <w:bottom w:val="single" w:color="auto" w:sz="4" w:space="0"/>
              <w:right w:val="single" w:color="auto" w:sz="4" w:space="0"/>
            </w:tcBorders>
          </w:tcPr>
          <w:p>
            <w:pPr>
              <w:rPr>
                <w:rFonts w:ascii="仿宋_GB2312" w:hAnsi="宋体" w:eastAsia="仿宋_GB2312"/>
                <w:sz w:val="28"/>
                <w:szCs w:val="28"/>
              </w:rPr>
            </w:pPr>
            <w:r>
              <w:rPr>
                <w:rFonts w:hint="eastAsia" w:ascii="仿宋_GB2312" w:hAnsi="宋体" w:eastAsia="仿宋_GB2312"/>
                <w:sz w:val="28"/>
                <w:szCs w:val="28"/>
              </w:rPr>
              <w:t>男</w:t>
            </w:r>
          </w:p>
        </w:tc>
        <w:tc>
          <w:tcPr>
            <w:tcW w:w="697" w:type="dxa"/>
            <w:tcBorders>
              <w:top w:val="single" w:color="auto" w:sz="4" w:space="0"/>
              <w:left w:val="single" w:color="auto" w:sz="4" w:space="0"/>
              <w:bottom w:val="single" w:color="auto" w:sz="4" w:space="0"/>
              <w:right w:val="single" w:color="auto" w:sz="4" w:space="0"/>
            </w:tcBorders>
          </w:tcPr>
          <w:p>
            <w:pPr>
              <w:rPr>
                <w:rFonts w:ascii="仿宋_GB2312" w:hAnsi="宋体" w:eastAsia="仿宋_GB2312"/>
                <w:sz w:val="28"/>
                <w:szCs w:val="28"/>
              </w:rPr>
            </w:pPr>
            <w:r>
              <w:rPr>
                <w:rFonts w:hint="eastAsia" w:ascii="仿宋_GB2312" w:hAnsi="宋体" w:eastAsia="仿宋_GB2312"/>
                <w:sz w:val="28"/>
                <w:szCs w:val="28"/>
              </w:rPr>
              <w:t>30岁</w:t>
            </w:r>
          </w:p>
        </w:tc>
        <w:tc>
          <w:tcPr>
            <w:tcW w:w="1009" w:type="dxa"/>
            <w:tcBorders>
              <w:top w:val="single" w:color="auto" w:sz="4" w:space="0"/>
              <w:left w:val="single" w:color="auto" w:sz="4" w:space="0"/>
              <w:bottom w:val="single" w:color="auto" w:sz="4" w:space="0"/>
              <w:right w:val="single" w:color="auto" w:sz="4" w:space="0"/>
            </w:tcBorders>
          </w:tcPr>
          <w:p>
            <w:pPr>
              <w:rPr>
                <w:rFonts w:ascii="仿宋_GB2312" w:hAnsi="宋体" w:eastAsia="仿宋_GB2312"/>
                <w:sz w:val="28"/>
                <w:szCs w:val="28"/>
              </w:rPr>
            </w:pPr>
            <w:r>
              <w:rPr>
                <w:rFonts w:hint="eastAsia" w:ascii="仿宋_GB2312" w:hAnsi="宋体" w:eastAsia="仿宋_GB2312"/>
                <w:sz w:val="28"/>
                <w:szCs w:val="28"/>
              </w:rPr>
              <w:t>材料员</w:t>
            </w:r>
          </w:p>
        </w:tc>
        <w:tc>
          <w:tcPr>
            <w:tcW w:w="1009" w:type="dxa"/>
            <w:tcBorders>
              <w:top w:val="single" w:color="auto" w:sz="4" w:space="0"/>
              <w:left w:val="single" w:color="auto" w:sz="4" w:space="0"/>
              <w:bottom w:val="single" w:color="auto" w:sz="4" w:space="0"/>
              <w:right w:val="single" w:color="auto" w:sz="4" w:space="0"/>
            </w:tcBorders>
          </w:tcPr>
          <w:p>
            <w:pPr>
              <w:rPr>
                <w:rFonts w:ascii="仿宋_GB2312" w:hAnsi="宋体" w:eastAsia="仿宋_GB2312"/>
                <w:sz w:val="28"/>
                <w:szCs w:val="28"/>
              </w:rPr>
            </w:pPr>
            <w:r>
              <w:rPr>
                <w:rFonts w:hint="eastAsia" w:ascii="仿宋_GB2312" w:eastAsia="仿宋_GB2312"/>
                <w:sz w:val="32"/>
                <w:szCs w:val="32"/>
              </w:rPr>
              <w:t>贵州玉屏</w:t>
            </w:r>
          </w:p>
        </w:tc>
        <w:tc>
          <w:tcPr>
            <w:tcW w:w="2432" w:type="dxa"/>
            <w:tcBorders>
              <w:top w:val="single" w:color="auto" w:sz="4" w:space="0"/>
              <w:left w:val="single" w:color="auto" w:sz="4" w:space="0"/>
              <w:bottom w:val="single" w:color="auto" w:sz="4" w:space="0"/>
              <w:right w:val="single" w:color="auto" w:sz="4" w:space="0"/>
            </w:tcBorders>
          </w:tcPr>
          <w:p>
            <w:pPr>
              <w:rPr>
                <w:rFonts w:hint="eastAsia" w:ascii="仿宋_GB2312" w:hAnsi="宋体" w:eastAsia="仿宋_GB2312"/>
                <w:sz w:val="28"/>
                <w:szCs w:val="28"/>
                <w:lang w:eastAsia="zh-CN"/>
              </w:rPr>
            </w:pPr>
            <w:r>
              <w:rPr>
                <w:rFonts w:hint="eastAsia" w:ascii="仿宋_GB2312" w:hAnsi="宋体" w:eastAsia="仿宋_GB2312"/>
                <w:sz w:val="28"/>
                <w:szCs w:val="28"/>
                <w:lang w:eastAsia="zh-CN"/>
              </w:rPr>
              <w:t>贵州省玉屏侗族自治县XX镇XX村XX号</w:t>
            </w:r>
          </w:p>
        </w:tc>
        <w:tc>
          <w:tcPr>
            <w:tcW w:w="1420" w:type="dxa"/>
            <w:tcBorders>
              <w:top w:val="single" w:color="auto" w:sz="4" w:space="0"/>
              <w:left w:val="single" w:color="auto" w:sz="4" w:space="0"/>
              <w:bottom w:val="single" w:color="auto" w:sz="4" w:space="0"/>
              <w:right w:val="single" w:color="auto" w:sz="4" w:space="0"/>
            </w:tcBorders>
          </w:tcPr>
          <w:p>
            <w:pPr>
              <w:rPr>
                <w:rFonts w:ascii="仿宋_GB2312" w:hAnsi="宋体" w:eastAsia="仿宋_GB2312"/>
                <w:sz w:val="28"/>
                <w:szCs w:val="28"/>
              </w:rPr>
            </w:pPr>
            <w:r>
              <w:rPr>
                <w:rFonts w:hint="eastAsia" w:ascii="仿宋_GB2312" w:hAnsi="宋体" w:eastAsia="仿宋_GB2312"/>
                <w:sz w:val="28"/>
                <w:szCs w:val="28"/>
              </w:rPr>
              <w:t>死  亡（</w:t>
            </w:r>
            <w:r>
              <w:rPr>
                <w:rFonts w:hint="eastAsia" w:ascii="仿宋_GB2312" w:hAnsi="仿宋" w:eastAsia="仿宋_GB2312" w:cs="仿宋"/>
                <w:sz w:val="32"/>
              </w:rPr>
              <w:t>创伤性脑颅，跌倒</w:t>
            </w:r>
            <w:r>
              <w:rPr>
                <w:rFonts w:hint="eastAsia" w:ascii="仿宋_GB2312" w:hAnsi="宋体" w:eastAsia="仿宋_GB2312"/>
                <w:sz w:val="28"/>
                <w:szCs w:val="28"/>
              </w:rPr>
              <w:t>）</w:t>
            </w:r>
          </w:p>
        </w:tc>
      </w:tr>
    </w:tbl>
    <w:p>
      <w:pPr>
        <w:ind w:firstLine="560" w:firstLineChars="200"/>
        <w:rPr>
          <w:rFonts w:hint="eastAsia" w:eastAsia="宋体"/>
          <w:sz w:val="28"/>
          <w:szCs w:val="28"/>
          <w:lang w:eastAsia="zh-CN"/>
        </w:rPr>
      </w:pPr>
      <w:r>
        <w:rPr>
          <w:rFonts w:hint="eastAsia"/>
          <w:sz w:val="28"/>
          <w:szCs w:val="28"/>
        </w:rPr>
        <w:t>身份证：</w:t>
      </w:r>
      <w:r>
        <w:rPr>
          <w:rFonts w:hint="eastAsia"/>
          <w:sz w:val="28"/>
          <w:szCs w:val="28"/>
          <w:lang w:eastAsia="zh-CN"/>
        </w:rPr>
        <w:t>52222319900730XXXX</w:t>
      </w: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p>
    <w:p>
      <w:pPr>
        <w:pStyle w:val="5"/>
        <w:widowControl/>
        <w:shd w:val="clear" w:color="auto" w:fill="FFFFFF"/>
        <w:spacing w:beforeAutospacing="0" w:afterAutospacing="0" w:line="560" w:lineRule="exact"/>
        <w:jc w:val="both"/>
        <w:rPr>
          <w:rFonts w:ascii="仿宋_GB2312" w:eastAsia="仿宋_GB2312"/>
          <w:color w:val="000000"/>
          <w:sz w:val="32"/>
          <w:szCs w:val="32"/>
        </w:rPr>
      </w:pPr>
      <w:r>
        <w:rPr>
          <w:sz w:val="32"/>
          <w:szCs w:val="32"/>
        </w:rPr>
        <w:drawing>
          <wp:anchor distT="0" distB="0" distL="114300" distR="114300" simplePos="0" relativeHeight="251663360" behindDoc="0" locked="0" layoutInCell="1" allowOverlap="1">
            <wp:simplePos x="0" y="0"/>
            <wp:positionH relativeFrom="column">
              <wp:posOffset>0</wp:posOffset>
            </wp:positionH>
            <wp:positionV relativeFrom="paragraph">
              <wp:posOffset>608965</wp:posOffset>
            </wp:positionV>
            <wp:extent cx="5597525" cy="7539355"/>
            <wp:effectExtent l="0" t="0" r="3175" b="4445"/>
            <wp:wrapTopAndBottom/>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 cstate="print"/>
                    <a:stretch>
                      <a:fillRect/>
                    </a:stretch>
                  </pic:blipFill>
                  <pic:spPr>
                    <a:xfrm>
                      <a:off x="0" y="0"/>
                      <a:ext cx="5597525" cy="7539355"/>
                    </a:xfrm>
                    <a:prstGeom prst="rect">
                      <a:avLst/>
                    </a:prstGeom>
                    <a:noFill/>
                    <a:ln w="9525">
                      <a:noFill/>
                    </a:ln>
                  </pic:spPr>
                </pic:pic>
              </a:graphicData>
            </a:graphic>
          </wp:anchor>
        </w:drawing>
      </w:r>
      <w:r>
        <w:rPr>
          <w:rFonts w:hint="eastAsia" w:ascii="仿宋_GB2312" w:eastAsia="仿宋_GB2312"/>
          <w:color w:val="000000"/>
          <w:sz w:val="32"/>
          <w:szCs w:val="32"/>
        </w:rPr>
        <w:t>附件3</w:t>
      </w:r>
    </w:p>
    <w:p>
      <w:pPr>
        <w:pStyle w:val="5"/>
        <w:widowControl/>
        <w:shd w:val="clear" w:color="auto" w:fill="FFFFFF"/>
        <w:spacing w:beforeAutospacing="0" w:afterAutospacing="0" w:line="560" w:lineRule="exact"/>
        <w:jc w:val="both"/>
        <w:rPr>
          <w:rFonts w:ascii="仿宋_GB2312" w:eastAsia="仿宋_GB2312"/>
          <w:color w:val="000000"/>
          <w:sz w:val="32"/>
          <w:szCs w:val="32"/>
        </w:rPr>
      </w:pPr>
      <w:r>
        <w:drawing>
          <wp:anchor distT="0" distB="0" distL="114300" distR="114300" simplePos="0" relativeHeight="251664384" behindDoc="0" locked="0" layoutInCell="1" allowOverlap="1">
            <wp:simplePos x="0" y="0"/>
            <wp:positionH relativeFrom="column">
              <wp:posOffset>-118110</wp:posOffset>
            </wp:positionH>
            <wp:positionV relativeFrom="paragraph">
              <wp:posOffset>120650</wp:posOffset>
            </wp:positionV>
            <wp:extent cx="5633085" cy="7959725"/>
            <wp:effectExtent l="0" t="0" r="5715" b="3175"/>
            <wp:wrapTopAndBottom/>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 cstate="print"/>
                    <a:stretch>
                      <a:fillRect/>
                    </a:stretch>
                  </pic:blipFill>
                  <pic:spPr>
                    <a:xfrm>
                      <a:off x="0" y="0"/>
                      <a:ext cx="5633085" cy="7959725"/>
                    </a:xfrm>
                    <a:prstGeom prst="rect">
                      <a:avLst/>
                    </a:prstGeom>
                    <a:noFill/>
                    <a:ln w="9525">
                      <a:noFill/>
                    </a:ln>
                  </pic:spPr>
                </pic:pic>
              </a:graphicData>
            </a:graphic>
          </wp:anchor>
        </w:drawing>
      </w:r>
    </w:p>
    <w:p/>
    <w:sectPr>
      <w:footerReference r:id="rId3" w:type="default"/>
      <w:pgSz w:w="11906" w:h="16838"/>
      <w:pgMar w:top="2098" w:right="1474" w:bottom="1984"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宋体">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posOffset>5302885</wp:posOffset>
              </wp:positionH>
              <wp:positionV relativeFrom="paragraph">
                <wp:posOffset>-107315</wp:posOffset>
              </wp:positionV>
              <wp:extent cx="313690" cy="253365"/>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313690" cy="253365"/>
                      </a:xfrm>
                      <a:prstGeom prst="rect">
                        <a:avLst/>
                      </a:prstGeom>
                      <a:noFill/>
                      <a:ln w="6350">
                        <a:noFill/>
                      </a:ln>
                      <a:effectLst/>
                    </wps:spPr>
                    <wps:txbx>
                      <w:txbxContent>
                        <w:p>
                          <w:pPr>
                            <w:pStyle w:val="3"/>
                            <w:rPr>
                              <w:rFonts w:ascii="Times New Roman" w:hAnsi="Times New Roman" w:eastAsia="宋体"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- 8 -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17.55pt;margin-top:-8.45pt;height:19.95pt;width:24.7pt;mso-position-horizontal-relative:margin;z-index:251658240;mso-width-relative:page;mso-height-relative:page;" filled="f" stroked="f" coordsize="21600,21600" o:gfxdata="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kH&#10;9vzaAAAACgEAAA8AAAAAAAAAAQAgAAAAIgAAAGRycy9kb3ducmV2LnhtbFBLAQIUABQAAAAIAIdO&#10;4kCRqe3oIQIAACMEAAAOAAAAAAAAAAEAIAAAACkBAABkcnMvZTJvRG9jLnhtbFBLBQYAAAAABgAG&#10;AFkBAAC8BQAAAAA=&#10;">
              <v:fill on="f" focussize="0,0"/>
              <v:stroke on="f" weight="0.5pt"/>
              <v:imagedata o:title=""/>
              <o:lock v:ext="edit" aspectratio="f"/>
              <v:textbox inset="0mm,0mm,0mm,0mm">
                <w:txbxContent>
                  <w:p>
                    <w:pPr>
                      <w:pStyle w:val="3"/>
                      <w:rPr>
                        <w:rFonts w:ascii="Times New Roman" w:hAnsi="Times New Roman" w:eastAsia="宋体"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- 8 -</w:t>
                    </w:r>
                    <w:r>
                      <w:rPr>
                        <w:rFonts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6EF"/>
    <w:rsid w:val="00034EA3"/>
    <w:rsid w:val="0007261F"/>
    <w:rsid w:val="000B726C"/>
    <w:rsid w:val="000F5EBF"/>
    <w:rsid w:val="00111423"/>
    <w:rsid w:val="00131661"/>
    <w:rsid w:val="00191174"/>
    <w:rsid w:val="001D03D5"/>
    <w:rsid w:val="001D1DB6"/>
    <w:rsid w:val="001D4645"/>
    <w:rsid w:val="00206178"/>
    <w:rsid w:val="00237E92"/>
    <w:rsid w:val="002414EF"/>
    <w:rsid w:val="002809B1"/>
    <w:rsid w:val="002B1003"/>
    <w:rsid w:val="002C1D04"/>
    <w:rsid w:val="002C359D"/>
    <w:rsid w:val="002C6B52"/>
    <w:rsid w:val="002D28A8"/>
    <w:rsid w:val="002E4ED8"/>
    <w:rsid w:val="00367E3A"/>
    <w:rsid w:val="003B282A"/>
    <w:rsid w:val="00451DCA"/>
    <w:rsid w:val="004946E2"/>
    <w:rsid w:val="004B54BA"/>
    <w:rsid w:val="0058558C"/>
    <w:rsid w:val="005A4597"/>
    <w:rsid w:val="005C17EC"/>
    <w:rsid w:val="005C26A5"/>
    <w:rsid w:val="005E14DF"/>
    <w:rsid w:val="006148B0"/>
    <w:rsid w:val="006E678A"/>
    <w:rsid w:val="006E6C68"/>
    <w:rsid w:val="007001DD"/>
    <w:rsid w:val="00710934"/>
    <w:rsid w:val="00752F5C"/>
    <w:rsid w:val="00770D46"/>
    <w:rsid w:val="0078189D"/>
    <w:rsid w:val="00851A24"/>
    <w:rsid w:val="008E210B"/>
    <w:rsid w:val="008F2546"/>
    <w:rsid w:val="00921DFB"/>
    <w:rsid w:val="009529B7"/>
    <w:rsid w:val="009B0B71"/>
    <w:rsid w:val="009B40B9"/>
    <w:rsid w:val="009C582C"/>
    <w:rsid w:val="009C5A16"/>
    <w:rsid w:val="00A137FA"/>
    <w:rsid w:val="00A13C6A"/>
    <w:rsid w:val="00A366EF"/>
    <w:rsid w:val="00A62D37"/>
    <w:rsid w:val="00A65E5E"/>
    <w:rsid w:val="00A94A57"/>
    <w:rsid w:val="00AA418A"/>
    <w:rsid w:val="00AB43BC"/>
    <w:rsid w:val="00AC1EC4"/>
    <w:rsid w:val="00B10989"/>
    <w:rsid w:val="00B30002"/>
    <w:rsid w:val="00B46031"/>
    <w:rsid w:val="00B6185E"/>
    <w:rsid w:val="00BA47D1"/>
    <w:rsid w:val="00BC0B51"/>
    <w:rsid w:val="00BE52F2"/>
    <w:rsid w:val="00C1627D"/>
    <w:rsid w:val="00C513AA"/>
    <w:rsid w:val="00CB4658"/>
    <w:rsid w:val="00CC31E9"/>
    <w:rsid w:val="00CF19FC"/>
    <w:rsid w:val="00D459A8"/>
    <w:rsid w:val="00D6259B"/>
    <w:rsid w:val="00D626BB"/>
    <w:rsid w:val="00D67D15"/>
    <w:rsid w:val="00E038EC"/>
    <w:rsid w:val="00E42539"/>
    <w:rsid w:val="00EC29D3"/>
    <w:rsid w:val="00ED045B"/>
    <w:rsid w:val="00EE1707"/>
    <w:rsid w:val="00F707C2"/>
    <w:rsid w:val="00F9029F"/>
    <w:rsid w:val="00F91301"/>
    <w:rsid w:val="00F92749"/>
    <w:rsid w:val="00FC3D60"/>
    <w:rsid w:val="00FD4970"/>
    <w:rsid w:val="01C16D28"/>
    <w:rsid w:val="01FA1041"/>
    <w:rsid w:val="02431DFC"/>
    <w:rsid w:val="02882232"/>
    <w:rsid w:val="03D80EA8"/>
    <w:rsid w:val="0439391E"/>
    <w:rsid w:val="06D20E08"/>
    <w:rsid w:val="0AD4342A"/>
    <w:rsid w:val="0D0C6327"/>
    <w:rsid w:val="0DB8723C"/>
    <w:rsid w:val="0E0D38D9"/>
    <w:rsid w:val="0EBB7912"/>
    <w:rsid w:val="0F7F4F1F"/>
    <w:rsid w:val="12BE1340"/>
    <w:rsid w:val="12CB235B"/>
    <w:rsid w:val="132A4DE2"/>
    <w:rsid w:val="141F0CD9"/>
    <w:rsid w:val="147E11F6"/>
    <w:rsid w:val="153578B3"/>
    <w:rsid w:val="19150BF4"/>
    <w:rsid w:val="19734118"/>
    <w:rsid w:val="1A4A5BD1"/>
    <w:rsid w:val="1AB46231"/>
    <w:rsid w:val="1C1B412D"/>
    <w:rsid w:val="1DC642CA"/>
    <w:rsid w:val="1F1D4E12"/>
    <w:rsid w:val="1F524559"/>
    <w:rsid w:val="20347DF6"/>
    <w:rsid w:val="2068310A"/>
    <w:rsid w:val="22365DB9"/>
    <w:rsid w:val="224F01C3"/>
    <w:rsid w:val="22F34082"/>
    <w:rsid w:val="2373615D"/>
    <w:rsid w:val="2388221D"/>
    <w:rsid w:val="23C40AB9"/>
    <w:rsid w:val="24031E27"/>
    <w:rsid w:val="275155A6"/>
    <w:rsid w:val="27C11E28"/>
    <w:rsid w:val="28B020A6"/>
    <w:rsid w:val="294B3F83"/>
    <w:rsid w:val="2A341793"/>
    <w:rsid w:val="2A817F61"/>
    <w:rsid w:val="2B042AAD"/>
    <w:rsid w:val="2B282363"/>
    <w:rsid w:val="2B297CE9"/>
    <w:rsid w:val="2B2B0D26"/>
    <w:rsid w:val="2C2F4CCD"/>
    <w:rsid w:val="2C991CBE"/>
    <w:rsid w:val="2DFB4239"/>
    <w:rsid w:val="2F79707B"/>
    <w:rsid w:val="32875E11"/>
    <w:rsid w:val="348C0986"/>
    <w:rsid w:val="3529052D"/>
    <w:rsid w:val="35C271B1"/>
    <w:rsid w:val="363D3DE3"/>
    <w:rsid w:val="36470CBB"/>
    <w:rsid w:val="364D0DB0"/>
    <w:rsid w:val="368A35DE"/>
    <w:rsid w:val="37DF03EA"/>
    <w:rsid w:val="385E2CA3"/>
    <w:rsid w:val="38D40668"/>
    <w:rsid w:val="3BA0328C"/>
    <w:rsid w:val="3BE34FBD"/>
    <w:rsid w:val="3C371822"/>
    <w:rsid w:val="3C663A25"/>
    <w:rsid w:val="3C850AC4"/>
    <w:rsid w:val="3D6F70C2"/>
    <w:rsid w:val="401C4CF3"/>
    <w:rsid w:val="4306097F"/>
    <w:rsid w:val="43321DA9"/>
    <w:rsid w:val="438F3CAA"/>
    <w:rsid w:val="449B71F9"/>
    <w:rsid w:val="456A76C4"/>
    <w:rsid w:val="45E7064B"/>
    <w:rsid w:val="46583090"/>
    <w:rsid w:val="46CA6571"/>
    <w:rsid w:val="477669DA"/>
    <w:rsid w:val="482D20F3"/>
    <w:rsid w:val="482F2B21"/>
    <w:rsid w:val="48D46C64"/>
    <w:rsid w:val="48FA4373"/>
    <w:rsid w:val="492B460C"/>
    <w:rsid w:val="49490350"/>
    <w:rsid w:val="49E5207A"/>
    <w:rsid w:val="49E63DA3"/>
    <w:rsid w:val="4AD73490"/>
    <w:rsid w:val="4B2F3AA3"/>
    <w:rsid w:val="4BEE6914"/>
    <w:rsid w:val="4E8D642D"/>
    <w:rsid w:val="4EA06DA2"/>
    <w:rsid w:val="505F6688"/>
    <w:rsid w:val="510C1BF7"/>
    <w:rsid w:val="514B1CD1"/>
    <w:rsid w:val="53B553F5"/>
    <w:rsid w:val="53DF25A8"/>
    <w:rsid w:val="542F1638"/>
    <w:rsid w:val="55D80874"/>
    <w:rsid w:val="568A5222"/>
    <w:rsid w:val="56A91F10"/>
    <w:rsid w:val="56E4073E"/>
    <w:rsid w:val="57131757"/>
    <w:rsid w:val="57827910"/>
    <w:rsid w:val="5AA52590"/>
    <w:rsid w:val="5AB27BCA"/>
    <w:rsid w:val="5BA303A3"/>
    <w:rsid w:val="5C6B2BAC"/>
    <w:rsid w:val="5D0454C3"/>
    <w:rsid w:val="5D07788B"/>
    <w:rsid w:val="5F0915F7"/>
    <w:rsid w:val="606A7765"/>
    <w:rsid w:val="60995E84"/>
    <w:rsid w:val="61B45683"/>
    <w:rsid w:val="63CD7AC9"/>
    <w:rsid w:val="63DA51B9"/>
    <w:rsid w:val="64D730DE"/>
    <w:rsid w:val="65BB19E6"/>
    <w:rsid w:val="65CA57D3"/>
    <w:rsid w:val="660B409E"/>
    <w:rsid w:val="67CB5CAC"/>
    <w:rsid w:val="6B824517"/>
    <w:rsid w:val="6CB01ED4"/>
    <w:rsid w:val="6D2D286E"/>
    <w:rsid w:val="6DAD6A82"/>
    <w:rsid w:val="6E7600E1"/>
    <w:rsid w:val="6ECC1582"/>
    <w:rsid w:val="6F8D5416"/>
    <w:rsid w:val="706E0C7B"/>
    <w:rsid w:val="719435CD"/>
    <w:rsid w:val="71B26B73"/>
    <w:rsid w:val="72B32170"/>
    <w:rsid w:val="730D0D89"/>
    <w:rsid w:val="7313050C"/>
    <w:rsid w:val="73351DF6"/>
    <w:rsid w:val="75CE5535"/>
    <w:rsid w:val="7675199C"/>
    <w:rsid w:val="77913434"/>
    <w:rsid w:val="77D47085"/>
    <w:rsid w:val="787F1FDB"/>
    <w:rsid w:val="78940606"/>
    <w:rsid w:val="79BA5B65"/>
    <w:rsid w:val="79D51617"/>
    <w:rsid w:val="7C60610F"/>
    <w:rsid w:val="7C676CBD"/>
    <w:rsid w:val="7E993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qFormat/>
    <w:uiPriority w:val="0"/>
    <w:rPr>
      <w:rFonts w:ascii="仿宋_GB2312" w:eastAsia="仿宋_GB2312"/>
      <w:sz w:val="28"/>
      <w:szCs w:val="20"/>
    </w:rPr>
  </w:style>
  <w:style w:type="paragraph" w:styleId="3">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spacing w:beforeAutospacing="1" w:afterAutospacing="1"/>
      <w:jc w:val="left"/>
    </w:pPr>
    <w:rPr>
      <w:rFonts w:asciiTheme="minorHAnsi" w:hAnsiTheme="minorHAnsi" w:eastAsiaTheme="minorEastAsia"/>
      <w:kern w:val="0"/>
      <w:sz w:val="24"/>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
    <w:name w:val="页眉 Char"/>
    <w:basedOn w:val="6"/>
    <w:link w:val="4"/>
    <w:qFormat/>
    <w:uiPriority w:val="99"/>
    <w:rPr>
      <w:sz w:val="18"/>
      <w:szCs w:val="18"/>
    </w:rPr>
  </w:style>
  <w:style w:type="character" w:customStyle="1" w:styleId="10">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39E628-417C-4DBF-83C4-2525F589136B}">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26</Pages>
  <Words>897</Words>
  <Characters>5116</Characters>
  <Lines>42</Lines>
  <Paragraphs>12</Paragraphs>
  <TotalTime>19</TotalTime>
  <ScaleCrop>false</ScaleCrop>
  <LinksUpToDate>false</LinksUpToDate>
  <CharactersWithSpaces>6001</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2020-12-01T06:52:00Z</dcterms:created>
  <dc:creator>LENOVO</dc:creator>
  <cp:lastModifiedBy>Administrator</cp:lastModifiedBy>
  <cp:lastPrinted>2021-01-29T08:05:00Z</cp:lastPrinted>
  <dcterms:modified xsi:type="dcterms:W3CDTF">2021-09-07T08:45:31Z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