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firstLine="567"/>
        <w:rPr>
          <w:rFonts w:hint="default" w:ascii="仿宋_GB2312"/>
          <w:lang w:val="en-US"/>
        </w:rPr>
      </w:pPr>
      <w:r>
        <w:rPr>
          <w:rFonts w:hint="eastAsia" w:ascii="仿宋_GB2312"/>
        </w:rPr>
        <mc:AlternateContent>
          <mc:Choice Requires="wps">
            <w:drawing>
              <wp:anchor distT="0" distB="0" distL="114300" distR="114300" simplePos="0" relativeHeight="25165824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6" name="矩形 26" descr="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alt="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style="position:absolute;left:0pt;margin-left:-10pt;margin-top:10pt;height:5pt;width:5pt;mso-position-horizontal-relative:page;mso-position-vertical-relative:page;visibility:hidden;z-index:251658240;mso-width-relative:page;mso-height-relative:page;" fillcolor="#FFFFFF" filled="t" stroked="t" coordsize="21600,21600" o:allowincell="f" o:gfxdata="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">
                <v:fill on="t" focussize="0,0"/>
                <v:stroke color="#000000" joinstyle="miter"/>
                <v:imagedata o:title=""/>
                <o:lock v:ext="edit" aspectratio="f"/>
                <v:textbox>
                  <w:txbxContent>
                    <w:p>
                      <w:pPr>
                        <w:jc w:val="center"/>
                      </w:pPr>
                    </w:p>
                  </w:txbxContent>
                </v:textbox>
              </v:rect>
            </w:pict>
          </mc:Fallback>
        </mc:AlternateContent>
      </w:r>
    </w:p>
    <w:p>
      <w:pPr>
        <w:keepNext w:val="0"/>
        <w:keepLines w:val="0"/>
        <w:pageBreakBefore w:val="0"/>
        <w:widowControl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sz w:val="44"/>
          <w:szCs w:val="21"/>
          <w:shd w:val="clear" w:color="auto" w:fill="FFFFFF"/>
          <w:lang w:eastAsia="zh-CN"/>
        </w:rPr>
      </w:pPr>
      <w:bookmarkStart w:id="0" w:name="_GoBack"/>
      <w:r>
        <w:rPr>
          <w:rFonts w:hint="eastAsia" w:ascii="方正小标宋简体" w:hAnsi="Arial" w:eastAsia="方正小标宋简体" w:cs="Arial"/>
          <w:sz w:val="44"/>
          <w:szCs w:val="21"/>
          <w:shd w:val="clear" w:color="auto" w:fill="FFFFFF"/>
          <w:lang w:eastAsia="zh-CN"/>
        </w:rPr>
        <w:t>关于“</w:t>
      </w:r>
      <w:r>
        <w:rPr>
          <w:rFonts w:hint="eastAsia" w:ascii="方正小标宋简体" w:hAnsi="Arial" w:eastAsia="方正小标宋简体" w:cs="Arial"/>
          <w:sz w:val="44"/>
          <w:szCs w:val="21"/>
          <w:shd w:val="clear" w:color="auto" w:fill="FFFFFF"/>
          <w:lang w:val="en-US" w:eastAsia="zh-CN"/>
        </w:rPr>
        <w:t>9</w:t>
      </w:r>
      <w:r>
        <w:rPr>
          <w:rFonts w:hint="eastAsia" w:ascii="方正小标宋简体" w:hAnsi="Arial" w:eastAsia="方正小标宋简体" w:cs="Arial"/>
          <w:sz w:val="44"/>
          <w:szCs w:val="21"/>
          <w:shd w:val="clear" w:color="auto" w:fill="FFFFFF"/>
          <w:lang w:eastAsia="zh-CN"/>
        </w:rPr>
        <w:t>·</w:t>
      </w:r>
      <w:r>
        <w:rPr>
          <w:rFonts w:hint="eastAsia" w:ascii="方正小标宋简体" w:hAnsi="Arial" w:eastAsia="方正小标宋简体" w:cs="Arial"/>
          <w:sz w:val="44"/>
          <w:szCs w:val="21"/>
          <w:shd w:val="clear" w:color="auto" w:fill="FFFFFF"/>
          <w:lang w:val="en-US" w:eastAsia="zh-CN"/>
        </w:rPr>
        <w:t>18</w:t>
      </w:r>
      <w:r>
        <w:rPr>
          <w:rFonts w:hint="eastAsia" w:ascii="方正小标宋简体" w:hAnsi="Arial" w:eastAsia="方正小标宋简体" w:cs="Arial"/>
          <w:sz w:val="44"/>
          <w:szCs w:val="21"/>
          <w:shd w:val="clear" w:color="auto" w:fill="FFFFFF"/>
          <w:lang w:eastAsia="zh-CN"/>
        </w:rPr>
        <w:t>”车辆伤害一般生产安全</w:t>
      </w:r>
    </w:p>
    <w:p>
      <w:pPr>
        <w:keepNext w:val="0"/>
        <w:keepLines w:val="0"/>
        <w:pageBreakBefore w:val="0"/>
        <w:widowControl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sz w:val="44"/>
          <w:szCs w:val="21"/>
          <w:shd w:val="clear" w:color="auto" w:fill="FFFFFF"/>
        </w:rPr>
      </w:pPr>
      <w:r>
        <w:rPr>
          <w:rFonts w:hint="eastAsia" w:ascii="方正小标宋简体" w:hAnsi="Arial" w:eastAsia="方正小标宋简体" w:cs="Arial"/>
          <w:sz w:val="44"/>
          <w:szCs w:val="21"/>
          <w:shd w:val="clear" w:color="auto" w:fill="FFFFFF"/>
          <w:lang w:eastAsia="zh-CN"/>
        </w:rPr>
        <w:t>责任事故的调查报告</w:t>
      </w:r>
    </w:p>
    <w:bookmarkEnd w:id="0"/>
    <w:p>
      <w:pPr>
        <w:keepNext w:val="0"/>
        <w:keepLines w:val="0"/>
        <w:pageBreakBefore w:val="0"/>
        <w:widowControl w:val="0"/>
        <w:kinsoku/>
        <w:wordWrap/>
        <w:topLinePunct w:val="0"/>
        <w:bidi w:val="0"/>
        <w:adjustRightInd/>
        <w:snapToGrid/>
        <w:spacing w:line="560" w:lineRule="exact"/>
        <w:textAlignment w:val="auto"/>
      </w:pPr>
    </w:p>
    <w:p>
      <w:pPr>
        <w:keepNext w:val="0"/>
        <w:keepLines w:val="0"/>
        <w:pageBreakBefore w:val="0"/>
        <w:kinsoku/>
        <w:wordWrap/>
        <w:topLinePunct w:val="0"/>
        <w:bidi w:val="0"/>
        <w:adjustRightInd/>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2022年9月18日15时左右，在崇明区蟠龙公路1号的上海华润大东船务工程有限公司干船坞内，徐州强泰船舶工程有限公司发生一起车辆伤害</w:t>
      </w:r>
      <w:r>
        <w:rPr>
          <w:rFonts w:hint="eastAsia"/>
          <w:sz w:val="32"/>
          <w:szCs w:val="32"/>
          <w:lang w:eastAsia="zh-CN"/>
        </w:rPr>
        <w:t>亡人</w:t>
      </w:r>
      <w:r>
        <w:rPr>
          <w:rFonts w:hint="eastAsia" w:ascii="仿宋_GB2312" w:eastAsia="仿宋_GB2312"/>
          <w:sz w:val="32"/>
          <w:szCs w:val="32"/>
        </w:rPr>
        <w:t>事故（以下简称“</w:t>
      </w:r>
      <w:r>
        <w:rPr>
          <w:rFonts w:hint="eastAsia"/>
          <w:sz w:val="32"/>
          <w:szCs w:val="32"/>
          <w:lang w:val="en-US" w:eastAsia="zh-CN"/>
        </w:rPr>
        <w:t>9</w:t>
      </w:r>
      <w:r>
        <w:rPr>
          <w:rFonts w:hint="eastAsia" w:ascii="仿宋_GB2312" w:eastAsia="仿宋_GB2312"/>
          <w:sz w:val="32"/>
          <w:szCs w:val="32"/>
        </w:rPr>
        <w:t>·</w:t>
      </w:r>
      <w:r>
        <w:rPr>
          <w:rFonts w:hint="eastAsia"/>
          <w:sz w:val="32"/>
          <w:szCs w:val="32"/>
          <w:lang w:val="en-US" w:eastAsia="zh-CN"/>
        </w:rPr>
        <w:t>18</w:t>
      </w:r>
      <w:r>
        <w:rPr>
          <w:rFonts w:hint="eastAsia" w:ascii="仿宋_GB2312" w:eastAsia="仿宋_GB2312"/>
          <w:sz w:val="32"/>
          <w:szCs w:val="32"/>
        </w:rPr>
        <w:t>”事故）</w:t>
      </w:r>
      <w:r>
        <w:rPr>
          <w:rFonts w:hint="eastAsia"/>
          <w:sz w:val="32"/>
          <w:szCs w:val="32"/>
          <w:lang w:eastAsia="zh-CN"/>
        </w:rPr>
        <w:t>。</w:t>
      </w:r>
    </w:p>
    <w:p>
      <w:pPr>
        <w:keepNext w:val="0"/>
        <w:keepLines w:val="0"/>
        <w:pageBreakBefore w:val="0"/>
        <w:kinsoku/>
        <w:wordWrap/>
        <w:topLinePunct w:val="0"/>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生产安全事故报告和调查处理条例〉的若干规定》（沪府规〔2018〕7号）,受上海市崇明区人民政府委托，成立由上海市崇明区应急管理局（以下简称区应急局）牵头，上海市公安局崇明分局、上海市崇明区总工会、上海市崇明区</w:t>
      </w:r>
      <w:r>
        <w:rPr>
          <w:rFonts w:hint="eastAsia"/>
          <w:color w:val="auto"/>
          <w:szCs w:val="32"/>
          <w:lang w:eastAsia="zh-CN"/>
        </w:rPr>
        <w:t>建设镇</w:t>
      </w:r>
      <w:r>
        <w:rPr>
          <w:rFonts w:hint="eastAsia"/>
          <w:color w:val="auto"/>
          <w:szCs w:val="32"/>
        </w:rPr>
        <w:t>人民政府等单位组成的“</w:t>
      </w:r>
      <w:r>
        <w:rPr>
          <w:rFonts w:hint="eastAsia"/>
          <w:color w:val="auto"/>
          <w:szCs w:val="32"/>
          <w:lang w:val="en-US" w:eastAsia="zh-CN"/>
        </w:rPr>
        <w:t>9</w:t>
      </w:r>
      <w:r>
        <w:rPr>
          <w:rFonts w:hint="eastAsia"/>
          <w:color w:val="auto"/>
          <w:szCs w:val="32"/>
        </w:rPr>
        <w:t>·</w:t>
      </w:r>
      <w:r>
        <w:rPr>
          <w:rFonts w:hint="eastAsia"/>
          <w:color w:val="auto"/>
          <w:szCs w:val="32"/>
          <w:lang w:val="en-US" w:eastAsia="zh-CN"/>
        </w:rPr>
        <w:t>18</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kinsoku/>
        <w:wordWrap/>
        <w:topLinePunct w:val="0"/>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Cs w:val="32"/>
          <w:lang w:val="en-US" w:eastAsia="zh-CN"/>
        </w:rPr>
        <w:t>1.</w:t>
      </w:r>
      <w:r>
        <w:rPr>
          <w:rFonts w:hint="eastAsia" w:cs="仿宋_GB2312"/>
          <w:color w:val="auto"/>
          <w:szCs w:val="32"/>
          <w:lang w:val="en-US" w:eastAsia="zh-CN"/>
        </w:rPr>
        <w:t>上海华润大东船务工程有限公司</w:t>
      </w:r>
      <w:r>
        <w:rPr>
          <w:rFonts w:hint="eastAsia" w:ascii="仿宋_GB2312" w:hAnsi="仿宋_GB2312" w:eastAsia="仿宋_GB2312" w:cs="仿宋_GB2312"/>
          <w:color w:val="auto"/>
          <w:sz w:val="32"/>
          <w:szCs w:val="32"/>
          <w:lang w:eastAsia="zh-CN"/>
        </w:rPr>
        <w:t>（以下</w:t>
      </w:r>
      <w:r>
        <w:rPr>
          <w:rFonts w:hint="eastAsia" w:ascii="仿宋_GB2312" w:hAnsi="仿宋_GB2312" w:eastAsia="仿宋_GB2312" w:cs="仿宋_GB2312"/>
          <w:color w:val="auto"/>
          <w:szCs w:val="32"/>
          <w:lang w:val="en-US" w:eastAsia="zh-CN"/>
        </w:rPr>
        <w:t>简称</w:t>
      </w:r>
      <w:r>
        <w:rPr>
          <w:rFonts w:hint="eastAsia" w:cs="仿宋_GB2312"/>
          <w:color w:val="auto"/>
          <w:szCs w:val="32"/>
          <w:lang w:val="en-US" w:eastAsia="zh-CN"/>
        </w:rPr>
        <w:t>华润大东</w:t>
      </w:r>
      <w:r>
        <w:rPr>
          <w:rFonts w:hint="eastAsia" w:ascii="仿宋_GB2312" w:hAnsi="仿宋_GB2312" w:eastAsia="仿宋_GB2312" w:cs="仿宋_GB2312"/>
          <w:color w:val="auto"/>
          <w:szCs w:val="32"/>
          <w:lang w:val="en-US" w:eastAsia="zh-CN"/>
        </w:rPr>
        <w:t>公司</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w:t>
      </w:r>
      <w:r>
        <w:rPr>
          <w:rFonts w:hint="eastAsia" w:cs="仿宋_GB2312"/>
          <w:color w:val="auto"/>
          <w:sz w:val="32"/>
          <w:szCs w:val="32"/>
          <w:lang w:eastAsia="zh-CN"/>
        </w:rPr>
        <w:t>负责人</w:t>
      </w:r>
      <w:r>
        <w:rPr>
          <w:rFonts w:hint="eastAsia" w:ascii="仿宋_GB2312" w:hAnsi="仿宋_GB2312" w:eastAsia="仿宋_GB2312" w:cs="仿宋_GB2312"/>
          <w:color w:val="auto"/>
          <w:sz w:val="32"/>
          <w:szCs w:val="32"/>
        </w:rPr>
        <w:t>：</w:t>
      </w:r>
      <w:r>
        <w:rPr>
          <w:rFonts w:hint="eastAsia" w:cs="仿宋_GB2312"/>
          <w:color w:val="auto"/>
          <w:sz w:val="32"/>
          <w:szCs w:val="32"/>
          <w:lang w:eastAsia="zh-CN"/>
        </w:rPr>
        <w:t>余惠良</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住所：上海市崇明区张网港东首</w:t>
      </w:r>
      <w:r>
        <w:rPr>
          <w:rFonts w:hint="eastAsia" w:ascii="仿宋_GB2312" w:hAnsi="仿宋_GB2312" w:eastAsia="仿宋_GB2312" w:cs="仿宋_GB2312"/>
          <w:color w:val="auto"/>
          <w:sz w:val="32"/>
          <w:szCs w:val="32"/>
          <w:lang w:eastAsia="zh-CN"/>
        </w:rPr>
        <w:t>。该公司为</w:t>
      </w:r>
      <w:r>
        <w:rPr>
          <w:rFonts w:hint="eastAsia" w:cs="仿宋_GB2312"/>
          <w:color w:val="auto"/>
          <w:sz w:val="32"/>
          <w:szCs w:val="32"/>
          <w:lang w:eastAsia="zh-CN"/>
        </w:rPr>
        <w:t>船修、机电工程</w:t>
      </w:r>
      <w:r>
        <w:rPr>
          <w:rFonts w:hint="eastAsia" w:ascii="仿宋_GB2312" w:hAnsi="仿宋_GB2312" w:eastAsia="仿宋_GB2312" w:cs="仿宋_GB2312"/>
          <w:color w:val="auto"/>
          <w:sz w:val="32"/>
          <w:szCs w:val="32"/>
          <w:lang w:eastAsia="zh-CN"/>
        </w:rPr>
        <w:t>的</w:t>
      </w:r>
      <w:r>
        <w:rPr>
          <w:rFonts w:hint="eastAsia" w:cs="仿宋_GB2312"/>
          <w:color w:val="auto"/>
          <w:sz w:val="32"/>
          <w:szCs w:val="32"/>
          <w:lang w:eastAsia="zh-CN"/>
        </w:rPr>
        <w:t>发包</w:t>
      </w:r>
      <w:r>
        <w:rPr>
          <w:rFonts w:hint="eastAsia" w:ascii="仿宋_GB2312" w:hAnsi="仿宋_GB2312" w:eastAsia="仿宋_GB2312" w:cs="仿宋_GB2312"/>
          <w:color w:val="auto"/>
          <w:sz w:val="32"/>
          <w:szCs w:val="32"/>
          <w:lang w:eastAsia="zh-CN"/>
        </w:rPr>
        <w:t>单位</w:t>
      </w:r>
      <w:r>
        <w:rPr>
          <w:rFonts w:hint="eastAsia"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lang w:val="en-US" w:eastAsia="zh-CN"/>
        </w:rPr>
        <w:t>2.</w:t>
      </w:r>
      <w:r>
        <w:rPr>
          <w:rFonts w:hint="eastAsia" w:cs="仿宋_GB2312"/>
          <w:color w:val="auto"/>
          <w:sz w:val="32"/>
          <w:szCs w:val="32"/>
          <w:lang w:eastAsia="zh-CN"/>
        </w:rPr>
        <w:t>徐州强泰船舶工程有限公司</w:t>
      </w:r>
      <w:r>
        <w:rPr>
          <w:rFonts w:hint="eastAsia" w:ascii="仿宋_GB2312" w:hAnsi="仿宋_GB2312" w:eastAsia="仿宋_GB2312" w:cs="仿宋_GB2312"/>
          <w:color w:val="auto"/>
          <w:sz w:val="32"/>
          <w:szCs w:val="32"/>
          <w:lang w:eastAsia="zh-CN"/>
        </w:rPr>
        <w:t>（以下</w:t>
      </w:r>
      <w:r>
        <w:rPr>
          <w:rFonts w:hint="eastAsia" w:ascii="仿宋_GB2312" w:hAnsi="仿宋_GB2312" w:eastAsia="仿宋_GB2312" w:cs="仿宋_GB2312"/>
          <w:color w:val="auto"/>
          <w:szCs w:val="32"/>
          <w:lang w:val="en-US" w:eastAsia="zh-CN"/>
        </w:rPr>
        <w:t>简称</w:t>
      </w:r>
      <w:r>
        <w:rPr>
          <w:rFonts w:hint="eastAsia" w:cs="仿宋_GB2312"/>
          <w:color w:val="auto"/>
          <w:szCs w:val="32"/>
          <w:lang w:val="en-US" w:eastAsia="zh-CN"/>
        </w:rPr>
        <w:t>强泰船舶公司</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w:t>
      </w:r>
      <w:r>
        <w:rPr>
          <w:rFonts w:hint="eastAsia" w:cs="仿宋_GB2312"/>
          <w:color w:val="auto"/>
          <w:sz w:val="32"/>
          <w:szCs w:val="32"/>
          <w:lang w:val="en-US" w:eastAsia="zh-CN"/>
        </w:rPr>
        <w:t>法定代表人</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刘中明</w:t>
      </w:r>
      <w:r>
        <w:rPr>
          <w:rFonts w:hint="eastAsia" w:ascii="仿宋_GB2312" w:hAnsi="仿宋_GB2312" w:eastAsia="仿宋_GB2312" w:cs="仿宋_GB2312"/>
          <w:color w:val="auto"/>
          <w:sz w:val="32"/>
          <w:szCs w:val="32"/>
          <w:lang w:eastAsia="zh-CN"/>
        </w:rPr>
        <w:t>；</w:t>
      </w:r>
      <w:r>
        <w:rPr>
          <w:rFonts w:hint="eastAsia" w:cs="仿宋_GB2312"/>
          <w:color w:val="auto"/>
          <w:sz w:val="32"/>
          <w:szCs w:val="32"/>
          <w:lang w:eastAsia="zh-CN"/>
        </w:rPr>
        <w:t>住所</w:t>
      </w:r>
      <w:r>
        <w:rPr>
          <w:rFonts w:hint="eastAsia" w:ascii="仿宋_GB2312" w:hAnsi="仿宋_GB2312" w:eastAsia="仿宋_GB2312" w:cs="仿宋_GB2312"/>
          <w:color w:val="auto"/>
          <w:sz w:val="32"/>
          <w:szCs w:val="32"/>
        </w:rPr>
        <w:t>：</w:t>
      </w:r>
      <w:r>
        <w:rPr>
          <w:rFonts w:hint="eastAsia" w:cs="仿宋_GB2312"/>
          <w:color w:val="auto"/>
          <w:sz w:val="32"/>
          <w:szCs w:val="32"/>
          <w:lang w:eastAsia="zh-CN"/>
        </w:rPr>
        <w:t>睢宁县现代农业示范区环宇西路润通路</w:t>
      </w:r>
      <w:r>
        <w:rPr>
          <w:rFonts w:hint="eastAsia" w:cs="仿宋_GB2312"/>
          <w:color w:val="auto"/>
          <w:sz w:val="32"/>
          <w:szCs w:val="32"/>
          <w:lang w:val="en-US" w:eastAsia="zh-CN"/>
        </w:rPr>
        <w:t>A72号</w:t>
      </w:r>
      <w:r>
        <w:rPr>
          <w:rFonts w:hint="eastAsia" w:cs="仿宋_GB2312"/>
          <w:color w:val="auto"/>
          <w:sz w:val="32"/>
          <w:szCs w:val="32"/>
          <w:lang w:eastAsia="zh-CN"/>
        </w:rPr>
        <w:t>。</w:t>
      </w:r>
      <w:r>
        <w:rPr>
          <w:rFonts w:hint="eastAsia" w:ascii="仿宋_GB2312" w:hAnsi="仿宋_GB2312" w:eastAsia="仿宋_GB2312" w:cs="仿宋_GB2312"/>
          <w:color w:val="auto"/>
          <w:sz w:val="32"/>
          <w:szCs w:val="32"/>
          <w:lang w:eastAsia="zh-CN"/>
        </w:rPr>
        <w:t>该公司为船修、机电工程的</w:t>
      </w:r>
      <w:r>
        <w:rPr>
          <w:rFonts w:hint="eastAsia" w:cs="仿宋_GB2312"/>
          <w:color w:val="auto"/>
          <w:sz w:val="32"/>
          <w:szCs w:val="32"/>
          <w:lang w:eastAsia="zh-CN"/>
        </w:rPr>
        <w:t>承包</w:t>
      </w:r>
      <w:r>
        <w:rPr>
          <w:rFonts w:hint="eastAsia" w:ascii="仿宋_GB2312" w:hAnsi="仿宋_GB2312" w:eastAsia="仿宋_GB2312" w:cs="仿宋_GB2312"/>
          <w:color w:val="auto"/>
          <w:sz w:val="32"/>
          <w:szCs w:val="32"/>
          <w:lang w:eastAsia="zh-CN"/>
        </w:rPr>
        <w:t>单位</w:t>
      </w:r>
      <w:r>
        <w:rPr>
          <w:rFonts w:hint="eastAsia" w:cs="仿宋_GB2312"/>
          <w:color w:val="auto"/>
          <w:sz w:val="32"/>
          <w:szCs w:val="32"/>
          <w:lang w:eastAsia="zh-CN"/>
        </w:rPr>
        <w:t>。</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color w:val="auto"/>
          <w:szCs w:val="32"/>
          <w:lang w:val="en-US" w:eastAsia="zh-CN"/>
        </w:rPr>
      </w:pPr>
      <w:r>
        <w:rPr>
          <w:rFonts w:hint="eastAsia" w:ascii="楷体_GB2312" w:hAnsi="楷体_GB2312" w:eastAsia="楷体_GB2312" w:cs="楷体_GB2312"/>
          <w:b/>
          <w:bCs/>
          <w:color w:val="auto"/>
          <w:szCs w:val="32"/>
          <w:lang w:val="en-US" w:eastAsia="zh-CN"/>
        </w:rPr>
        <w:t>（二）合同签署情况</w:t>
      </w:r>
    </w:p>
    <w:p>
      <w:pPr>
        <w:keepNext w:val="0"/>
        <w:keepLines w:val="0"/>
        <w:pageBreakBefore w:val="0"/>
        <w:kinsoku/>
        <w:wordWrap/>
        <w:topLinePunct w:val="0"/>
        <w:bidi w:val="0"/>
        <w:adjustRightInd/>
        <w:snapToGrid/>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202</w:t>
      </w:r>
      <w:r>
        <w:rPr>
          <w:rFonts w:hint="eastAsia" w:cs="仿宋_GB2312"/>
          <w:color w:val="auto"/>
          <w:lang w:val="en-US" w:eastAsia="zh-CN"/>
        </w:rPr>
        <w:t>2</w:t>
      </w:r>
      <w:r>
        <w:rPr>
          <w:rFonts w:hint="eastAsia" w:ascii="仿宋_GB2312" w:hAnsi="仿宋_GB2312" w:eastAsia="仿宋_GB2312" w:cs="仿宋_GB2312"/>
          <w:color w:val="auto"/>
          <w:lang w:val="en-US" w:eastAsia="zh-CN"/>
        </w:rPr>
        <w:t>年</w:t>
      </w:r>
      <w:r>
        <w:rPr>
          <w:rFonts w:hint="eastAsia" w:cs="仿宋_GB2312"/>
          <w:color w:val="auto"/>
          <w:lang w:val="en-US" w:eastAsia="zh-CN"/>
        </w:rPr>
        <w:t>8</w:t>
      </w:r>
      <w:r>
        <w:rPr>
          <w:rFonts w:hint="eastAsia" w:ascii="仿宋_GB2312" w:hAnsi="仿宋_GB2312" w:eastAsia="仿宋_GB2312" w:cs="仿宋_GB2312"/>
          <w:color w:val="auto"/>
          <w:lang w:val="en-US" w:eastAsia="zh-CN"/>
        </w:rPr>
        <w:t>月</w:t>
      </w:r>
      <w:r>
        <w:rPr>
          <w:rFonts w:hint="eastAsia" w:cs="仿宋_GB2312"/>
          <w:color w:val="auto"/>
          <w:lang w:val="en-US" w:eastAsia="zh-CN"/>
        </w:rPr>
        <w:t>23</w:t>
      </w:r>
      <w:r>
        <w:rPr>
          <w:rFonts w:hint="eastAsia" w:ascii="仿宋_GB2312" w:hAnsi="仿宋_GB2312" w:eastAsia="仿宋_GB2312" w:cs="仿宋_GB2312"/>
          <w:color w:val="auto"/>
          <w:lang w:val="en-US" w:eastAsia="zh-CN"/>
        </w:rPr>
        <w:t>日，</w:t>
      </w:r>
      <w:r>
        <w:rPr>
          <w:rFonts w:hint="eastAsia" w:ascii="仿宋_GB2312" w:hAnsi="仿宋_GB2312" w:eastAsia="仿宋_GB2312" w:cs="仿宋_GB2312"/>
          <w:color w:val="auto"/>
          <w:szCs w:val="32"/>
          <w:lang w:val="en-US" w:eastAsia="zh-CN"/>
        </w:rPr>
        <w:t>强泰船舶公司</w:t>
      </w:r>
      <w:r>
        <w:rPr>
          <w:rFonts w:hint="eastAsia" w:ascii="仿宋_GB2312" w:hAnsi="仿宋_GB2312" w:eastAsia="仿宋_GB2312" w:cs="仿宋_GB2312"/>
          <w:color w:val="auto"/>
          <w:lang w:val="en-US" w:eastAsia="zh-CN"/>
        </w:rPr>
        <w:t>与</w:t>
      </w:r>
      <w:r>
        <w:rPr>
          <w:rFonts w:hint="eastAsia" w:ascii="仿宋_GB2312" w:hAnsi="仿宋_GB2312" w:eastAsia="仿宋_GB2312" w:cs="仿宋_GB2312"/>
          <w:color w:val="auto"/>
          <w:szCs w:val="32"/>
          <w:lang w:val="en-US" w:eastAsia="zh-CN"/>
        </w:rPr>
        <w:t>华润大东公司</w:t>
      </w:r>
      <w:r>
        <w:rPr>
          <w:rFonts w:hint="eastAsia" w:ascii="仿宋_GB2312" w:hAnsi="仿宋_GB2312" w:eastAsia="仿宋_GB2312" w:cs="仿宋_GB2312"/>
          <w:color w:val="auto"/>
          <w:lang w:val="en-US" w:eastAsia="zh-CN"/>
        </w:rPr>
        <w:t>签订</w:t>
      </w:r>
      <w:r>
        <w:rPr>
          <w:rFonts w:hint="eastAsia" w:cs="仿宋_GB2312"/>
          <w:color w:val="auto"/>
          <w:lang w:val="en-US" w:eastAsia="zh-CN"/>
        </w:rPr>
        <w:t>了工程承包合同，负责船舶修理、船舶建造、海工相关配套等产品制造中的船修、机电工程事项。</w:t>
      </w:r>
    </w:p>
    <w:p>
      <w:pPr>
        <w:keepNext w:val="0"/>
        <w:keepLines w:val="0"/>
        <w:pageBreakBefore w:val="0"/>
        <w:kinsoku/>
        <w:wordWrap/>
        <w:topLinePunct w:val="0"/>
        <w:bidi w:val="0"/>
        <w:adjustRightInd/>
        <w:snapToGrid/>
        <w:spacing w:line="560" w:lineRule="exact"/>
        <w:ind w:firstLine="643"/>
        <w:jc w:val="both"/>
        <w:textAlignment w:val="auto"/>
        <w:rPr>
          <w:rFonts w:ascii="黑体" w:eastAsia="黑体"/>
          <w:b w:val="0"/>
          <w:bCs/>
          <w:szCs w:val="32"/>
        </w:rPr>
      </w:pPr>
      <w:r>
        <w:rPr>
          <w:rFonts w:hint="eastAsia" w:ascii="黑体" w:eastAsia="黑体"/>
          <w:b w:val="0"/>
          <w:bCs/>
          <w:szCs w:val="32"/>
          <w:lang w:eastAsia="zh-CN"/>
        </w:rPr>
        <w:t>二</w:t>
      </w:r>
      <w:r>
        <w:rPr>
          <w:rFonts w:hint="eastAsia" w:ascii="黑体" w:eastAsia="黑体"/>
          <w:b w:val="0"/>
          <w:bCs/>
          <w:szCs w:val="32"/>
        </w:rPr>
        <w:t>、</w:t>
      </w:r>
      <w:r>
        <w:rPr>
          <w:rFonts w:hint="eastAsia" w:ascii="黑体" w:eastAsia="黑体"/>
          <w:b w:val="0"/>
          <w:bCs/>
          <w:szCs w:val="32"/>
          <w:lang w:eastAsia="zh-CN"/>
        </w:rPr>
        <w:t>事故</w:t>
      </w:r>
      <w:r>
        <w:rPr>
          <w:rFonts w:hint="eastAsia" w:ascii="黑体" w:eastAsia="黑体"/>
          <w:b w:val="0"/>
          <w:bCs/>
          <w:szCs w:val="32"/>
        </w:rPr>
        <w:t>经过</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ascii="仿宋_GB2312" w:hAnsi="仿宋_GB2312" w:eastAsia="仿宋_GB2312"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2022年9月18日，华润大东公司机电车间工程主管刘博斐安排强泰船舶公司总带班徐某某（死者）维修“乾风”轮船的干坞修三大件；下午15时左右，徐某某驾驶一辆编号为JD强泰的电动三轮车从机电车间出发，将维修好的油封白钢套、双联泵、高压油管等维修零件（总重量约150Kg）搬运至停靠在干船坞内的“乾风”轮船。徐某某驾驶电动三轮车从干船坞西北角的进坞通道（长约41m、宽约4.5m、坡角约</w:t>
      </w:r>
      <w:r>
        <w:rPr>
          <w:rFonts w:hint="eastAsia" w:ascii="仿宋_GB2312" w:hAnsi="仿宋_GB2312" w:eastAsia="仿宋_GB2312" w:cs="仿宋_GB2312"/>
          <w:b w:val="0"/>
          <w:bCs w:val="0"/>
          <w:sz w:val="32"/>
          <w:szCs w:val="32"/>
          <w:u w:val="none"/>
          <w:lang w:val="en-US" w:eastAsia="zh-CN"/>
        </w:rPr>
        <w:t>22°</w:t>
      </w:r>
      <w:r>
        <w:rPr>
          <w:rFonts w:hint="eastAsia" w:cs="仿宋_GB2312"/>
          <w:color w:val="auto"/>
          <w:kern w:val="2"/>
          <w:sz w:val="32"/>
          <w:szCs w:val="32"/>
          <w:u w:val="none"/>
          <w:lang w:val="en-US" w:eastAsia="zh-CN" w:bidi="ar-SA"/>
        </w:rPr>
        <w:t>）进入干船坞，行驶至通道与干船坞底连接处时向左转弯，由于速度过快电动三轮车发生侧翻，徐某某摔倒在干船坞底的混凝土地面上。</w:t>
      </w:r>
    </w:p>
    <w:p>
      <w:pPr>
        <w:overflowPunct w:val="0"/>
        <w:autoSpaceDE/>
        <w:autoSpaceDN/>
        <w:adjustRightInd/>
        <w:spacing w:line="560" w:lineRule="exact"/>
        <w:ind w:firstLine="643"/>
        <w:jc w:val="both"/>
        <w:outlineLvl w:val="9"/>
        <w:rPr>
          <w:rFonts w:hint="eastAsia"/>
          <w:lang w:val="en-US" w:eastAsia="zh-CN"/>
        </w:rPr>
      </w:pPr>
      <w:r>
        <w:rPr>
          <w:rFonts w:hint="eastAsia" w:ascii="仿宋_GB2312" w:hAnsi="仿宋_GB2312" w:eastAsia="仿宋_GB2312" w:cs="仿宋_GB2312"/>
          <w:color w:val="auto"/>
          <w:kern w:val="2"/>
          <w:sz w:val="32"/>
          <w:szCs w:val="32"/>
          <w:lang w:val="en-US" w:eastAsia="zh-CN" w:bidi="ar-SA"/>
        </w:rPr>
        <w:t>事故发生后，现场人员</w:t>
      </w:r>
      <w:r>
        <w:rPr>
          <w:rFonts w:hint="eastAsia" w:cs="仿宋_GB2312"/>
          <w:color w:val="auto"/>
          <w:kern w:val="2"/>
          <w:sz w:val="32"/>
          <w:szCs w:val="32"/>
          <w:lang w:val="en-US" w:eastAsia="zh-CN" w:bidi="ar-SA"/>
        </w:rPr>
        <w:t>立即拨打120将徐某某送至新华医院崇明分院抢救</w:t>
      </w:r>
      <w:r>
        <w:rPr>
          <w:rFonts w:hint="eastAsia" w:ascii="仿宋_GB2312" w:hAnsi="仿宋_GB2312" w:eastAsia="仿宋_GB2312" w:cs="仿宋_GB2312"/>
          <w:color w:val="auto"/>
          <w:kern w:val="2"/>
          <w:sz w:val="32"/>
          <w:szCs w:val="32"/>
          <w:lang w:val="en-US" w:eastAsia="zh-CN" w:bidi="ar-SA"/>
        </w:rPr>
        <w:t>，2022年9月23日9时08分</w:t>
      </w:r>
      <w:r>
        <w:rPr>
          <w:rFonts w:hint="eastAsia" w:cs="仿宋_GB2312"/>
          <w:color w:val="auto"/>
          <w:kern w:val="2"/>
          <w:sz w:val="32"/>
          <w:szCs w:val="32"/>
          <w:lang w:val="en-US" w:eastAsia="zh-CN" w:bidi="ar-SA"/>
        </w:rPr>
        <w:t>，徐某某经抢救无效</w:t>
      </w:r>
      <w:r>
        <w:rPr>
          <w:rFonts w:hint="eastAsia" w:ascii="仿宋_GB2312" w:hAnsi="仿宋_GB2312" w:eastAsia="仿宋_GB2312" w:cs="仿宋_GB2312"/>
          <w:color w:val="auto"/>
          <w:kern w:val="2"/>
          <w:sz w:val="32"/>
          <w:szCs w:val="32"/>
          <w:lang w:val="en-US" w:eastAsia="zh-CN" w:bidi="ar-SA"/>
        </w:rPr>
        <w:t>死亡</w:t>
      </w:r>
      <w:r>
        <w:rPr>
          <w:rFonts w:hint="eastAsia" w:cs="仿宋_GB2312"/>
          <w:color w:val="auto"/>
          <w:kern w:val="2"/>
          <w:sz w:val="32"/>
          <w:szCs w:val="32"/>
          <w:lang w:val="en-US" w:eastAsia="zh-CN" w:bidi="ar-SA"/>
        </w:rPr>
        <w:t>，直接死亡原因为创伤性脑疝，脑干损伤，硬膜下出血</w:t>
      </w:r>
      <w:r>
        <w:rPr>
          <w:rFonts w:hint="eastAsia" w:ascii="仿宋_GB2312" w:hAnsi="仿宋_GB2312" w:eastAsia="仿宋_GB2312" w:cs="仿宋_GB2312"/>
          <w:color w:val="auto"/>
          <w:kern w:val="2"/>
          <w:sz w:val="32"/>
          <w:szCs w:val="32"/>
          <w:lang w:val="en-US" w:eastAsia="zh-CN" w:bidi="ar-SA"/>
        </w:rPr>
        <w:t>。</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黑体" w:eastAsia="黑体"/>
          <w:b w:val="0"/>
          <w:bCs/>
          <w:szCs w:val="32"/>
        </w:rPr>
      </w:pPr>
      <w:r>
        <w:rPr>
          <w:rFonts w:hint="eastAsia" w:ascii="黑体" w:eastAsia="黑体"/>
          <w:b w:val="0"/>
          <w:bCs/>
          <w:szCs w:val="32"/>
        </w:rPr>
        <w:t>三、人员伤亡和经济损失</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楷体_GB2312" w:eastAsia="楷体_GB2312"/>
          <w:b/>
          <w:bCs w:val="0"/>
          <w:szCs w:val="32"/>
        </w:rPr>
      </w:pPr>
      <w:r>
        <w:rPr>
          <w:rFonts w:hint="eastAsia" w:ascii="楷体_GB2312" w:eastAsia="楷体_GB2312"/>
          <w:b/>
          <w:bCs w:val="0"/>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FF0000"/>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kern w:val="2"/>
          <w:sz w:val="32"/>
          <w:szCs w:val="32"/>
          <w:lang w:val="en-US" w:eastAsia="zh-CN" w:bidi="ar-SA"/>
        </w:rPr>
        <w:t>徐某某</w:t>
      </w:r>
      <w:r>
        <w:rPr>
          <w:rFonts w:hint="eastAsia" w:ascii="仿宋_GB2312" w:hAnsi="仿宋_GB2312" w:eastAsia="仿宋_GB2312" w:cs="仿宋_GB2312"/>
          <w:color w:val="auto"/>
          <w:szCs w:val="32"/>
          <w:lang w:eastAsia="zh-CN"/>
        </w:rPr>
        <w:t>；性别：</w:t>
      </w:r>
      <w:r>
        <w:rPr>
          <w:rFonts w:hint="eastAsia" w:ascii="仿宋_GB2312" w:hAnsi="仿宋_GB2312" w:eastAsia="仿宋_GB2312" w:cs="仿宋_GB2312"/>
          <w:color w:val="auto"/>
          <w:szCs w:val="32"/>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安徽省阜阳市</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初中</w:t>
      </w:r>
      <w:r>
        <w:rPr>
          <w:rFonts w:hint="eastAsia" w:ascii="仿宋_GB2312" w:hAnsi="仿宋_GB2312" w:eastAsia="仿宋_GB2312" w:cs="仿宋_GB2312"/>
          <w:color w:val="auto"/>
          <w:szCs w:val="32"/>
          <w:lang w:eastAsia="zh-CN"/>
        </w:rPr>
        <w:t>；出生年月：</w:t>
      </w:r>
      <w:r>
        <w:rPr>
          <w:rFonts w:hint="eastAsia" w:ascii="仿宋_GB2312" w:hAnsi="仿宋_GB2312" w:eastAsia="仿宋_GB2312" w:cs="仿宋_GB2312"/>
          <w:color w:val="auto"/>
          <w:szCs w:val="32"/>
          <w:lang w:val="en-US" w:eastAsia="zh-CN"/>
        </w:rPr>
        <w:t>19</w:t>
      </w:r>
      <w:r>
        <w:rPr>
          <w:rFonts w:hint="eastAsia" w:cs="仿宋_GB2312"/>
          <w:color w:val="auto"/>
          <w:szCs w:val="32"/>
          <w:lang w:val="en-US" w:eastAsia="zh-CN"/>
        </w:rPr>
        <w:t>76</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12</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07</w:t>
      </w:r>
      <w:r>
        <w:rPr>
          <w:rFonts w:hint="eastAsia" w:ascii="仿宋_GB2312" w:hAnsi="仿宋_GB2312" w:eastAsia="仿宋_GB2312" w:cs="仿宋_GB2312"/>
          <w:color w:val="auto"/>
          <w:szCs w:val="32"/>
          <w:lang w:val="en-US" w:eastAsia="zh-CN"/>
        </w:rPr>
        <w:t>日；</w:t>
      </w:r>
      <w:r>
        <w:rPr>
          <w:rFonts w:hint="eastAsia" w:ascii="仿宋_GB2312" w:hAnsi="仿宋_GB2312" w:eastAsia="仿宋_GB2312" w:cs="仿宋_GB2312"/>
          <w:color w:val="auto"/>
          <w:szCs w:val="32"/>
          <w:lang w:eastAsia="zh-CN"/>
        </w:rPr>
        <w:t>户籍地址：</w:t>
      </w:r>
      <w:r>
        <w:rPr>
          <w:rFonts w:hint="eastAsia" w:cs="仿宋_GB2312"/>
          <w:color w:val="auto"/>
          <w:szCs w:val="32"/>
          <w:lang w:eastAsia="zh-CN"/>
        </w:rPr>
        <w:t>安徽省临泉县土陂乡XX村XX号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ascii="仿宋_GB2312" w:hAnsi="仿宋_GB2312" w:eastAsia="仿宋_GB2312" w:cs="仿宋_GB2312"/>
          <w:color w:val="auto"/>
          <w:szCs w:val="32"/>
          <w:lang w:val="en-US" w:eastAsia="zh-CN"/>
        </w:rPr>
        <w:t>3421221976</w:t>
      </w:r>
      <w:r>
        <w:rPr>
          <w:rFonts w:hint="eastAsia" w:cs="仿宋_GB2312"/>
          <w:color w:val="auto"/>
          <w:szCs w:val="32"/>
          <w:lang w:val="en-US" w:eastAsia="zh-CN"/>
        </w:rPr>
        <w:t>XXXXXXXX</w:t>
      </w:r>
      <w:r>
        <w:rPr>
          <w:rFonts w:hint="eastAsia" w:ascii="仿宋_GB2312" w:hAnsi="仿宋_GB2312" w:eastAsia="仿宋_GB2312" w:cs="仿宋_GB2312"/>
          <w:color w:val="auto"/>
          <w:szCs w:val="32"/>
        </w:rPr>
        <w:t>。</w:t>
      </w:r>
      <w:r>
        <w:rPr>
          <w:rFonts w:hint="eastAsia" w:cs="仿宋_GB2312"/>
          <w:color w:val="auto"/>
          <w:szCs w:val="32"/>
          <w:lang w:val="en-US" w:eastAsia="zh-CN"/>
        </w:rPr>
        <w:t>2022年4月1日，徐某某</w:t>
      </w:r>
      <w:r>
        <w:rPr>
          <w:rFonts w:hint="eastAsia" w:cs="仿宋_GB2312"/>
          <w:color w:val="auto"/>
          <w:szCs w:val="32"/>
          <w:lang w:eastAsia="zh-CN"/>
        </w:rPr>
        <w:t>与强泰船舶公司签订《劳动合同》，合同期限为202</w:t>
      </w:r>
      <w:r>
        <w:rPr>
          <w:rFonts w:hint="eastAsia" w:cs="仿宋_GB2312"/>
          <w:color w:val="auto"/>
          <w:szCs w:val="32"/>
          <w:lang w:val="en-US" w:eastAsia="zh-CN"/>
        </w:rPr>
        <w:t>2</w:t>
      </w:r>
      <w:r>
        <w:rPr>
          <w:rFonts w:hint="eastAsia" w:cs="仿宋_GB2312"/>
          <w:color w:val="auto"/>
          <w:szCs w:val="32"/>
          <w:lang w:eastAsia="zh-CN"/>
        </w:rPr>
        <w:t>年</w:t>
      </w:r>
      <w:r>
        <w:rPr>
          <w:rFonts w:hint="eastAsia" w:cs="仿宋_GB2312"/>
          <w:color w:val="auto"/>
          <w:szCs w:val="32"/>
          <w:lang w:val="en-US" w:eastAsia="zh-CN"/>
        </w:rPr>
        <w:t>4</w:t>
      </w:r>
      <w:r>
        <w:rPr>
          <w:rFonts w:hint="eastAsia" w:cs="仿宋_GB2312"/>
          <w:color w:val="auto"/>
          <w:szCs w:val="32"/>
          <w:lang w:eastAsia="zh-CN"/>
        </w:rPr>
        <w:t>月</w:t>
      </w:r>
      <w:r>
        <w:rPr>
          <w:rFonts w:hint="eastAsia" w:cs="仿宋_GB2312"/>
          <w:color w:val="auto"/>
          <w:szCs w:val="32"/>
          <w:lang w:val="en-US" w:eastAsia="zh-CN"/>
        </w:rPr>
        <w:t>1</w:t>
      </w:r>
      <w:r>
        <w:rPr>
          <w:rFonts w:hint="eastAsia" w:cs="仿宋_GB2312"/>
          <w:color w:val="auto"/>
          <w:szCs w:val="32"/>
          <w:lang w:eastAsia="zh-CN"/>
        </w:rPr>
        <w:t>日至202</w:t>
      </w:r>
      <w:r>
        <w:rPr>
          <w:rFonts w:hint="eastAsia" w:cs="仿宋_GB2312"/>
          <w:color w:val="auto"/>
          <w:szCs w:val="32"/>
          <w:lang w:val="en-US" w:eastAsia="zh-CN"/>
        </w:rPr>
        <w:t>3</w:t>
      </w:r>
      <w:r>
        <w:rPr>
          <w:rFonts w:hint="eastAsia" w:cs="仿宋_GB2312"/>
          <w:color w:val="auto"/>
          <w:szCs w:val="32"/>
          <w:lang w:eastAsia="zh-CN"/>
        </w:rPr>
        <w:t>年</w:t>
      </w:r>
      <w:r>
        <w:rPr>
          <w:rFonts w:hint="eastAsia" w:cs="仿宋_GB2312"/>
          <w:color w:val="auto"/>
          <w:szCs w:val="32"/>
          <w:lang w:val="en-US" w:eastAsia="zh-CN"/>
        </w:rPr>
        <w:t>3</w:t>
      </w:r>
      <w:r>
        <w:rPr>
          <w:rFonts w:hint="eastAsia" w:cs="仿宋_GB2312"/>
          <w:color w:val="auto"/>
          <w:szCs w:val="32"/>
          <w:lang w:eastAsia="zh-CN"/>
        </w:rPr>
        <w:t>月</w:t>
      </w:r>
      <w:r>
        <w:rPr>
          <w:rFonts w:hint="eastAsia" w:cs="仿宋_GB2312"/>
          <w:color w:val="auto"/>
          <w:szCs w:val="32"/>
          <w:lang w:val="en-US" w:eastAsia="zh-CN"/>
        </w:rPr>
        <w:t>31</w:t>
      </w:r>
      <w:r>
        <w:rPr>
          <w:rFonts w:hint="eastAsia" w:cs="仿宋_GB2312"/>
          <w:color w:val="auto"/>
          <w:szCs w:val="32"/>
          <w:lang w:eastAsia="zh-CN"/>
        </w:rPr>
        <w:t>日。</w:t>
      </w:r>
    </w:p>
    <w:p>
      <w:pPr>
        <w:keepNext w:val="0"/>
        <w:keepLines w:val="0"/>
        <w:pageBreakBefore w:val="0"/>
        <w:kinsoku/>
        <w:wordWrap/>
        <w:topLinePunct w:val="0"/>
        <w:bidi w:val="0"/>
        <w:adjustRightInd/>
        <w:snapToGrid/>
        <w:spacing w:line="560" w:lineRule="exact"/>
        <w:ind w:firstLine="643"/>
        <w:textAlignment w:val="auto"/>
        <w:rPr>
          <w:rFonts w:ascii="楷体_GB2312" w:eastAsia="楷体_GB2312"/>
          <w:b/>
          <w:bCs w:val="0"/>
          <w:szCs w:val="32"/>
        </w:rPr>
      </w:pPr>
      <w:r>
        <w:rPr>
          <w:rFonts w:hint="eastAsia" w:ascii="楷体_GB2312" w:eastAsia="楷体_GB2312"/>
          <w:b/>
          <w:bCs w:val="0"/>
          <w:szCs w:val="32"/>
        </w:rPr>
        <w:t>（二）经济损失</w:t>
      </w: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szCs w:val="32"/>
        </w:rPr>
        <w:t>本起事故造成直接经济损失约人民币</w:t>
      </w:r>
      <w:r>
        <w:rPr>
          <w:rFonts w:hint="eastAsia"/>
          <w:szCs w:val="32"/>
          <w:lang w:val="en-US" w:eastAsia="zh-CN"/>
        </w:rPr>
        <w:t>130</w:t>
      </w:r>
      <w:r>
        <w:rPr>
          <w:rFonts w:hint="eastAsia"/>
          <w:szCs w:val="32"/>
        </w:rPr>
        <w:t>万元。</w:t>
      </w:r>
    </w:p>
    <w:p>
      <w:pPr>
        <w:keepNext w:val="0"/>
        <w:keepLines w:val="0"/>
        <w:pageBreakBefore w:val="0"/>
        <w:kinsoku/>
        <w:wordWrap/>
        <w:topLinePunct w:val="0"/>
        <w:bidi w:val="0"/>
        <w:adjustRightInd/>
        <w:snapToGrid/>
        <w:spacing w:line="560" w:lineRule="exact"/>
        <w:ind w:firstLine="643"/>
        <w:textAlignment w:val="auto"/>
        <w:rPr>
          <w:rFonts w:ascii="黑体" w:hAnsi="黑体" w:eastAsia="黑体" w:cs="黑体"/>
          <w:b w:val="0"/>
          <w:bCs w:val="0"/>
        </w:rPr>
      </w:pPr>
      <w:r>
        <w:rPr>
          <w:rFonts w:hint="eastAsia" w:ascii="黑体" w:eastAsia="黑体"/>
          <w:b w:val="0"/>
          <w:bCs/>
          <w:szCs w:val="32"/>
        </w:rPr>
        <w:t>四</w:t>
      </w:r>
      <w:r>
        <w:rPr>
          <w:rFonts w:hint="eastAsia" w:ascii="黑体" w:eastAsia="黑体"/>
          <w:b w:val="0"/>
          <w:bCs/>
          <w:szCs w:val="32"/>
          <w:lang w:eastAsia="zh-CN"/>
        </w:rPr>
        <w:t>、</w:t>
      </w:r>
      <w:r>
        <w:rPr>
          <w:rFonts w:hint="eastAsia" w:ascii="黑体" w:hAnsi="黑体" w:eastAsia="黑体" w:cs="黑体"/>
          <w:b w:val="0"/>
          <w:bCs w:val="0"/>
          <w:lang w:eastAsia="zh-CN"/>
        </w:rPr>
        <w:t>事故</w:t>
      </w:r>
      <w:r>
        <w:rPr>
          <w:rFonts w:hint="eastAsia" w:ascii="黑体" w:hAnsi="黑体" w:eastAsia="黑体" w:cs="黑体"/>
          <w:b w:val="0"/>
          <w:bCs w:val="0"/>
        </w:rPr>
        <w:t>原因</w:t>
      </w:r>
      <w:r>
        <w:rPr>
          <w:rFonts w:hint="eastAsia" w:ascii="黑体" w:hAnsi="黑体" w:eastAsia="黑体" w:cs="黑体"/>
          <w:b w:val="0"/>
          <w:bCs w:val="0"/>
          <w:lang w:eastAsia="zh-CN"/>
        </w:rPr>
        <w:t>及</w:t>
      </w:r>
      <w:r>
        <w:rPr>
          <w:rFonts w:hint="eastAsia" w:ascii="黑体" w:hAnsi="黑体" w:eastAsia="黑体" w:cs="黑体"/>
          <w:b w:val="0"/>
          <w:bCs w:val="0"/>
        </w:rPr>
        <w:t>性质</w:t>
      </w:r>
    </w:p>
    <w:p>
      <w:pPr>
        <w:keepNext w:val="0"/>
        <w:keepLines w:val="0"/>
        <w:pageBreakBefore w:val="0"/>
        <w:kinsoku/>
        <w:wordWrap/>
        <w:topLinePunct w:val="0"/>
        <w:bidi w:val="0"/>
        <w:adjustRightInd/>
        <w:snapToGrid/>
        <w:spacing w:line="560" w:lineRule="exact"/>
        <w:ind w:firstLine="643"/>
        <w:textAlignment w:val="auto"/>
        <w:rPr>
          <w:rFonts w:ascii="楷体_GB2312" w:hAnsi="Times New Roman" w:eastAsia="楷体_GB2312"/>
          <w:b/>
          <w:bCs w:val="0"/>
          <w:szCs w:val="32"/>
        </w:rPr>
      </w:pPr>
      <w:r>
        <w:rPr>
          <w:rFonts w:hint="eastAsia" w:ascii="楷体_GB2312" w:hAnsi="Times New Roman" w:eastAsia="楷体_GB2312"/>
          <w:b/>
          <w:bCs w:val="0"/>
          <w:szCs w:val="32"/>
        </w:rPr>
        <w:t>（一）</w:t>
      </w:r>
      <w:r>
        <w:rPr>
          <w:rFonts w:hint="eastAsia" w:ascii="楷体_GB2312" w:hAnsi="Times New Roman" w:eastAsia="楷体_GB2312"/>
          <w:b/>
          <w:bCs w:val="0"/>
          <w:szCs w:val="32"/>
          <w:lang w:eastAsia="zh-CN"/>
        </w:rPr>
        <w:t>事故</w:t>
      </w:r>
      <w:r>
        <w:rPr>
          <w:rFonts w:hint="eastAsia" w:ascii="楷体_GB2312" w:hAnsi="Times New Roman" w:eastAsia="楷体_GB2312"/>
          <w:b/>
          <w:bCs w:val="0"/>
          <w:szCs w:val="32"/>
        </w:rPr>
        <w:t>原因</w:t>
      </w:r>
    </w:p>
    <w:p>
      <w:pPr>
        <w:keepNext w:val="0"/>
        <w:keepLines w:val="0"/>
        <w:pageBreakBefore w:val="0"/>
        <w:kinsoku/>
        <w:wordWrap/>
        <w:topLinePunct w:val="0"/>
        <w:bidi w:val="0"/>
        <w:adjustRightInd/>
        <w:snapToGrid/>
        <w:spacing w:line="560" w:lineRule="exact"/>
        <w:ind w:firstLine="643"/>
        <w:textAlignment w:val="auto"/>
        <w:rPr>
          <w:szCs w:val="32"/>
        </w:rPr>
      </w:pPr>
      <w:r>
        <w:rPr>
          <w:rFonts w:hint="eastAsia"/>
          <w:b/>
          <w:szCs w:val="32"/>
        </w:rPr>
        <w:t>1.直接原因</w:t>
      </w:r>
    </w:p>
    <w:p>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cs="仿宋_GB2312"/>
          <w:szCs w:val="32"/>
          <w:lang w:val="en-US" w:eastAsia="zh-CN"/>
        </w:rPr>
      </w:pPr>
      <w:r>
        <w:rPr>
          <w:rFonts w:hint="eastAsia" w:cs="仿宋_GB2312"/>
          <w:lang w:val="en-US" w:eastAsia="zh-CN"/>
        </w:rPr>
        <w:t>作业人员驾驶电动三轮车转弯时速度过快导致三轮车侧翻。</w:t>
      </w:r>
    </w:p>
    <w:p>
      <w:pPr>
        <w:keepNext w:val="0"/>
        <w:keepLines w:val="0"/>
        <w:pageBreakBefore w:val="0"/>
        <w:kinsoku/>
        <w:wordWrap/>
        <w:topLinePunct w:val="0"/>
        <w:bidi w:val="0"/>
        <w:adjustRightInd/>
        <w:snapToGrid/>
        <w:spacing w:line="560" w:lineRule="exact"/>
        <w:ind w:firstLine="643"/>
        <w:textAlignment w:val="auto"/>
        <w:rPr>
          <w:rFonts w:hint="eastAsia" w:ascii="仿宋_GB2312" w:hAnsi="仿宋_GB2312" w:eastAsia="仿宋_GB2312" w:cs="仿宋_GB2312"/>
          <w:szCs w:val="32"/>
          <w:lang w:eastAsia="zh-CN"/>
        </w:rPr>
      </w:pPr>
      <w:r>
        <w:rPr>
          <w:rFonts w:hint="eastAsia"/>
          <w:b/>
          <w:bCs/>
        </w:rPr>
        <w:t>2.间接原因</w:t>
      </w:r>
    </w:p>
    <w:p>
      <w:pPr>
        <w:keepNext w:val="0"/>
        <w:keepLines w:val="0"/>
        <w:pageBreakBefore w:val="0"/>
        <w:kinsoku/>
        <w:wordWrap/>
        <w:topLinePunct w:val="0"/>
        <w:bidi w:val="0"/>
        <w:adjustRightInd/>
        <w:snapToGrid/>
        <w:spacing w:line="560" w:lineRule="exact"/>
        <w:ind w:firstLine="643"/>
        <w:textAlignment w:val="auto"/>
        <w:rPr>
          <w:rFonts w:hint="eastAsia" w:cs="仿宋_GB2312"/>
          <w:color w:val="FF0000"/>
          <w:lang w:val="en-US" w:eastAsia="zh-CN"/>
        </w:rPr>
      </w:pPr>
      <w:r>
        <w:rPr>
          <w:rFonts w:hint="eastAsia" w:cs="仿宋_GB2312"/>
          <w:szCs w:val="32"/>
          <w:lang w:val="en-US" w:eastAsia="zh-CN"/>
        </w:rPr>
        <w:t>（1）</w:t>
      </w:r>
      <w:r>
        <w:rPr>
          <w:rFonts w:hint="eastAsia" w:cs="仿宋_GB2312"/>
          <w:lang w:val="en-US" w:eastAsia="zh-CN"/>
        </w:rPr>
        <w:t>强泰船舶公司安全生产主体责任落实不到位。作业现场安全监管缺失；对作业人员的安全教育培训流于形式，未能督促作业人员严格遵守安全生产操作规程。</w:t>
      </w:r>
    </w:p>
    <w:p>
      <w:pPr>
        <w:keepNext w:val="0"/>
        <w:keepLines w:val="0"/>
        <w:pageBreakBefore w:val="0"/>
        <w:kinsoku/>
        <w:wordWrap/>
        <w:topLinePunct w:val="0"/>
        <w:bidi w:val="0"/>
        <w:adjustRightInd/>
        <w:snapToGrid/>
        <w:spacing w:line="560" w:lineRule="exact"/>
        <w:ind w:firstLine="643"/>
        <w:textAlignment w:val="auto"/>
        <w:rPr>
          <w:rFonts w:hint="eastAsia" w:cs="仿宋_GB2312"/>
          <w:color w:val="auto"/>
          <w:szCs w:val="32"/>
          <w:lang w:eastAsia="zh-CN"/>
        </w:rPr>
      </w:pPr>
      <w:r>
        <w:rPr>
          <w:rFonts w:hint="eastAsia" w:cs="仿宋_GB2312"/>
          <w:color w:val="auto"/>
          <w:szCs w:val="32"/>
          <w:lang w:eastAsia="zh-CN"/>
        </w:rPr>
        <w:t>（</w:t>
      </w:r>
      <w:r>
        <w:rPr>
          <w:rFonts w:hint="eastAsia" w:cs="仿宋_GB2312"/>
          <w:color w:val="auto"/>
          <w:szCs w:val="32"/>
          <w:lang w:val="en-US" w:eastAsia="zh-CN"/>
        </w:rPr>
        <w:t>2</w:t>
      </w:r>
      <w:r>
        <w:rPr>
          <w:rFonts w:hint="eastAsia" w:cs="仿宋_GB2312"/>
          <w:color w:val="auto"/>
          <w:szCs w:val="32"/>
          <w:lang w:eastAsia="zh-CN"/>
        </w:rPr>
        <w:t>）华润大东公司安全生产管理职责落实不到位。对承包单位的安全生产工作协调和管理不力；未在生产作业区域设置明显的安全警示标志。</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楷体_GB2312" w:eastAsia="楷体_GB2312" w:cs="楷体_GB2312"/>
          <w:b/>
          <w:bCs w:val="0"/>
          <w:szCs w:val="32"/>
        </w:rPr>
      </w:pPr>
      <w:r>
        <w:rPr>
          <w:rFonts w:hint="eastAsia" w:ascii="楷体_GB2312" w:hAnsi="楷体_GB2312" w:eastAsia="楷体_GB2312" w:cs="楷体_GB2312"/>
          <w:b/>
          <w:bCs w:val="0"/>
          <w:szCs w:val="32"/>
        </w:rPr>
        <w:t>（二）事故性质</w:t>
      </w:r>
    </w:p>
    <w:p>
      <w:pPr>
        <w:keepNext w:val="0"/>
        <w:keepLines w:val="0"/>
        <w:pageBreakBefore w:val="0"/>
        <w:kinsoku/>
        <w:wordWrap/>
        <w:topLinePunct w:val="0"/>
        <w:bidi w:val="0"/>
        <w:adjustRightInd/>
        <w:snapToGrid/>
        <w:spacing w:line="560" w:lineRule="exact"/>
        <w:ind w:firstLine="640"/>
        <w:textAlignment w:val="auto"/>
        <w:rPr>
          <w:rFonts w:hint="eastAsia"/>
        </w:rPr>
      </w:pPr>
      <w:r>
        <w:rPr>
          <w:rFonts w:hint="eastAsia" w:ascii="仿宋_GB2312" w:hAnsi="仿宋_GB2312" w:eastAsia="仿宋_GB2312" w:cs="仿宋_GB2312"/>
        </w:rPr>
        <w:t>经事故调查组调查认定，这是一起</w:t>
      </w:r>
      <w:r>
        <w:rPr>
          <w:rFonts w:hint="eastAsia" w:cs="仿宋_GB2312"/>
          <w:lang w:eastAsia="zh-CN"/>
        </w:rPr>
        <w:t>一般</w:t>
      </w:r>
      <w:r>
        <w:rPr>
          <w:rFonts w:hint="eastAsia" w:ascii="仿宋_GB2312" w:hAnsi="仿宋_GB2312" w:eastAsia="仿宋_GB2312" w:cs="仿宋_GB2312"/>
        </w:rPr>
        <w:t>生产安全责任事故。</w:t>
      </w:r>
    </w:p>
    <w:p>
      <w:pPr>
        <w:keepNext w:val="0"/>
        <w:keepLines w:val="0"/>
        <w:pageBreakBefore w:val="0"/>
        <w:kinsoku/>
        <w:wordWrap/>
        <w:topLinePunct w:val="0"/>
        <w:bidi w:val="0"/>
        <w:adjustRightInd/>
        <w:snapToGrid/>
        <w:spacing w:line="560" w:lineRule="exact"/>
        <w:ind w:firstLine="643"/>
        <w:textAlignment w:val="auto"/>
        <w:rPr>
          <w:rFonts w:ascii="楷体_GB2312" w:hAnsi="Times New Roman" w:eastAsia="楷体_GB2312"/>
          <w:b w:val="0"/>
          <w:bCs w:val="0"/>
          <w:szCs w:val="32"/>
        </w:rPr>
      </w:pPr>
      <w:r>
        <w:rPr>
          <w:rFonts w:hint="eastAsia" w:ascii="黑体" w:hAnsi="黑体" w:eastAsia="黑体" w:cs="黑体"/>
          <w:b w:val="0"/>
          <w:bCs w:val="0"/>
          <w:lang w:eastAsia="zh-CN"/>
        </w:rPr>
        <w:t>五</w:t>
      </w:r>
      <w:r>
        <w:rPr>
          <w:rFonts w:hint="eastAsia" w:ascii="黑体" w:hAnsi="黑体" w:eastAsia="黑体" w:cs="黑体"/>
          <w:b w:val="0"/>
          <w:bCs w:val="0"/>
        </w:rPr>
        <w:t>、责任认定及处理建议</w:t>
      </w:r>
    </w:p>
    <w:p>
      <w:pPr>
        <w:keepNext w:val="0"/>
        <w:keepLines w:val="0"/>
        <w:pageBreakBefore w:val="0"/>
        <w:kinsoku/>
        <w:wordWrap/>
        <w:topLinePunct w:val="0"/>
        <w:bidi w:val="0"/>
        <w:adjustRightInd/>
        <w:snapToGrid/>
        <w:spacing w:line="560" w:lineRule="exact"/>
        <w:ind w:firstLine="643"/>
        <w:textAlignment w:val="auto"/>
        <w:rPr>
          <w:b/>
          <w:bCs w:val="0"/>
          <w:i w:val="0"/>
          <w:iCs w:val="0"/>
          <w:szCs w:val="32"/>
        </w:rPr>
      </w:pPr>
      <w:r>
        <w:rPr>
          <w:rFonts w:hint="eastAsia" w:ascii="楷体_GB2312" w:eastAsia="楷体_GB2312"/>
          <w:b/>
          <w:bCs w:val="0"/>
          <w:i w:val="0"/>
          <w:iCs w:val="0"/>
          <w:szCs w:val="32"/>
        </w:rPr>
        <w:t>（</w:t>
      </w:r>
      <w:r>
        <w:rPr>
          <w:rFonts w:hint="eastAsia" w:ascii="楷体_GB2312" w:eastAsia="楷体_GB2312"/>
          <w:b/>
          <w:bCs w:val="0"/>
          <w:i w:val="0"/>
          <w:iCs w:val="0"/>
          <w:szCs w:val="32"/>
          <w:lang w:eastAsia="zh-CN"/>
        </w:rPr>
        <w:t>一</w:t>
      </w:r>
      <w:r>
        <w:rPr>
          <w:rFonts w:hint="eastAsia" w:ascii="楷体_GB2312" w:eastAsia="楷体_GB2312"/>
          <w:b/>
          <w:bCs w:val="0"/>
          <w:i w:val="0"/>
          <w:iCs w:val="0"/>
          <w:szCs w:val="32"/>
        </w:rPr>
        <w:t>）责任单位</w:t>
      </w:r>
      <w:r>
        <w:rPr>
          <w:rFonts w:hint="eastAsia" w:ascii="楷体_GB2312" w:eastAsia="楷体_GB2312"/>
          <w:b/>
          <w:bCs w:val="0"/>
          <w:i w:val="0"/>
          <w:iCs w:val="0"/>
          <w:szCs w:val="32"/>
          <w:lang w:eastAsia="zh-CN"/>
        </w:rPr>
        <w:t>的</w:t>
      </w:r>
      <w:r>
        <w:rPr>
          <w:rFonts w:hint="eastAsia" w:ascii="楷体_GB2312" w:eastAsia="楷体_GB2312"/>
          <w:b/>
          <w:bCs w:val="0"/>
          <w:i w:val="0"/>
          <w:iCs w:val="0"/>
          <w:szCs w:val="32"/>
        </w:rPr>
        <w:t>认定</w:t>
      </w:r>
      <w:r>
        <w:rPr>
          <w:rFonts w:hint="eastAsia" w:ascii="楷体_GB2312" w:eastAsia="楷体_GB2312"/>
          <w:b/>
          <w:bCs w:val="0"/>
          <w:i w:val="0"/>
          <w:iCs w:val="0"/>
          <w:szCs w:val="32"/>
          <w:lang w:eastAsia="zh-CN"/>
        </w:rPr>
        <w:t>及</w:t>
      </w:r>
      <w:r>
        <w:rPr>
          <w:rFonts w:hint="eastAsia" w:ascii="楷体_GB2312" w:eastAsia="楷体_GB2312"/>
          <w:b/>
          <w:bCs w:val="0"/>
          <w:i w:val="0"/>
          <w:iCs w:val="0"/>
          <w:szCs w:val="32"/>
        </w:rPr>
        <w:t>处理</w:t>
      </w:r>
    </w:p>
    <w:p>
      <w:pPr>
        <w:keepNext w:val="0"/>
        <w:keepLines w:val="0"/>
        <w:pageBreakBefore w:val="0"/>
        <w:kinsoku/>
        <w:wordWrap/>
        <w:topLinePunct w:val="0"/>
        <w:bidi w:val="0"/>
        <w:adjustRightInd/>
        <w:snapToGrid/>
        <w:spacing w:line="560" w:lineRule="exact"/>
        <w:ind w:firstLine="640"/>
        <w:textAlignment w:val="auto"/>
        <w:rPr>
          <w:rFonts w:hint="eastAsia" w:cs="仿宋_GB2312"/>
          <w:lang w:val="en-US" w:eastAsia="zh-CN"/>
        </w:rPr>
      </w:pPr>
      <w:r>
        <w:rPr>
          <w:rFonts w:hint="eastAsia" w:cs="仿宋_GB2312"/>
          <w:lang w:val="en-US" w:eastAsia="zh-CN"/>
        </w:rPr>
        <w:t>强泰船舶公司安全生产主体责任落实不到位。作业现场安全监管缺失；对作业人员的安全教育培训流于形式，未能督促作业人员严格遵守安全生产操作规程。</w:t>
      </w:r>
    </w:p>
    <w:p>
      <w:pPr>
        <w:keepNext w:val="0"/>
        <w:keepLines w:val="0"/>
        <w:pageBreakBefore w:val="0"/>
        <w:kinsoku/>
        <w:wordWrap/>
        <w:topLinePunct w:val="0"/>
        <w:bidi w:val="0"/>
        <w:adjustRightInd/>
        <w:snapToGrid/>
        <w:spacing w:line="560" w:lineRule="exact"/>
        <w:ind w:firstLine="640"/>
        <w:textAlignment w:val="auto"/>
        <w:rPr>
          <w:rFonts w:hint="eastAsia" w:ascii="楷体_GB2312" w:hAnsi="Times New Roman" w:eastAsia="楷体_GB2312"/>
          <w:b/>
          <w:bCs w:val="0"/>
          <w:szCs w:val="32"/>
        </w:rPr>
      </w:pPr>
      <w:r>
        <w:rPr>
          <w:rFonts w:hint="eastAsia" w:ascii="仿宋_GB2312" w:hAnsi="仿宋_GB2312" w:eastAsia="仿宋_GB2312" w:cs="仿宋_GB2312"/>
          <w:szCs w:val="32"/>
        </w:rPr>
        <w:t>建议区应急局依据相关法律法规对</w:t>
      </w:r>
      <w:r>
        <w:rPr>
          <w:rFonts w:hint="eastAsia" w:ascii="仿宋_GB2312" w:hAnsi="仿宋_GB2312" w:eastAsia="仿宋_GB2312" w:cs="仿宋_GB2312"/>
          <w:color w:val="auto"/>
          <w:kern w:val="2"/>
          <w:sz w:val="32"/>
          <w:szCs w:val="22"/>
          <w:lang w:val="en-US" w:eastAsia="zh-CN" w:bidi="ar-SA"/>
        </w:rPr>
        <w:t>强泰船舶公司</w:t>
      </w:r>
      <w:r>
        <w:rPr>
          <w:rFonts w:hint="eastAsia" w:ascii="仿宋_GB2312" w:hAnsi="仿宋_GB2312" w:eastAsia="仿宋_GB2312" w:cs="仿宋_GB2312"/>
          <w:szCs w:val="32"/>
        </w:rPr>
        <w:t>给予行政处罚。</w:t>
      </w:r>
    </w:p>
    <w:p>
      <w:pPr>
        <w:keepNext w:val="0"/>
        <w:keepLines w:val="0"/>
        <w:pageBreakBefore w:val="0"/>
        <w:kinsoku/>
        <w:wordWrap/>
        <w:topLinePunct w:val="0"/>
        <w:bidi w:val="0"/>
        <w:adjustRightInd/>
        <w:snapToGrid/>
        <w:spacing w:line="560" w:lineRule="exact"/>
        <w:ind w:firstLine="643"/>
        <w:textAlignment w:val="auto"/>
        <w:rPr>
          <w:rFonts w:ascii="楷体_GB2312" w:hAnsi="Times New Roman" w:eastAsia="楷体_GB2312"/>
          <w:b/>
          <w:bCs w:val="0"/>
          <w:szCs w:val="32"/>
        </w:rPr>
      </w:pPr>
      <w:r>
        <w:rPr>
          <w:rFonts w:hint="eastAsia" w:ascii="楷体_GB2312" w:hAnsi="Times New Roman" w:eastAsia="楷体_GB2312"/>
          <w:b/>
          <w:bCs w:val="0"/>
          <w:szCs w:val="32"/>
        </w:rPr>
        <w:t>（</w:t>
      </w:r>
      <w:r>
        <w:rPr>
          <w:rFonts w:hint="eastAsia" w:ascii="楷体_GB2312" w:hAnsi="Times New Roman" w:eastAsia="楷体_GB2312"/>
          <w:b/>
          <w:bCs w:val="0"/>
          <w:szCs w:val="32"/>
          <w:lang w:eastAsia="zh-CN"/>
        </w:rPr>
        <w:t>二</w:t>
      </w:r>
      <w:r>
        <w:rPr>
          <w:rFonts w:hint="eastAsia" w:ascii="楷体_GB2312" w:hAnsi="Times New Roman" w:eastAsia="楷体_GB2312"/>
          <w:b/>
          <w:bCs w:val="0"/>
          <w:szCs w:val="32"/>
        </w:rPr>
        <w:t>）对责任人员的责任认定及处理建议</w:t>
      </w:r>
    </w:p>
    <w:p>
      <w:pPr>
        <w:keepNext w:val="0"/>
        <w:keepLines w:val="0"/>
        <w:pageBreakBefore w:val="0"/>
        <w:kinsoku/>
        <w:wordWrap/>
        <w:topLinePunct w:val="0"/>
        <w:bidi w:val="0"/>
        <w:adjustRightInd/>
        <w:snapToGrid/>
        <w:spacing w:line="560" w:lineRule="exact"/>
        <w:ind w:firstLine="64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Cs w:val="32"/>
        </w:rPr>
        <w:t>1.</w:t>
      </w:r>
      <w:r>
        <w:rPr>
          <w:rFonts w:hint="eastAsia" w:cs="仿宋_GB2312"/>
          <w:color w:val="auto"/>
          <w:kern w:val="2"/>
          <w:sz w:val="32"/>
          <w:szCs w:val="32"/>
          <w:lang w:val="en-US" w:eastAsia="zh-CN" w:bidi="ar-SA"/>
        </w:rPr>
        <w:t>徐某某，</w:t>
      </w:r>
      <w:r>
        <w:rPr>
          <w:rFonts w:hint="eastAsia" w:cs="仿宋_GB2312"/>
          <w:szCs w:val="32"/>
          <w:lang w:eastAsia="zh-CN"/>
        </w:rPr>
        <w:t>强泰船舶公司总带班</w:t>
      </w:r>
      <w:r>
        <w:rPr>
          <w:rFonts w:hint="eastAsia" w:ascii="仿宋_GB2312" w:hAnsi="仿宋_GB2312" w:eastAsia="仿宋_GB2312" w:cs="仿宋_GB2312"/>
          <w:szCs w:val="32"/>
        </w:rPr>
        <w:t>。</w:t>
      </w:r>
      <w:r>
        <w:rPr>
          <w:rFonts w:hint="eastAsia" w:cs="仿宋_GB2312"/>
          <w:szCs w:val="32"/>
          <w:lang w:eastAsia="zh-CN"/>
        </w:rPr>
        <w:t>安全意识薄弱</w:t>
      </w:r>
      <w:r>
        <w:rPr>
          <w:rFonts w:hint="eastAsia" w:ascii="仿宋_GB2312" w:hAnsi="仿宋_GB2312" w:eastAsia="仿宋_GB2312" w:cs="仿宋_GB2312"/>
          <w:szCs w:val="32"/>
        </w:rPr>
        <w:t>，</w:t>
      </w:r>
      <w:r>
        <w:rPr>
          <w:rFonts w:hint="eastAsia" w:cs="仿宋_GB2312"/>
          <w:szCs w:val="32"/>
          <w:lang w:eastAsia="zh-CN"/>
        </w:rPr>
        <w:t>驾驶电动三轮车速度过快，</w:t>
      </w:r>
      <w:r>
        <w:rPr>
          <w:rFonts w:hint="eastAsia" w:ascii="仿宋_GB2312" w:hAnsi="仿宋_GB2312" w:eastAsia="仿宋_GB2312" w:cs="仿宋_GB2312"/>
          <w:szCs w:val="32"/>
        </w:rPr>
        <w:t>对事故发生负有责任，鉴于已在事故中死亡，建议不追究责任。</w:t>
      </w:r>
    </w:p>
    <w:p>
      <w:pPr>
        <w:keepNext w:val="0"/>
        <w:keepLines w:val="0"/>
        <w:pageBreakBefore w:val="0"/>
        <w:kinsoku/>
        <w:wordWrap/>
        <w:topLinePunct w:val="0"/>
        <w:bidi w:val="0"/>
        <w:adjustRightInd/>
        <w:snapToGrid/>
        <w:spacing w:line="560" w:lineRule="exact"/>
        <w:ind w:firstLine="640"/>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2.</w:t>
      </w:r>
      <w:r>
        <w:rPr>
          <w:rFonts w:hint="eastAsia" w:cs="仿宋_GB2312"/>
          <w:lang w:eastAsia="zh-CN"/>
        </w:rPr>
        <w:t>刘中明，</w:t>
      </w:r>
      <w:r>
        <w:rPr>
          <w:rFonts w:hint="eastAsia" w:cs="仿宋_GB2312"/>
          <w:szCs w:val="32"/>
          <w:lang w:eastAsia="zh-CN"/>
        </w:rPr>
        <w:t>强泰船舶公司法定代表人</w:t>
      </w:r>
      <w:r>
        <w:rPr>
          <w:rFonts w:hint="eastAsia" w:ascii="仿宋_GB2312" w:hAnsi="仿宋_GB2312" w:eastAsia="仿宋_GB2312" w:cs="仿宋_GB2312"/>
          <w:lang w:eastAsia="zh-CN"/>
        </w:rPr>
        <w:t>。</w:t>
      </w:r>
      <w:r>
        <w:rPr>
          <w:rFonts w:hint="eastAsia" w:cs="仿宋_GB2312"/>
          <w:lang w:val="en-US" w:eastAsia="zh-CN"/>
        </w:rPr>
        <w:t>对作业人员的安全教育培训流于形式，未能督促作业人员严格遵守安全生产操作规程，</w:t>
      </w:r>
      <w:r>
        <w:rPr>
          <w:rFonts w:hint="eastAsia" w:ascii="仿宋_GB2312" w:hAnsi="仿宋_GB2312" w:eastAsia="仿宋_GB2312" w:cs="仿宋_GB2312"/>
          <w:lang w:eastAsia="zh-CN"/>
        </w:rPr>
        <w:t>对事故发生负有责任。</w:t>
      </w:r>
    </w:p>
    <w:p>
      <w:pPr>
        <w:keepNext w:val="0"/>
        <w:keepLines w:val="0"/>
        <w:pageBreakBefore w:val="0"/>
        <w:kinsoku/>
        <w:wordWrap/>
        <w:topLinePunct w:val="0"/>
        <w:bidi w:val="0"/>
        <w:adjustRightInd/>
        <w:snapToGrid/>
        <w:spacing w:line="560" w:lineRule="exact"/>
        <w:ind w:firstLine="643"/>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建议</w:t>
      </w:r>
      <w:r>
        <w:rPr>
          <w:rFonts w:hint="eastAsia" w:cs="仿宋_GB2312"/>
          <w:szCs w:val="32"/>
          <w:lang w:eastAsia="zh-CN"/>
        </w:rPr>
        <w:t>强泰船舶公司</w:t>
      </w:r>
      <w:r>
        <w:rPr>
          <w:rFonts w:hint="eastAsia" w:ascii="仿宋_GB2312" w:hAnsi="仿宋_GB2312" w:eastAsia="仿宋_GB2312" w:cs="仿宋_GB2312"/>
          <w:lang w:eastAsia="zh-CN"/>
        </w:rPr>
        <w:t>对上述事故责任人员及其他相关人员按照企业规定给予处理</w:t>
      </w:r>
      <w:r>
        <w:rPr>
          <w:rFonts w:hint="eastAsia" w:cs="仿宋_GB2312"/>
          <w:lang w:eastAsia="zh-CN"/>
        </w:rPr>
        <w:t>，</w:t>
      </w:r>
      <w:r>
        <w:rPr>
          <w:rFonts w:hint="eastAsia" w:ascii="仿宋_GB2312" w:hAnsi="仿宋_GB2312" w:eastAsia="仿宋_GB2312" w:cs="仿宋_GB2312"/>
          <w:lang w:eastAsia="zh-CN"/>
        </w:rPr>
        <w:t>处理结果报区应急局。</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lang w:val="en-US" w:eastAsia="zh-CN"/>
        </w:rPr>
      </w:pPr>
      <w:r>
        <w:rPr>
          <w:rFonts w:hint="eastAsia" w:cs="仿宋_GB2312"/>
          <w:lang w:val="en-US" w:eastAsia="zh-CN"/>
        </w:rPr>
        <w:t>3</w:t>
      </w:r>
      <w:r>
        <w:rPr>
          <w:rFonts w:hint="eastAsia" w:ascii="仿宋_GB2312" w:hAnsi="仿宋_GB2312" w:eastAsia="仿宋_GB2312" w:cs="仿宋_GB2312"/>
          <w:lang w:val="en-US" w:eastAsia="zh-CN"/>
        </w:rPr>
        <w:t>.</w:t>
      </w:r>
      <w:r>
        <w:rPr>
          <w:rFonts w:hint="eastAsia" w:cs="仿宋_GB2312"/>
          <w:lang w:val="en-US" w:eastAsia="zh-CN"/>
        </w:rPr>
        <w:t>刘博斐</w:t>
      </w:r>
      <w:r>
        <w:rPr>
          <w:rFonts w:hint="eastAsia" w:ascii="仿宋_GB2312" w:hAnsi="仿宋_GB2312" w:eastAsia="仿宋_GB2312" w:cs="仿宋_GB2312"/>
          <w:lang w:val="en-US" w:eastAsia="zh-CN"/>
        </w:rPr>
        <w:t>，</w:t>
      </w:r>
      <w:r>
        <w:rPr>
          <w:rFonts w:hint="eastAsia" w:cs="仿宋_GB2312"/>
          <w:lang w:val="en-US" w:eastAsia="zh-CN"/>
        </w:rPr>
        <w:t>华润大东公司机电车间工程主管</w:t>
      </w:r>
      <w:r>
        <w:rPr>
          <w:rFonts w:hint="eastAsia" w:ascii="仿宋_GB2312" w:hAnsi="仿宋_GB2312" w:eastAsia="仿宋_GB2312" w:cs="仿宋_GB2312"/>
          <w:lang w:val="en-US" w:eastAsia="zh-CN"/>
        </w:rPr>
        <w:t>。</w:t>
      </w:r>
      <w:r>
        <w:rPr>
          <w:rFonts w:hint="eastAsia" w:cs="仿宋_GB2312"/>
          <w:lang w:val="en-US" w:eastAsia="zh-CN"/>
        </w:rPr>
        <w:t>对作业现场安全监管不力；对作业人员的安全教育培训流于形式，未能督促作业人员严格遵守安全生产操作规程，对</w:t>
      </w:r>
      <w:r>
        <w:rPr>
          <w:rFonts w:hint="eastAsia" w:ascii="仿宋_GB2312" w:hAnsi="仿宋_GB2312" w:eastAsia="仿宋_GB2312" w:cs="仿宋_GB2312"/>
          <w:lang w:val="en-US" w:eastAsia="zh-CN"/>
        </w:rPr>
        <w:t>事故发生负有责任。</w:t>
      </w:r>
    </w:p>
    <w:p>
      <w:pPr>
        <w:pStyle w:val="2"/>
        <w:keepNext w:val="0"/>
        <w:keepLines w:val="0"/>
        <w:pageBreakBefore w:val="0"/>
        <w:kinsoku/>
        <w:wordWrap/>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22"/>
          <w:lang w:val="en-US" w:eastAsia="zh-CN" w:bidi="ar-SA"/>
        </w:rPr>
      </w:pPr>
      <w:r>
        <w:rPr>
          <w:rFonts w:hint="eastAsia" w:ascii="仿宋_GB2312" w:hAnsi="仿宋_GB2312" w:eastAsia="仿宋_GB2312" w:cs="仿宋_GB2312"/>
          <w:color w:val="auto"/>
          <w:kern w:val="2"/>
          <w:sz w:val="32"/>
          <w:szCs w:val="22"/>
          <w:lang w:val="en-US" w:eastAsia="zh-CN" w:bidi="ar-SA"/>
        </w:rPr>
        <w:t>建议华润大东</w:t>
      </w:r>
      <w:r>
        <w:rPr>
          <w:rFonts w:hint="eastAsia" w:ascii="仿宋_GB2312" w:hAnsi="仿宋_GB2312" w:eastAsia="仿宋_GB2312" w:cs="仿宋_GB2312"/>
          <w:color w:val="auto"/>
          <w:kern w:val="2"/>
          <w:sz w:val="32"/>
          <w:szCs w:val="32"/>
          <w:lang w:val="en-US" w:eastAsia="zh-CN" w:bidi="ar-SA"/>
        </w:rPr>
        <w:t>公司</w:t>
      </w:r>
      <w:r>
        <w:rPr>
          <w:rFonts w:hint="eastAsia" w:ascii="仿宋_GB2312" w:hAnsi="仿宋_GB2312" w:eastAsia="仿宋_GB2312" w:cs="仿宋_GB2312"/>
          <w:color w:val="auto"/>
          <w:kern w:val="2"/>
          <w:sz w:val="32"/>
          <w:szCs w:val="22"/>
          <w:lang w:val="en-US" w:eastAsia="zh-CN" w:bidi="ar-SA"/>
        </w:rPr>
        <w:t>对上述事故责任人员及其他相关人员按照企业规定给予处理，处理结果报区应急局。</w:t>
      </w:r>
    </w:p>
    <w:p>
      <w:pPr>
        <w:pStyle w:val="2"/>
        <w:keepNext w:val="0"/>
        <w:keepLines w:val="0"/>
        <w:pageBreakBefore w:val="0"/>
        <w:kinsoku/>
        <w:wordWrap/>
        <w:topLinePunct w:val="0"/>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22"/>
          <w:lang w:val="en-US" w:eastAsia="zh-CN" w:bidi="ar-SA"/>
        </w:rPr>
      </w:pPr>
      <w:r>
        <w:rPr>
          <w:rFonts w:hint="eastAsia" w:ascii="仿宋_GB2312" w:hAnsi="仿宋_GB2312" w:eastAsia="仿宋_GB2312" w:cs="仿宋_GB2312"/>
          <w:color w:val="auto"/>
          <w:kern w:val="2"/>
          <w:sz w:val="32"/>
          <w:szCs w:val="22"/>
          <w:lang w:val="en-US" w:eastAsia="zh-CN" w:bidi="ar-SA"/>
        </w:rPr>
        <w:t>4.陈新良，华润大东公司机电车间主任。对业务承包单位、机电车间管理人员履职不力情况失察失管，对事故发生负有责任。</w:t>
      </w:r>
    </w:p>
    <w:p>
      <w:pPr>
        <w:bidi w:val="0"/>
        <w:ind w:left="0" w:leftChars="0" w:firstLine="640" w:firstLineChars="200"/>
        <w:rPr>
          <w:rFonts w:hint="eastAsia"/>
          <w:color w:val="auto"/>
          <w:lang w:val="en-US" w:eastAsia="zh-CN"/>
        </w:rPr>
      </w:pPr>
      <w:r>
        <w:rPr>
          <w:rFonts w:hint="eastAsia"/>
          <w:color w:val="auto"/>
          <w:lang w:val="en-US" w:eastAsia="zh-CN"/>
        </w:rPr>
        <w:t>建议区应急局依据相关法律法规对</w:t>
      </w:r>
      <w:r>
        <w:rPr>
          <w:rFonts w:hint="eastAsia" w:ascii="仿宋_GB2312" w:hAnsi="仿宋_GB2312" w:eastAsia="仿宋_GB2312" w:cs="仿宋_GB2312"/>
          <w:color w:val="auto"/>
          <w:kern w:val="2"/>
          <w:sz w:val="32"/>
          <w:szCs w:val="22"/>
          <w:lang w:val="en-US" w:eastAsia="zh-CN" w:bidi="ar-SA"/>
        </w:rPr>
        <w:t>陈新良</w:t>
      </w:r>
      <w:r>
        <w:rPr>
          <w:rFonts w:hint="eastAsia"/>
          <w:color w:val="auto"/>
          <w:lang w:val="en-US" w:eastAsia="zh-CN"/>
        </w:rPr>
        <w:t>给予行政处罚。</w:t>
      </w:r>
    </w:p>
    <w:p>
      <w:pPr>
        <w:keepNext w:val="0"/>
        <w:keepLines w:val="0"/>
        <w:pageBreakBefore w:val="0"/>
        <w:kinsoku/>
        <w:wordWrap/>
        <w:topLinePunct w:val="0"/>
        <w:bidi w:val="0"/>
        <w:adjustRightInd/>
        <w:snapToGrid/>
        <w:spacing w:line="560" w:lineRule="exact"/>
        <w:ind w:firstLine="643"/>
        <w:textAlignment w:val="auto"/>
        <w:rPr>
          <w:rFonts w:hint="eastAsia" w:ascii="黑体" w:eastAsia="黑体"/>
          <w:b w:val="0"/>
          <w:bCs/>
          <w:szCs w:val="32"/>
          <w:lang w:eastAsia="zh-CN"/>
        </w:rPr>
      </w:pPr>
      <w:r>
        <w:rPr>
          <w:rFonts w:hint="eastAsia" w:ascii="黑体" w:eastAsia="黑体"/>
          <w:b w:val="0"/>
          <w:bCs/>
          <w:szCs w:val="32"/>
          <w:lang w:eastAsia="zh-CN"/>
        </w:rPr>
        <w:t>六</w:t>
      </w:r>
      <w:r>
        <w:rPr>
          <w:rFonts w:hint="eastAsia" w:ascii="黑体" w:eastAsia="黑体"/>
          <w:b w:val="0"/>
          <w:bCs/>
          <w:szCs w:val="32"/>
        </w:rPr>
        <w:t>、事故</w:t>
      </w:r>
      <w:r>
        <w:rPr>
          <w:rFonts w:hint="eastAsia" w:ascii="黑体" w:eastAsia="黑体"/>
          <w:b w:val="0"/>
          <w:bCs/>
          <w:szCs w:val="32"/>
          <w:lang w:eastAsia="zh-CN"/>
        </w:rPr>
        <w:t>教训</w:t>
      </w:r>
    </w:p>
    <w:p>
      <w:pPr>
        <w:keepNext w:val="0"/>
        <w:keepLines w:val="0"/>
        <w:pageBreakBefore w:val="0"/>
        <w:kinsoku/>
        <w:wordWrap/>
        <w:topLinePunct w:val="0"/>
        <w:bidi w:val="0"/>
        <w:adjustRightInd/>
        <w:snapToGrid/>
        <w:spacing w:line="560" w:lineRule="exact"/>
        <w:ind w:firstLine="64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针对“</w:t>
      </w:r>
      <w:r>
        <w:rPr>
          <w:rFonts w:hint="eastAsia" w:cs="仿宋_GB2312"/>
          <w:szCs w:val="32"/>
          <w:lang w:val="en-US" w:eastAsia="zh-CN"/>
        </w:rPr>
        <w:t>9</w:t>
      </w:r>
      <w:r>
        <w:rPr>
          <w:rFonts w:hint="eastAsia" w:ascii="仿宋_GB2312" w:hAnsi="仿宋_GB2312" w:eastAsia="仿宋_GB2312" w:cs="仿宋_GB2312"/>
          <w:szCs w:val="32"/>
        </w:rPr>
        <w:t>·</w:t>
      </w:r>
      <w:r>
        <w:rPr>
          <w:rFonts w:hint="eastAsia" w:cs="仿宋_GB2312"/>
          <w:szCs w:val="32"/>
          <w:lang w:val="en-US" w:eastAsia="zh-CN"/>
        </w:rPr>
        <w:t>18</w:t>
      </w:r>
      <w:r>
        <w:rPr>
          <w:rFonts w:hint="eastAsia" w:ascii="仿宋_GB2312" w:hAnsi="仿宋_GB2312" w:eastAsia="仿宋_GB2312" w:cs="仿宋_GB2312"/>
          <w:szCs w:val="32"/>
        </w:rPr>
        <w:t>”事故暴露出的问题，相关企业思想上要高度重视，深刻吸取事故教训，加强风险防控，抓好源头治理和事故预防，坚决</w:t>
      </w:r>
      <w:r>
        <w:rPr>
          <w:rFonts w:hint="eastAsia" w:cs="仿宋_GB2312"/>
          <w:szCs w:val="32"/>
          <w:lang w:eastAsia="zh-CN"/>
        </w:rPr>
        <w:t>杜绝</w:t>
      </w:r>
      <w:r>
        <w:rPr>
          <w:rFonts w:hint="eastAsia" w:ascii="仿宋_GB2312" w:hAnsi="仿宋_GB2312" w:eastAsia="仿宋_GB2312" w:cs="仿宋_GB2312"/>
          <w:szCs w:val="32"/>
        </w:rPr>
        <w:t>类似事故发生。</w:t>
      </w: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ascii="楷体_GB2312" w:hAnsi="楷体_GB2312" w:eastAsia="楷体_GB2312" w:cs="楷体_GB2312"/>
          <w:szCs w:val="32"/>
        </w:rPr>
        <w:t>（一）</w:t>
      </w:r>
      <w:r>
        <w:rPr>
          <w:rFonts w:hint="eastAsia" w:ascii="仿宋_GB2312" w:hAnsi="仿宋_GB2312" w:eastAsia="仿宋_GB2312" w:cs="Times New Roman"/>
          <w:color w:val="auto"/>
          <w:kern w:val="2"/>
          <w:sz w:val="32"/>
          <w:szCs w:val="22"/>
          <w:lang w:val="en-US" w:eastAsia="zh-CN" w:bidi="ar-SA"/>
        </w:rPr>
        <w:t>强泰船舶公司</w:t>
      </w:r>
      <w:r>
        <w:rPr>
          <w:rFonts w:hint="eastAsia"/>
          <w:szCs w:val="32"/>
        </w:rPr>
        <w:t>要切实加强安全生产管理，加强对公司员工的安全教育培训，</w:t>
      </w:r>
      <w:r>
        <w:rPr>
          <w:rFonts w:hint="eastAsia"/>
          <w:szCs w:val="32"/>
          <w:lang w:eastAsia="zh-CN"/>
        </w:rPr>
        <w:t>认真落实各项规章制度和操作规程，</w:t>
      </w:r>
      <w:r>
        <w:rPr>
          <w:rFonts w:hint="eastAsia"/>
          <w:szCs w:val="32"/>
        </w:rPr>
        <w:t>杜绝</w:t>
      </w:r>
      <w:r>
        <w:rPr>
          <w:rFonts w:hint="eastAsia"/>
          <w:szCs w:val="32"/>
          <w:lang w:eastAsia="zh-CN"/>
        </w:rPr>
        <w:t>违反电动三轮车驾驶规章制度、超载超速行驶</w:t>
      </w:r>
      <w:r>
        <w:rPr>
          <w:rFonts w:hint="eastAsia"/>
          <w:szCs w:val="32"/>
        </w:rPr>
        <w:t>等行为</w:t>
      </w:r>
      <w:r>
        <w:rPr>
          <w:rFonts w:hint="eastAsia"/>
          <w:szCs w:val="32"/>
          <w:lang w:eastAsia="zh-CN"/>
        </w:rPr>
        <w:t>发生</w:t>
      </w:r>
      <w:r>
        <w:rPr>
          <w:rFonts w:hint="eastAsia"/>
          <w:szCs w:val="32"/>
        </w:rPr>
        <w:t>。要建立健全生产安全事故隐患排查治理制度，加强现场监管，采取技术、管理措施，及时发现并消除</w:t>
      </w:r>
      <w:r>
        <w:rPr>
          <w:rFonts w:hint="eastAsia"/>
          <w:szCs w:val="32"/>
          <w:lang w:eastAsia="zh-CN"/>
        </w:rPr>
        <w:t>作业</w:t>
      </w:r>
      <w:r>
        <w:rPr>
          <w:rFonts w:hint="eastAsia"/>
          <w:szCs w:val="32"/>
        </w:rPr>
        <w:t>现场存在的事故隐患、违章作业行为。</w:t>
      </w:r>
    </w:p>
    <w:p>
      <w:pPr>
        <w:keepNext w:val="0"/>
        <w:keepLines w:val="0"/>
        <w:pageBreakBefore w:val="0"/>
        <w:kinsoku/>
        <w:wordWrap/>
        <w:topLinePunct w:val="0"/>
        <w:bidi w:val="0"/>
        <w:adjustRightInd/>
        <w:snapToGrid/>
        <w:spacing w:line="560" w:lineRule="exact"/>
        <w:ind w:firstLine="640"/>
        <w:textAlignment w:val="auto"/>
        <w:rPr>
          <w:rFonts w:hint="eastAsia"/>
          <w:szCs w:val="32"/>
        </w:rPr>
      </w:pPr>
      <w:r>
        <w:rPr>
          <w:rFonts w:hint="eastAsia" w:ascii="楷体_GB2312" w:hAnsi="楷体_GB2312" w:eastAsia="楷体_GB2312" w:cs="楷体_GB2312"/>
          <w:szCs w:val="32"/>
        </w:rPr>
        <w:t>（二）</w:t>
      </w:r>
      <w:r>
        <w:rPr>
          <w:rFonts w:hint="eastAsia"/>
          <w:szCs w:val="32"/>
          <w:lang w:eastAsia="zh-CN"/>
        </w:rPr>
        <w:t>相关</w:t>
      </w:r>
      <w:r>
        <w:rPr>
          <w:rFonts w:hint="eastAsia"/>
          <w:szCs w:val="32"/>
        </w:rPr>
        <w:t>企业要深刻吸取事故教训，针对</w:t>
      </w:r>
      <w:r>
        <w:rPr>
          <w:rFonts w:hint="eastAsia"/>
          <w:szCs w:val="32"/>
          <w:lang w:eastAsia="zh-CN"/>
        </w:rPr>
        <w:t>厂区内电动三轮车超速等现象</w:t>
      </w:r>
      <w:r>
        <w:rPr>
          <w:rFonts w:hint="eastAsia"/>
          <w:szCs w:val="32"/>
        </w:rPr>
        <w:t>，按照有关规程规范的要求，从风险辨识、方案制定、危险性分析、安全技术交底、防范措施落实、劳防用品配备等各个环节开展全面排查，切实做到隐患排查整改“五落实”，采取针对性措施，强化管理、堵塞漏洞，全面优化安全生产状态。</w:t>
      </w:r>
    </w:p>
    <w:p>
      <w:pPr>
        <w:keepNext w:val="0"/>
        <w:keepLines w:val="0"/>
        <w:pageBreakBefore w:val="0"/>
        <w:kinsoku/>
        <w:wordWrap/>
        <w:topLinePunct w:val="0"/>
        <w:bidi w:val="0"/>
        <w:adjustRightInd/>
        <w:snapToGrid/>
        <w:spacing w:line="560" w:lineRule="exact"/>
        <w:ind w:firstLine="640"/>
        <w:textAlignment w:val="auto"/>
        <w:rPr>
          <w:rFonts w:hint="eastAsia"/>
          <w:szCs w:val="32"/>
        </w:rPr>
      </w:pPr>
      <w:r>
        <w:rPr>
          <w:rFonts w:hint="eastAsia" w:ascii="楷体_GB2312" w:hAnsi="楷体_GB2312" w:eastAsia="楷体_GB2312" w:cs="楷体_GB2312"/>
          <w:szCs w:val="32"/>
        </w:rPr>
        <w:t>（三）</w:t>
      </w:r>
      <w:r>
        <w:rPr>
          <w:rFonts w:hint="eastAsia"/>
          <w:szCs w:val="32"/>
          <w:lang w:eastAsia="zh-CN"/>
        </w:rPr>
        <w:t>相关企业</w:t>
      </w:r>
      <w:r>
        <w:rPr>
          <w:rFonts w:hint="eastAsia"/>
          <w:szCs w:val="32"/>
        </w:rPr>
        <w:t>要向全体人员通报该起事故的经过、原因，对全体员工进行全方位的安全意识、安全生产知识和技能的教育和培训，增强作业人员的安全生产自觉性，提高防范事故的能力；要严格落实事故“四不放过”要求，严肃处理相关责任人；要吸取事故教训，举一反三，全面细致地在单位内部组织开展事故隐患排查治理工作。</w:t>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rPr>
      </w:pPr>
    </w:p>
    <w:p>
      <w:pPr>
        <w:keepNext w:val="0"/>
        <w:keepLines w:val="0"/>
        <w:pageBreakBefore w:val="0"/>
        <w:kinsoku/>
        <w:wordWrap/>
        <w:topLinePunct w:val="0"/>
        <w:bidi w:val="0"/>
        <w:adjustRightInd/>
        <w:snapToGrid/>
        <w:spacing w:line="560" w:lineRule="exact"/>
        <w:ind w:firstLine="640"/>
        <w:textAlignment w:val="auto"/>
        <w:rPr>
          <w:szCs w:val="32"/>
        </w:rPr>
      </w:pPr>
      <w:r>
        <w:rPr>
          <w:rFonts w:hint="eastAsia"/>
          <w:szCs w:val="32"/>
        </w:rPr>
        <w:t>附件：1.直接经济损失明细</w:t>
      </w:r>
    </w:p>
    <w:p>
      <w:pPr>
        <w:keepNext w:val="0"/>
        <w:keepLines w:val="0"/>
        <w:pageBreakBefore w:val="0"/>
        <w:kinsoku/>
        <w:wordWrap/>
        <w:topLinePunct w:val="0"/>
        <w:bidi w:val="0"/>
        <w:adjustRightInd/>
        <w:snapToGrid/>
        <w:spacing w:line="560" w:lineRule="exact"/>
        <w:ind w:firstLine="1600" w:firstLineChars="500"/>
        <w:textAlignment w:val="auto"/>
        <w:rPr>
          <w:rFonts w:hint="eastAsia"/>
          <w:color w:val="auto"/>
          <w:szCs w:val="32"/>
        </w:rPr>
      </w:pPr>
      <w:r>
        <w:rPr>
          <w:rFonts w:hint="eastAsia"/>
          <w:color w:val="auto"/>
          <w:szCs w:val="32"/>
        </w:rPr>
        <w:t>2.人员伤亡情况</w:t>
      </w:r>
    </w:p>
    <w:p>
      <w:pPr>
        <w:keepNext w:val="0"/>
        <w:keepLines w:val="0"/>
        <w:pageBreakBefore w:val="0"/>
        <w:kinsoku/>
        <w:wordWrap/>
        <w:topLinePunct w:val="0"/>
        <w:bidi w:val="0"/>
        <w:adjustRightInd/>
        <w:snapToGrid/>
        <w:spacing w:line="560" w:lineRule="exact"/>
        <w:ind w:firstLine="1600" w:firstLineChars="500"/>
        <w:textAlignment w:val="auto"/>
        <w:rPr>
          <w:rFonts w:hint="eastAsia"/>
          <w:color w:val="auto"/>
          <w:szCs w:val="32"/>
          <w:shd w:val="clear" w:color="auto" w:fill="auto"/>
        </w:rPr>
      </w:pPr>
      <w:r>
        <w:rPr>
          <w:rFonts w:hint="eastAsia"/>
          <w:color w:val="auto"/>
          <w:szCs w:val="32"/>
          <w:shd w:val="clear" w:color="auto" w:fill="auto"/>
        </w:rPr>
        <w:t>3.事故调查组名单</w:t>
      </w:r>
    </w:p>
    <w:p>
      <w:pPr>
        <w:keepNext w:val="0"/>
        <w:keepLines w:val="0"/>
        <w:pageBreakBefore w:val="0"/>
        <w:kinsoku/>
        <w:wordWrap/>
        <w:topLinePunct w:val="0"/>
        <w:bidi w:val="0"/>
        <w:adjustRightInd/>
        <w:snapToGrid/>
        <w:spacing w:line="560" w:lineRule="exact"/>
        <w:ind w:firstLine="1600" w:firstLineChars="500"/>
        <w:textAlignment w:val="auto"/>
        <w:rPr>
          <w:rFonts w:hint="eastAsia"/>
          <w:color w:val="auto"/>
          <w:shd w:val="clear" w:color="auto" w:fill="auto"/>
        </w:rPr>
      </w:pPr>
      <w:r>
        <w:rPr>
          <w:rFonts w:hint="eastAsia"/>
          <w:color w:val="auto"/>
          <w:szCs w:val="32"/>
          <w:shd w:val="clear" w:color="auto" w:fill="auto"/>
        </w:rPr>
        <w:t>4.证据卷页</w:t>
      </w: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textAlignment w:val="auto"/>
        <w:outlineLvl w:val="9"/>
        <w:rPr>
          <w:rFonts w:hint="eastAsia"/>
          <w:sz w:val="32"/>
          <w:szCs w:val="32"/>
          <w:lang w:val="en-US" w:eastAsia="zh-CN"/>
        </w:rPr>
      </w:pPr>
    </w:p>
    <w:p>
      <w:pPr>
        <w:pStyle w:val="2"/>
        <w:keepNext w:val="0"/>
        <w:keepLines w:val="0"/>
        <w:pageBreakBefore w:val="0"/>
        <w:widowControl w:val="0"/>
        <w:kinsoku/>
        <w:wordWrap/>
        <w:topLinePunct w:val="0"/>
        <w:bidi w:val="0"/>
        <w:adjustRightInd/>
        <w:snapToGrid/>
        <w:spacing w:line="560" w:lineRule="exact"/>
        <w:textAlignment w:val="auto"/>
        <w:rPr>
          <w:rFonts w:hint="eastAsia"/>
          <w:sz w:val="32"/>
          <w:szCs w:val="32"/>
          <w:lang w:val="en-US" w:eastAsia="zh-CN"/>
        </w:rPr>
      </w:pPr>
    </w:p>
    <w:p>
      <w:pPr>
        <w:pStyle w:val="2"/>
        <w:keepNext w:val="0"/>
        <w:keepLines w:val="0"/>
        <w:pageBreakBefore w:val="0"/>
        <w:widowControl w:val="0"/>
        <w:kinsoku/>
        <w:wordWrap/>
        <w:topLinePunct w:val="0"/>
        <w:bidi w:val="0"/>
        <w:adjustRightInd/>
        <w:snapToGrid/>
        <w:spacing w:line="560" w:lineRule="exact"/>
        <w:textAlignment w:val="auto"/>
        <w:rPr>
          <w:rFonts w:hint="eastAsia"/>
          <w:sz w:val="32"/>
          <w:szCs w:val="32"/>
          <w:lang w:val="en-US" w:eastAsia="zh-CN"/>
        </w:rPr>
      </w:pPr>
    </w:p>
    <w:p>
      <w:pPr>
        <w:keepNext w:val="0"/>
        <w:keepLines w:val="0"/>
        <w:pageBreakBefore w:val="0"/>
        <w:kinsoku/>
        <w:wordWrap/>
        <w:topLinePunct w:val="0"/>
        <w:bidi w:val="0"/>
        <w:adjustRightInd/>
        <w:snapToGrid/>
        <w:spacing w:line="560" w:lineRule="exact"/>
        <w:ind w:firstLine="640"/>
        <w:jc w:val="center"/>
        <w:textAlignment w:val="auto"/>
        <w:rPr>
          <w:rFonts w:hint="eastAsia"/>
          <w:lang w:eastAsia="zh-CN"/>
        </w:rPr>
      </w:pPr>
      <w:r>
        <w:rPr>
          <w:rFonts w:hint="eastAsia"/>
          <w:lang w:val="en-US" w:eastAsia="zh-CN"/>
        </w:rPr>
        <w:t xml:space="preserve">                            </w:t>
      </w:r>
      <w:r>
        <w:rPr>
          <w:rFonts w:hint="eastAsia"/>
        </w:rPr>
        <w:t>“</w:t>
      </w:r>
      <w:r>
        <w:rPr>
          <w:rFonts w:hint="eastAsia"/>
          <w:lang w:val="en-US" w:eastAsia="zh-CN"/>
        </w:rPr>
        <w:t>9</w:t>
      </w:r>
      <w:r>
        <w:rPr>
          <w:rFonts w:hint="eastAsia"/>
        </w:rPr>
        <w:t>·</w:t>
      </w:r>
      <w:r>
        <w:rPr>
          <w:rFonts w:hint="eastAsia"/>
          <w:lang w:val="en-US" w:eastAsia="zh-CN"/>
        </w:rPr>
        <w:t>18</w:t>
      </w:r>
      <w:r>
        <w:rPr>
          <w:rFonts w:hint="eastAsia"/>
        </w:rPr>
        <w:t>”</w:t>
      </w:r>
      <w:r>
        <w:rPr>
          <w:rFonts w:hint="eastAsia"/>
          <w:lang w:eastAsia="zh-CN"/>
        </w:rPr>
        <w:t>车辆</w:t>
      </w:r>
      <w:r>
        <w:rPr>
          <w:rFonts w:hint="eastAsia"/>
        </w:rPr>
        <w:t>伤害</w:t>
      </w:r>
      <w:r>
        <w:rPr>
          <w:rFonts w:hint="eastAsia"/>
          <w:lang w:eastAsia="zh-CN"/>
        </w:rPr>
        <w:t>一般</w:t>
      </w:r>
    </w:p>
    <w:p>
      <w:pPr>
        <w:keepNext w:val="0"/>
        <w:keepLines w:val="0"/>
        <w:pageBreakBefore w:val="0"/>
        <w:kinsoku/>
        <w:wordWrap/>
        <w:topLinePunct w:val="0"/>
        <w:bidi w:val="0"/>
        <w:adjustRightInd/>
        <w:snapToGrid/>
        <w:spacing w:line="560" w:lineRule="exact"/>
        <w:ind w:firstLine="640"/>
        <w:jc w:val="right"/>
        <w:textAlignment w:val="auto"/>
        <w:rPr>
          <w:rFonts w:hint="eastAsia" w:eastAsia="仿宋_GB2312"/>
          <w:lang w:val="en-US" w:eastAsia="zh-CN"/>
        </w:rPr>
      </w:pPr>
      <w:r>
        <w:rPr>
          <w:rFonts w:hint="eastAsia"/>
          <w:lang w:eastAsia="zh-CN"/>
        </w:rPr>
        <w:t>生产安全责任</w:t>
      </w:r>
      <w:r>
        <w:rPr>
          <w:rFonts w:hint="eastAsia"/>
        </w:rPr>
        <w:t>事故调查</w:t>
      </w:r>
      <w:r>
        <w:rPr>
          <w:rFonts w:hint="eastAsia"/>
          <w:lang w:eastAsia="zh-CN"/>
        </w:rPr>
        <w:t>组</w:t>
      </w:r>
    </w:p>
    <w:p>
      <w:pPr>
        <w:keepNext w:val="0"/>
        <w:keepLines w:val="0"/>
        <w:pageBreakBefore w:val="0"/>
        <w:kinsoku/>
        <w:wordWrap/>
        <w:topLinePunct w:val="0"/>
        <w:bidi w:val="0"/>
        <w:adjustRightInd/>
        <w:snapToGrid/>
        <w:spacing w:line="560" w:lineRule="exact"/>
        <w:ind w:firstLine="640"/>
        <w:jc w:val="center"/>
        <w:textAlignment w:val="auto"/>
      </w:pPr>
      <w:r>
        <w:rPr>
          <w:rFonts w:hint="eastAsia"/>
          <w:lang w:val="en-US" w:eastAsia="zh-CN"/>
        </w:rPr>
        <w:t xml:space="preserve">                            2</w:t>
      </w:r>
      <w:r>
        <w:rPr>
          <w:rFonts w:hint="eastAsia"/>
        </w:rPr>
        <w:t>02</w:t>
      </w:r>
      <w:r>
        <w:rPr>
          <w:rFonts w:hint="eastAsia"/>
          <w:lang w:val="en-US" w:eastAsia="zh-CN"/>
        </w:rPr>
        <w:t>2</w:t>
      </w:r>
      <w:r>
        <w:rPr>
          <w:rFonts w:hint="eastAsia"/>
        </w:rPr>
        <w:t>年</w:t>
      </w:r>
      <w:r>
        <w:rPr>
          <w:rFonts w:hint="eastAsia"/>
          <w:lang w:val="en-US" w:eastAsia="zh-CN"/>
        </w:rPr>
        <w:t>11</w:t>
      </w:r>
      <w:r>
        <w:rPr>
          <w:rFonts w:hint="eastAsia"/>
        </w:rPr>
        <w:t>月</w:t>
      </w:r>
      <w:r>
        <w:rPr>
          <w:rFonts w:hint="eastAsia"/>
          <w:lang w:val="en-US" w:eastAsia="zh-CN"/>
        </w:rPr>
        <w:t>10</w:t>
      </w:r>
      <w:r>
        <w:rPr>
          <w:rFonts w:hint="eastAsia"/>
        </w:rPr>
        <w:t>日</w:t>
      </w:r>
    </w:p>
    <w:p>
      <w:pPr>
        <w:keepNext w:val="0"/>
        <w:keepLines w:val="0"/>
        <w:pageBreakBefore w:val="0"/>
        <w:kinsoku/>
        <w:wordWrap/>
        <w:topLinePunct w:val="0"/>
        <w:bidi w:val="0"/>
        <w:adjustRightInd/>
        <w:snapToGrid/>
        <w:spacing w:line="560" w:lineRule="exact"/>
        <w:textAlignment w:val="auto"/>
      </w:pPr>
      <w:r>
        <w:br w:type="page"/>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ascii="黑体" w:hAnsi="黑体" w:eastAsia="黑体" w:cs="黑体"/>
        </w:rPr>
      </w:pPr>
      <w:r>
        <w:rPr>
          <w:rFonts w:hint="eastAsia" w:ascii="黑体" w:hAnsi="黑体" w:eastAsia="黑体" w:cs="黑体"/>
          <w:color w:val="000000"/>
          <w:sz w:val="32"/>
          <w:szCs w:val="32"/>
        </w:rPr>
        <w:t>附件1</w:t>
      </w:r>
    </w:p>
    <w:p>
      <w:pPr>
        <w:keepNext w:val="0"/>
        <w:keepLines w:val="0"/>
        <w:pageBreakBefore w:val="0"/>
        <w:kinsoku/>
        <w:wordWrap/>
        <w:topLinePunct w:val="0"/>
        <w:bidi w:val="0"/>
        <w:adjustRightInd/>
        <w:snapToGrid/>
        <w:spacing w:line="560" w:lineRule="exact"/>
        <w:textAlignment w:val="auto"/>
      </w:pPr>
    </w:p>
    <w:p>
      <w:pPr>
        <w:ind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w:t>
      </w:r>
      <w:r>
        <w:rPr>
          <w:rFonts w:hint="eastAsia" w:ascii="方正小标宋简体" w:hAnsi="方正小标宋简体" w:eastAsia="方正小标宋简体" w:cs="方正小标宋简体"/>
          <w:bCs/>
          <w:sz w:val="44"/>
          <w:szCs w:val="44"/>
          <w:lang w:val="en-US" w:eastAsia="zh-CN"/>
        </w:rPr>
        <w:t>9</w:t>
      </w:r>
      <w:r>
        <w:rPr>
          <w:rFonts w:hint="eastAsia" w:ascii="方正小标宋简体" w:hAnsi="方正小标宋简体" w:eastAsia="方正小标宋简体" w:cs="方正小标宋简体"/>
          <w:bCs/>
          <w:sz w:val="44"/>
          <w:szCs w:val="44"/>
          <w:lang w:eastAsia="zh-CN"/>
        </w:rPr>
        <w:t>·</w:t>
      </w:r>
      <w:r>
        <w:rPr>
          <w:rFonts w:hint="eastAsia" w:ascii="方正小标宋简体" w:hAnsi="方正小标宋简体" w:eastAsia="方正小标宋简体" w:cs="方正小标宋简体"/>
          <w:bCs/>
          <w:sz w:val="44"/>
          <w:szCs w:val="44"/>
          <w:lang w:val="en-US" w:eastAsia="zh-CN"/>
        </w:rPr>
        <w:t>18</w:t>
      </w:r>
      <w:r>
        <w:rPr>
          <w:rFonts w:hint="eastAsia" w:ascii="方正小标宋简体" w:hAnsi="方正小标宋简体" w:eastAsia="方正小标宋简体" w:cs="方正小标宋简体"/>
          <w:bCs/>
          <w:sz w:val="44"/>
          <w:szCs w:val="44"/>
          <w:lang w:eastAsia="zh-CN"/>
        </w:rPr>
        <w:t>”车辆伤害一般生产安全责任事故</w:t>
      </w:r>
    </w:p>
    <w:p>
      <w:pPr>
        <w:ind w:firstLine="0" w:firstLineChars="0"/>
        <w:jc w:val="center"/>
        <w:rPr>
          <w:rFonts w:hAnsi="华文宋体"/>
          <w:bCs/>
          <w:sz w:val="44"/>
          <w:szCs w:val="44"/>
        </w:rPr>
      </w:pPr>
      <w:r>
        <w:rPr>
          <w:rFonts w:hint="eastAsia" w:ascii="方正小标宋简体" w:hAnsi="方正小标宋简体" w:eastAsia="方正小标宋简体" w:cs="方正小标宋简体"/>
          <w:bCs/>
          <w:sz w:val="44"/>
          <w:szCs w:val="44"/>
        </w:rPr>
        <w:t>直接经济损失明细</w:t>
      </w:r>
    </w:p>
    <w:p>
      <w:pPr>
        <w:ind w:firstLine="562"/>
        <w:jc w:val="center"/>
        <w:rPr>
          <w:rFonts w:hAnsi="华文宋体"/>
          <w:b/>
          <w:sz w:val="28"/>
          <w:szCs w:val="28"/>
        </w:rPr>
      </w:pPr>
    </w:p>
    <w:tbl>
      <w:tblPr>
        <w:tblStyle w:val="13"/>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268"/>
        <w:gridCol w:w="2267"/>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项目</w:t>
            </w:r>
          </w:p>
        </w:tc>
        <w:tc>
          <w:tcPr>
            <w:tcW w:w="2268"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人身伤亡后</w:t>
            </w:r>
          </w:p>
          <w:p>
            <w:pPr>
              <w:ind w:firstLine="0" w:firstLineChars="0"/>
              <w:jc w:val="center"/>
              <w:rPr>
                <w:rFonts w:ascii="黑体" w:hAnsi="黑体" w:eastAsia="黑体" w:cs="黑体"/>
                <w:bCs/>
                <w:szCs w:val="32"/>
              </w:rPr>
            </w:pPr>
            <w:r>
              <w:rPr>
                <w:rFonts w:hint="eastAsia" w:ascii="黑体" w:hAnsi="黑体" w:eastAsia="黑体" w:cs="黑体"/>
                <w:bCs/>
                <w:szCs w:val="32"/>
              </w:rPr>
              <w:t>支出的费用</w:t>
            </w:r>
          </w:p>
        </w:tc>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善后处理费用</w:t>
            </w:r>
          </w:p>
        </w:tc>
        <w:tc>
          <w:tcPr>
            <w:tcW w:w="2269"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费用</w:t>
            </w:r>
          </w:p>
        </w:tc>
        <w:tc>
          <w:tcPr>
            <w:tcW w:w="2268" w:type="dxa"/>
            <w:vAlign w:val="center"/>
          </w:tcPr>
          <w:p>
            <w:pPr>
              <w:ind w:firstLine="0" w:firstLineChars="0"/>
              <w:jc w:val="center"/>
              <w:rPr>
                <w:rFonts w:hAnsi="华文宋体"/>
                <w:b/>
                <w:szCs w:val="32"/>
              </w:rPr>
            </w:pPr>
            <w:r>
              <w:rPr>
                <w:rFonts w:hint="eastAsia" w:hAnsi="华文宋体"/>
                <w:bCs/>
                <w:szCs w:val="32"/>
              </w:rPr>
              <w:t>0</w:t>
            </w:r>
          </w:p>
        </w:tc>
        <w:tc>
          <w:tcPr>
            <w:tcW w:w="2267" w:type="dxa"/>
            <w:vAlign w:val="center"/>
          </w:tcPr>
          <w:p>
            <w:pPr>
              <w:ind w:left="0" w:leftChars="0" w:firstLine="0" w:firstLineChars="0"/>
              <w:jc w:val="center"/>
              <w:rPr>
                <w:rFonts w:hAnsi="华文宋体"/>
                <w:b/>
                <w:szCs w:val="32"/>
              </w:rPr>
            </w:pPr>
            <w:r>
              <w:rPr>
                <w:rFonts w:hint="eastAsia" w:hAnsi="华文宋体"/>
                <w:bCs/>
                <w:szCs w:val="32"/>
                <w:lang w:val="en-US" w:eastAsia="zh-CN"/>
              </w:rPr>
              <w:t>130</w:t>
            </w:r>
            <w:r>
              <w:rPr>
                <w:rFonts w:hint="eastAsia" w:hAnsi="华文宋体"/>
                <w:bCs/>
                <w:szCs w:val="32"/>
              </w:rPr>
              <w:t>万元</w:t>
            </w:r>
          </w:p>
        </w:tc>
        <w:tc>
          <w:tcPr>
            <w:tcW w:w="2269" w:type="dxa"/>
            <w:vAlign w:val="center"/>
          </w:tcPr>
          <w:p>
            <w:pPr>
              <w:ind w:firstLine="0" w:firstLineChars="0"/>
              <w:jc w:val="center"/>
              <w:rPr>
                <w:rFonts w:hAnsi="华文宋体"/>
                <w:b/>
                <w:szCs w:val="32"/>
              </w:rPr>
            </w:pPr>
            <w:r>
              <w:rPr>
                <w:rFonts w:hint="eastAsia" w:hAnsi="华文宋体"/>
                <w:bCs/>
                <w:szCs w:val="3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合计</w:t>
            </w:r>
          </w:p>
        </w:tc>
        <w:tc>
          <w:tcPr>
            <w:tcW w:w="6804" w:type="dxa"/>
            <w:gridSpan w:val="3"/>
            <w:vAlign w:val="center"/>
          </w:tcPr>
          <w:p>
            <w:pPr>
              <w:ind w:firstLine="0" w:firstLineChars="0"/>
              <w:jc w:val="center"/>
              <w:rPr>
                <w:rFonts w:hAnsi="华文宋体"/>
                <w:b/>
                <w:szCs w:val="32"/>
              </w:rPr>
            </w:pPr>
            <w:r>
              <w:rPr>
                <w:rFonts w:hint="eastAsia" w:hAnsi="华文宋体"/>
                <w:bCs/>
                <w:szCs w:val="32"/>
                <w:lang w:eastAsia="zh-CN"/>
              </w:rPr>
              <w:t>壹佰叁拾万元整</w:t>
            </w:r>
            <w:r>
              <w:rPr>
                <w:rFonts w:hint="eastAsia" w:hAnsi="华文宋体"/>
                <w:bCs/>
                <w:szCs w:val="32"/>
              </w:rPr>
              <w:t>（</w:t>
            </w:r>
            <w:r>
              <w:rPr>
                <w:rFonts w:hint="eastAsia" w:hAnsi="华文宋体"/>
                <w:bCs/>
                <w:szCs w:val="32"/>
                <w:lang w:val="en-US" w:eastAsia="zh-CN"/>
              </w:rPr>
              <w:t>130</w:t>
            </w:r>
            <w:r>
              <w:rPr>
                <w:rFonts w:hint="eastAsia" w:hAnsi="华文宋体"/>
                <w:bCs/>
                <w:szCs w:val="32"/>
              </w:rPr>
              <w:t>万元）</w:t>
            </w:r>
          </w:p>
        </w:tc>
      </w:tr>
    </w:tbl>
    <w:p>
      <w:pPr>
        <w:keepNext w:val="0"/>
        <w:keepLines w:val="0"/>
        <w:pageBreakBefore w:val="0"/>
        <w:kinsoku/>
        <w:wordWrap/>
        <w:topLinePunct w:val="0"/>
        <w:bidi w:val="0"/>
        <w:adjustRightInd/>
        <w:snapToGrid/>
        <w:spacing w:line="560" w:lineRule="exact"/>
        <w:ind w:firstLine="562"/>
        <w:jc w:val="both"/>
        <w:textAlignment w:val="auto"/>
        <w:rPr>
          <w:rFonts w:hint="eastAsia" w:ascii="仿宋_GB2312" w:eastAsia="仿宋_GB2312"/>
          <w:color w:val="000000"/>
          <w:sz w:val="32"/>
          <w:szCs w:val="32"/>
        </w:rPr>
      </w:pPr>
      <w:r>
        <w:rPr>
          <w:rFonts w:hAnsi="华文宋体"/>
          <w:b/>
          <w:sz w:val="28"/>
          <w:szCs w:val="28"/>
        </w:rPr>
        <w:br w:type="page"/>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ascii="黑体" w:hAnsi="黑体" w:eastAsia="黑体" w:cs="黑体"/>
        </w:rPr>
      </w:pPr>
      <w:r>
        <w:rPr>
          <w:rFonts w:hint="eastAsia" w:ascii="黑体" w:hAnsi="黑体" w:eastAsia="黑体" w:cs="黑体"/>
          <w:color w:val="000000"/>
          <w:sz w:val="32"/>
          <w:szCs w:val="32"/>
        </w:rPr>
        <w:t>附件2</w:t>
      </w:r>
    </w:p>
    <w:p>
      <w:pPr>
        <w:keepNext w:val="0"/>
        <w:keepLines w:val="0"/>
        <w:pageBreakBefore w:val="0"/>
        <w:kinsoku/>
        <w:wordWrap/>
        <w:topLinePunct w:val="0"/>
        <w:bidi w:val="0"/>
        <w:adjustRightInd/>
        <w:snapToGrid/>
        <w:spacing w:line="560" w:lineRule="exact"/>
        <w:textAlignment w:val="auto"/>
      </w:pPr>
    </w:p>
    <w:p>
      <w:pPr>
        <w:ind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“9·18”车辆伤害一般生产安全责任事故</w:t>
      </w:r>
    </w:p>
    <w:p>
      <w:pPr>
        <w:ind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人员伤亡情况</w:t>
      </w:r>
    </w:p>
    <w:p>
      <w:pPr>
        <w:bidi w:val="0"/>
      </w:pPr>
    </w:p>
    <w:tbl>
      <w:tblPr>
        <w:tblStyle w:val="13"/>
        <w:tblW w:w="93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992"/>
        <w:gridCol w:w="992"/>
        <w:gridCol w:w="1191"/>
        <w:gridCol w:w="1191"/>
        <w:gridCol w:w="2606"/>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姓名</w:t>
            </w:r>
          </w:p>
        </w:tc>
        <w:tc>
          <w:tcPr>
            <w:tcW w:w="99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性别</w:t>
            </w:r>
          </w:p>
        </w:tc>
        <w:tc>
          <w:tcPr>
            <w:tcW w:w="99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年龄</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工种</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籍贯</w:t>
            </w:r>
          </w:p>
        </w:tc>
        <w:tc>
          <w:tcPr>
            <w:tcW w:w="2606"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家庭</w:t>
            </w:r>
          </w:p>
          <w:p>
            <w:pPr>
              <w:ind w:firstLine="0" w:firstLineChars="0"/>
              <w:jc w:val="center"/>
              <w:rPr>
                <w:rFonts w:ascii="黑体" w:hAnsi="黑体" w:eastAsia="黑体" w:cs="黑体"/>
                <w:bCs/>
                <w:szCs w:val="32"/>
              </w:rPr>
            </w:pPr>
            <w:r>
              <w:rPr>
                <w:rFonts w:hint="eastAsia" w:ascii="黑体" w:hAnsi="黑体" w:eastAsia="黑体" w:cs="黑体"/>
                <w:bCs/>
                <w:szCs w:val="32"/>
              </w:rPr>
              <w:t>地址</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伤害</w:t>
            </w:r>
          </w:p>
          <w:p>
            <w:pPr>
              <w:ind w:firstLine="0" w:firstLineChars="0"/>
              <w:jc w:val="center"/>
              <w:rPr>
                <w:rFonts w:ascii="黑体" w:hAnsi="黑体" w:eastAsia="黑体" w:cs="黑体"/>
                <w:bCs/>
                <w:szCs w:val="32"/>
              </w:rPr>
            </w:pPr>
            <w:r>
              <w:rPr>
                <w:rFonts w:hint="eastAsia" w:ascii="黑体" w:hAnsi="黑体" w:eastAsia="黑体" w:cs="黑体"/>
                <w:bCs/>
                <w:szCs w:val="32"/>
              </w:rPr>
              <w:t>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91" w:type="dxa"/>
            <w:vAlign w:val="center"/>
          </w:tcPr>
          <w:p>
            <w:pPr>
              <w:ind w:firstLine="0" w:firstLineChars="0"/>
              <w:jc w:val="center"/>
              <w:rPr>
                <w:rFonts w:hint="eastAsia" w:hAnsi="华文宋体" w:eastAsia="仿宋_GB2312"/>
                <w:szCs w:val="32"/>
                <w:lang w:eastAsia="zh-CN"/>
              </w:rPr>
            </w:pPr>
            <w:r>
              <w:rPr>
                <w:rFonts w:hint="eastAsia" w:hAnsi="华文宋体"/>
                <w:szCs w:val="32"/>
                <w:lang w:eastAsia="zh-CN"/>
              </w:rPr>
              <w:t>徐某某</w:t>
            </w:r>
          </w:p>
        </w:tc>
        <w:tc>
          <w:tcPr>
            <w:tcW w:w="992" w:type="dxa"/>
            <w:vAlign w:val="center"/>
          </w:tcPr>
          <w:p>
            <w:pPr>
              <w:ind w:firstLine="0" w:firstLineChars="0"/>
              <w:jc w:val="center"/>
              <w:rPr>
                <w:rFonts w:hAnsi="华文宋体"/>
                <w:szCs w:val="32"/>
              </w:rPr>
            </w:pPr>
            <w:r>
              <w:rPr>
                <w:rFonts w:hint="eastAsia"/>
                <w:color w:val="auto"/>
                <w:szCs w:val="32"/>
                <w:lang w:val="en-US" w:eastAsia="zh-CN"/>
              </w:rPr>
              <w:t>男</w:t>
            </w:r>
          </w:p>
        </w:tc>
        <w:tc>
          <w:tcPr>
            <w:tcW w:w="992" w:type="dxa"/>
            <w:vAlign w:val="center"/>
          </w:tcPr>
          <w:p>
            <w:pPr>
              <w:ind w:firstLine="0" w:firstLineChars="0"/>
              <w:jc w:val="center"/>
              <w:rPr>
                <w:rFonts w:hAnsi="华文宋体"/>
                <w:szCs w:val="32"/>
              </w:rPr>
            </w:pPr>
            <w:r>
              <w:rPr>
                <w:rFonts w:hint="eastAsia" w:hAnsi="华文宋体"/>
                <w:szCs w:val="32"/>
                <w:lang w:val="en-US" w:eastAsia="zh-CN"/>
              </w:rPr>
              <w:t>45</w:t>
            </w:r>
            <w:r>
              <w:rPr>
                <w:rFonts w:hint="eastAsia" w:hAnsi="华文宋体"/>
                <w:szCs w:val="32"/>
              </w:rPr>
              <w:t>岁</w:t>
            </w:r>
          </w:p>
        </w:tc>
        <w:tc>
          <w:tcPr>
            <w:tcW w:w="1191" w:type="dxa"/>
            <w:vAlign w:val="center"/>
          </w:tcPr>
          <w:p>
            <w:pPr>
              <w:ind w:firstLine="0" w:firstLineChars="0"/>
              <w:jc w:val="center"/>
              <w:rPr>
                <w:rFonts w:hint="eastAsia" w:hAnsi="华文宋体" w:eastAsia="仿宋_GB2312"/>
                <w:szCs w:val="32"/>
                <w:lang w:eastAsia="zh-CN"/>
              </w:rPr>
            </w:pPr>
            <w:r>
              <w:rPr>
                <w:rFonts w:hint="eastAsia" w:hAnsi="华文宋体"/>
                <w:sz w:val="32"/>
                <w:szCs w:val="32"/>
                <w:lang w:val="en-US" w:eastAsia="zh-CN"/>
              </w:rPr>
              <w:t>总带班</w:t>
            </w:r>
          </w:p>
        </w:tc>
        <w:tc>
          <w:tcPr>
            <w:tcW w:w="1191" w:type="dxa"/>
            <w:vAlign w:val="center"/>
          </w:tcPr>
          <w:p>
            <w:pPr>
              <w:ind w:firstLine="0" w:firstLineChars="0"/>
              <w:jc w:val="center"/>
              <w:rPr>
                <w:rFonts w:hint="eastAsia" w:hAnsi="华文宋体" w:eastAsia="仿宋_GB2312"/>
                <w:szCs w:val="32"/>
                <w:lang w:eastAsia="zh-CN"/>
              </w:rPr>
            </w:pPr>
            <w:r>
              <w:rPr>
                <w:rFonts w:hint="eastAsia"/>
                <w:color w:val="auto"/>
                <w:szCs w:val="32"/>
                <w:lang w:eastAsia="zh-CN"/>
              </w:rPr>
              <w:t>安徽省</w:t>
            </w:r>
          </w:p>
        </w:tc>
        <w:tc>
          <w:tcPr>
            <w:tcW w:w="2606" w:type="dxa"/>
            <w:vAlign w:val="center"/>
          </w:tcPr>
          <w:p>
            <w:pPr>
              <w:ind w:firstLine="0" w:firstLineChars="0"/>
              <w:jc w:val="center"/>
              <w:rPr>
                <w:rFonts w:hAnsi="华文宋体"/>
                <w:szCs w:val="32"/>
              </w:rPr>
            </w:pPr>
            <w:r>
              <w:rPr>
                <w:rFonts w:hint="eastAsia"/>
                <w:color w:val="auto"/>
                <w:spacing w:val="-11"/>
                <w:szCs w:val="32"/>
                <w:lang w:val="en-US" w:eastAsia="zh-CN"/>
              </w:rPr>
              <w:t>安徽省临泉县土陂乡XX村XX号</w:t>
            </w:r>
          </w:p>
        </w:tc>
        <w:tc>
          <w:tcPr>
            <w:tcW w:w="1191" w:type="dxa"/>
            <w:vAlign w:val="center"/>
          </w:tcPr>
          <w:p>
            <w:pPr>
              <w:ind w:firstLine="0" w:firstLineChars="0"/>
              <w:jc w:val="center"/>
              <w:rPr>
                <w:rFonts w:hAnsi="华文宋体"/>
                <w:szCs w:val="32"/>
              </w:rPr>
            </w:pPr>
            <w:r>
              <w:rPr>
                <w:rFonts w:hint="eastAsia" w:hAnsi="华文宋体"/>
                <w:szCs w:val="32"/>
              </w:rPr>
              <w:t>死亡</w:t>
            </w:r>
          </w:p>
        </w:tc>
      </w:tr>
    </w:tbl>
    <w:p>
      <w:pPr>
        <w:keepNext w:val="0"/>
        <w:keepLines w:val="0"/>
        <w:pageBreakBefore w:val="0"/>
        <w:kinsoku/>
        <w:wordWrap/>
        <w:topLinePunct w:val="0"/>
        <w:bidi w:val="0"/>
        <w:adjustRightInd/>
        <w:snapToGrid/>
        <w:spacing w:line="560" w:lineRule="exact"/>
        <w:ind w:firstLine="0" w:firstLineChars="0"/>
        <w:textAlignment w:val="auto"/>
        <w:rPr>
          <w:rFonts w:hint="eastAsia"/>
          <w:color w:val="auto"/>
          <w:szCs w:val="32"/>
          <w:lang w:val="en-US" w:eastAsia="zh-CN"/>
        </w:rPr>
      </w:pPr>
      <w:r>
        <w:rPr>
          <w:rFonts w:hint="eastAsia"/>
          <w:color w:val="auto"/>
          <w:szCs w:val="32"/>
          <w:lang w:val="en-US" w:eastAsia="zh-CN"/>
        </w:rPr>
        <w:t>身份证号：3421221976XXXXXXXX。</w:t>
      </w:r>
    </w:p>
    <w:p>
      <w:pPr>
        <w:rPr>
          <w:rFonts w:hint="eastAsia"/>
          <w:color w:val="auto"/>
          <w:szCs w:val="32"/>
          <w:lang w:val="en-US" w:eastAsia="zh-CN"/>
        </w:rPr>
      </w:pPr>
      <w:r>
        <w:rPr>
          <w:rFonts w:hint="eastAsia"/>
          <w:color w:val="auto"/>
          <w:szCs w:val="32"/>
          <w:lang w:val="en-US" w:eastAsia="zh-CN"/>
        </w:rPr>
        <w:br w:type="page"/>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ascii="黑体" w:hAnsi="黑体" w:eastAsia="黑体" w:cs="黑体"/>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3</w:t>
      </w:r>
    </w:p>
    <w:p>
      <w:pPr>
        <w:pStyle w:val="2"/>
        <w:rPr>
          <w:rFonts w:hint="eastAsia"/>
          <w:lang w:val="en-US" w:eastAsia="zh-CN"/>
        </w:rPr>
      </w:pPr>
      <w:r>
        <w:rPr>
          <w:rFonts w:hint="eastAsia"/>
          <w:lang w:val="en-US" w:eastAsia="zh-CN"/>
        </w:rPr>
        <w:drawing>
          <wp:inline distT="0" distB="0" distL="114300" distR="114300">
            <wp:extent cx="5394960" cy="7623175"/>
            <wp:effectExtent l="0" t="0" r="0" b="12065"/>
            <wp:docPr id="2" name="图片 2" descr="image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age5240"/>
                    <pic:cNvPicPr>
                      <a:picLocks noChangeAspect="1"/>
                    </pic:cNvPicPr>
                  </pic:nvPicPr>
                  <pic:blipFill>
                    <a:blip r:embed="rId6"/>
                    <a:stretch>
                      <a:fillRect/>
                    </a:stretch>
                  </pic:blipFill>
                  <pic:spPr>
                    <a:xfrm>
                      <a:off x="0" y="0"/>
                      <a:ext cx="5394960" cy="762317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3" name="图片 3" descr="image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age5241"/>
                    <pic:cNvPicPr>
                      <a:picLocks noChangeAspect="1"/>
                    </pic:cNvPicPr>
                  </pic:nvPicPr>
                  <pic:blipFill>
                    <a:blip r:embed="rId7"/>
                    <a:stretch>
                      <a:fillRect/>
                    </a:stretch>
                  </pic:blipFill>
                  <pic:spPr>
                    <a:xfrm>
                      <a:off x="0" y="0"/>
                      <a:ext cx="5616575" cy="7935595"/>
                    </a:xfrm>
                    <a:prstGeom prst="rect">
                      <a:avLst/>
                    </a:prstGeom>
                  </pic:spPr>
                </pic:pic>
              </a:graphicData>
            </a:graphic>
          </wp:inline>
        </w:drawing>
      </w:r>
    </w:p>
    <w:p>
      <w:pPr>
        <w:keepNext w:val="0"/>
        <w:keepLines w:val="0"/>
        <w:pageBreakBefore w:val="0"/>
        <w:kinsoku/>
        <w:wordWrap/>
        <w:topLinePunct w:val="0"/>
        <w:bidi w:val="0"/>
        <w:adjustRightInd/>
        <w:snapToGrid/>
        <w:spacing w:line="560" w:lineRule="exact"/>
        <w:ind w:left="0" w:leftChars="0" w:firstLine="0" w:firstLineChars="0"/>
        <w:textAlignment w:val="auto"/>
        <w:rPr>
          <w:rFonts w:hint="eastAsia" w:ascii="黑体" w:hAnsi="黑体" w:eastAsia="黑体" w:cs="黑体"/>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4</w:t>
      </w:r>
    </w:p>
    <w:p>
      <w:pPr>
        <w:pStyle w:val="2"/>
        <w:rPr>
          <w:rFonts w:hint="eastAsia"/>
          <w:lang w:val="en-US" w:eastAsia="zh-CN"/>
        </w:rPr>
      </w:pPr>
      <w:r>
        <w:rPr>
          <w:rFonts w:hint="eastAsia"/>
          <w:lang w:val="en-US" w:eastAsia="zh-CN"/>
        </w:rPr>
        <w:drawing>
          <wp:inline distT="0" distB="0" distL="114300" distR="114300">
            <wp:extent cx="5413375" cy="7648575"/>
            <wp:effectExtent l="0" t="0" r="12065" b="1905"/>
            <wp:docPr id="4" name="图片 4" descr="image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age5239"/>
                    <pic:cNvPicPr>
                      <a:picLocks noChangeAspect="1"/>
                    </pic:cNvPicPr>
                  </pic:nvPicPr>
                  <pic:blipFill>
                    <a:blip r:embed="rId8"/>
                    <a:stretch>
                      <a:fillRect/>
                    </a:stretch>
                  </pic:blipFill>
                  <pic:spPr>
                    <a:xfrm>
                      <a:off x="0" y="0"/>
                      <a:ext cx="5413375" cy="764857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6" name="图片 6" descr="image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age5237"/>
                    <pic:cNvPicPr>
                      <a:picLocks noChangeAspect="1"/>
                    </pic:cNvPicPr>
                  </pic:nvPicPr>
                  <pic:blipFill>
                    <a:blip r:embed="rId9"/>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7" name="图片 7" descr="image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age5238"/>
                    <pic:cNvPicPr>
                      <a:picLocks noChangeAspect="1"/>
                    </pic:cNvPicPr>
                  </pic:nvPicPr>
                  <pic:blipFill>
                    <a:blip r:embed="rId10"/>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8" name="图片 8" descr="image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age5236"/>
                    <pic:cNvPicPr>
                      <a:picLocks noChangeAspect="1"/>
                    </pic:cNvPicPr>
                  </pic:nvPicPr>
                  <pic:blipFill>
                    <a:blip r:embed="rId11"/>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9" name="图片 9" descr="image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age5235"/>
                    <pic:cNvPicPr>
                      <a:picLocks noChangeAspect="1"/>
                    </pic:cNvPicPr>
                  </pic:nvPicPr>
                  <pic:blipFill>
                    <a:blip r:embed="rId12"/>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10" name="图片 10" descr="image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age5234"/>
                    <pic:cNvPicPr>
                      <a:picLocks noChangeAspect="1"/>
                    </pic:cNvPicPr>
                  </pic:nvPicPr>
                  <pic:blipFill>
                    <a:blip r:embed="rId13"/>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11" name="图片 11" descr="image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age5233"/>
                    <pic:cNvPicPr>
                      <a:picLocks noChangeAspect="1"/>
                    </pic:cNvPicPr>
                  </pic:nvPicPr>
                  <pic:blipFill>
                    <a:blip r:embed="rId14"/>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12" name="图片 12" descr="image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age5232"/>
                    <pic:cNvPicPr>
                      <a:picLocks noChangeAspect="1"/>
                    </pic:cNvPicPr>
                  </pic:nvPicPr>
                  <pic:blipFill>
                    <a:blip r:embed="rId15"/>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13" name="图片 13" descr="image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age5231"/>
                    <pic:cNvPicPr>
                      <a:picLocks noChangeAspect="1"/>
                    </pic:cNvPicPr>
                  </pic:nvPicPr>
                  <pic:blipFill>
                    <a:blip r:embed="rId16"/>
                    <a:stretch>
                      <a:fillRect/>
                    </a:stretch>
                  </pic:blipFill>
                  <pic:spPr>
                    <a:xfrm>
                      <a:off x="0" y="0"/>
                      <a:ext cx="5616575" cy="793559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35595"/>
            <wp:effectExtent l="0" t="0" r="6985" b="4445"/>
            <wp:docPr id="14" name="图片 14" descr="image5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age5230"/>
                    <pic:cNvPicPr>
                      <a:picLocks noChangeAspect="1"/>
                    </pic:cNvPicPr>
                  </pic:nvPicPr>
                  <pic:blipFill>
                    <a:blip r:embed="rId17"/>
                    <a:stretch>
                      <a:fillRect/>
                    </a:stretch>
                  </pic:blipFill>
                  <pic:spPr>
                    <a:xfrm>
                      <a:off x="0" y="0"/>
                      <a:ext cx="5616575" cy="7935595"/>
                    </a:xfrm>
                    <a:prstGeom prst="rect">
                      <a:avLst/>
                    </a:prstGeom>
                  </pic:spPr>
                </pic:pic>
              </a:graphicData>
            </a:graphic>
          </wp:inline>
        </w:drawing>
      </w:r>
    </w:p>
    <w:sectPr>
      <w:headerReference r:id="rId3" w:type="default"/>
      <w:footerReference r:id="rId4" w:type="default"/>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1E6581"/>
    <w:rsid w:val="0049226C"/>
    <w:rsid w:val="007314C1"/>
    <w:rsid w:val="00A93302"/>
    <w:rsid w:val="011226ED"/>
    <w:rsid w:val="01771A41"/>
    <w:rsid w:val="01830647"/>
    <w:rsid w:val="01B74116"/>
    <w:rsid w:val="01DF2774"/>
    <w:rsid w:val="0259058E"/>
    <w:rsid w:val="02D72F6F"/>
    <w:rsid w:val="03295466"/>
    <w:rsid w:val="047A3A16"/>
    <w:rsid w:val="04C06F23"/>
    <w:rsid w:val="04EF3F3E"/>
    <w:rsid w:val="04FF1065"/>
    <w:rsid w:val="05164547"/>
    <w:rsid w:val="05202323"/>
    <w:rsid w:val="052A6AF7"/>
    <w:rsid w:val="05562427"/>
    <w:rsid w:val="055F3381"/>
    <w:rsid w:val="056767C7"/>
    <w:rsid w:val="05F2718C"/>
    <w:rsid w:val="060A79CF"/>
    <w:rsid w:val="069E1C05"/>
    <w:rsid w:val="06AE4D26"/>
    <w:rsid w:val="07C038D8"/>
    <w:rsid w:val="07DE3D84"/>
    <w:rsid w:val="08394A96"/>
    <w:rsid w:val="084A0A5F"/>
    <w:rsid w:val="08D760A0"/>
    <w:rsid w:val="096F1B34"/>
    <w:rsid w:val="0A701968"/>
    <w:rsid w:val="0ABE5AC7"/>
    <w:rsid w:val="0AE13339"/>
    <w:rsid w:val="0BC80A10"/>
    <w:rsid w:val="0BC972EA"/>
    <w:rsid w:val="0BDC6ED2"/>
    <w:rsid w:val="0C5E6434"/>
    <w:rsid w:val="0C92168D"/>
    <w:rsid w:val="0D4A73F2"/>
    <w:rsid w:val="0DB0180F"/>
    <w:rsid w:val="0DD96523"/>
    <w:rsid w:val="0E12185E"/>
    <w:rsid w:val="0E4527EE"/>
    <w:rsid w:val="0E6439E2"/>
    <w:rsid w:val="0E6809A0"/>
    <w:rsid w:val="0E8A7A57"/>
    <w:rsid w:val="0F483F47"/>
    <w:rsid w:val="0F6E5F63"/>
    <w:rsid w:val="10231408"/>
    <w:rsid w:val="102C266A"/>
    <w:rsid w:val="106529B7"/>
    <w:rsid w:val="10EA331B"/>
    <w:rsid w:val="112F2FC2"/>
    <w:rsid w:val="11F83CFB"/>
    <w:rsid w:val="12302A83"/>
    <w:rsid w:val="12A31505"/>
    <w:rsid w:val="12CD1F8E"/>
    <w:rsid w:val="139E664A"/>
    <w:rsid w:val="13FA2395"/>
    <w:rsid w:val="142D7659"/>
    <w:rsid w:val="149524C7"/>
    <w:rsid w:val="1511730C"/>
    <w:rsid w:val="154F49F1"/>
    <w:rsid w:val="155342C4"/>
    <w:rsid w:val="15612035"/>
    <w:rsid w:val="15F06302"/>
    <w:rsid w:val="16191622"/>
    <w:rsid w:val="16560D2A"/>
    <w:rsid w:val="16DD6508"/>
    <w:rsid w:val="17D227EF"/>
    <w:rsid w:val="17FB415F"/>
    <w:rsid w:val="18677FA4"/>
    <w:rsid w:val="18CA7AB4"/>
    <w:rsid w:val="19331BEA"/>
    <w:rsid w:val="193B58ED"/>
    <w:rsid w:val="19701DCB"/>
    <w:rsid w:val="198F0EF1"/>
    <w:rsid w:val="19B212E5"/>
    <w:rsid w:val="19E62E5D"/>
    <w:rsid w:val="1A15387E"/>
    <w:rsid w:val="1C122471"/>
    <w:rsid w:val="1C393E65"/>
    <w:rsid w:val="1C3B4042"/>
    <w:rsid w:val="1CB84EAD"/>
    <w:rsid w:val="1CE804A1"/>
    <w:rsid w:val="1D4622ED"/>
    <w:rsid w:val="1DA23F57"/>
    <w:rsid w:val="1DCA11AB"/>
    <w:rsid w:val="1E902D3E"/>
    <w:rsid w:val="1F571467"/>
    <w:rsid w:val="1FF73C9B"/>
    <w:rsid w:val="207E6980"/>
    <w:rsid w:val="20CF77A0"/>
    <w:rsid w:val="20E3764F"/>
    <w:rsid w:val="21056583"/>
    <w:rsid w:val="211307A1"/>
    <w:rsid w:val="21454BB1"/>
    <w:rsid w:val="217B4653"/>
    <w:rsid w:val="217D35AF"/>
    <w:rsid w:val="21C42081"/>
    <w:rsid w:val="2241494C"/>
    <w:rsid w:val="226D24DB"/>
    <w:rsid w:val="22C3285F"/>
    <w:rsid w:val="230509C7"/>
    <w:rsid w:val="232A2776"/>
    <w:rsid w:val="234822C0"/>
    <w:rsid w:val="245C50AD"/>
    <w:rsid w:val="24E04B79"/>
    <w:rsid w:val="24E43046"/>
    <w:rsid w:val="25655E09"/>
    <w:rsid w:val="256A561D"/>
    <w:rsid w:val="256D1FB9"/>
    <w:rsid w:val="25990FAA"/>
    <w:rsid w:val="25DF5500"/>
    <w:rsid w:val="25F16C05"/>
    <w:rsid w:val="265D37A3"/>
    <w:rsid w:val="26750342"/>
    <w:rsid w:val="268E49FD"/>
    <w:rsid w:val="26C27358"/>
    <w:rsid w:val="27176387"/>
    <w:rsid w:val="27AE4DB2"/>
    <w:rsid w:val="27AE55B0"/>
    <w:rsid w:val="27C30FD3"/>
    <w:rsid w:val="287C097F"/>
    <w:rsid w:val="28806D1F"/>
    <w:rsid w:val="28837EFC"/>
    <w:rsid w:val="28AD287B"/>
    <w:rsid w:val="292629C6"/>
    <w:rsid w:val="2A231338"/>
    <w:rsid w:val="2A97034A"/>
    <w:rsid w:val="2AA97CD8"/>
    <w:rsid w:val="2AF073D3"/>
    <w:rsid w:val="2B1F6981"/>
    <w:rsid w:val="2BCF1C43"/>
    <w:rsid w:val="2C6C1282"/>
    <w:rsid w:val="2CEB4EE3"/>
    <w:rsid w:val="2D3817DB"/>
    <w:rsid w:val="2D4A74C0"/>
    <w:rsid w:val="2DDF4AC3"/>
    <w:rsid w:val="2E0925BF"/>
    <w:rsid w:val="2E375E3E"/>
    <w:rsid w:val="2E39216F"/>
    <w:rsid w:val="2E766897"/>
    <w:rsid w:val="2F0F053D"/>
    <w:rsid w:val="2F480470"/>
    <w:rsid w:val="2FB12825"/>
    <w:rsid w:val="3003387F"/>
    <w:rsid w:val="3055724C"/>
    <w:rsid w:val="30AB6F28"/>
    <w:rsid w:val="30BE4B0D"/>
    <w:rsid w:val="30E10B9D"/>
    <w:rsid w:val="31397A0E"/>
    <w:rsid w:val="31484722"/>
    <w:rsid w:val="314A409B"/>
    <w:rsid w:val="31CC64A3"/>
    <w:rsid w:val="32227C4E"/>
    <w:rsid w:val="32243257"/>
    <w:rsid w:val="328E00C9"/>
    <w:rsid w:val="32A508BD"/>
    <w:rsid w:val="32A645C2"/>
    <w:rsid w:val="32AE5C7F"/>
    <w:rsid w:val="32AF396F"/>
    <w:rsid w:val="343C286A"/>
    <w:rsid w:val="34CB4B93"/>
    <w:rsid w:val="357351A7"/>
    <w:rsid w:val="3609171C"/>
    <w:rsid w:val="360C3FAA"/>
    <w:rsid w:val="365746B1"/>
    <w:rsid w:val="36AA4CF1"/>
    <w:rsid w:val="36CC42C2"/>
    <w:rsid w:val="37301974"/>
    <w:rsid w:val="374E7FC7"/>
    <w:rsid w:val="377C28E9"/>
    <w:rsid w:val="37E942E6"/>
    <w:rsid w:val="37F0281C"/>
    <w:rsid w:val="38083125"/>
    <w:rsid w:val="38571B5E"/>
    <w:rsid w:val="38811B06"/>
    <w:rsid w:val="38D01C56"/>
    <w:rsid w:val="38D5339A"/>
    <w:rsid w:val="39652DA3"/>
    <w:rsid w:val="3AA57D8C"/>
    <w:rsid w:val="3B7B52CD"/>
    <w:rsid w:val="3B8261F4"/>
    <w:rsid w:val="3BF859D3"/>
    <w:rsid w:val="3C334736"/>
    <w:rsid w:val="3C382D2A"/>
    <w:rsid w:val="3C4B1C5F"/>
    <w:rsid w:val="3C7054A5"/>
    <w:rsid w:val="3CD87AF5"/>
    <w:rsid w:val="3E552E87"/>
    <w:rsid w:val="3F207E48"/>
    <w:rsid w:val="3F6A65CB"/>
    <w:rsid w:val="3FB96C66"/>
    <w:rsid w:val="4051555F"/>
    <w:rsid w:val="40F960C2"/>
    <w:rsid w:val="413C5641"/>
    <w:rsid w:val="41B06802"/>
    <w:rsid w:val="41C2594C"/>
    <w:rsid w:val="41FA72C7"/>
    <w:rsid w:val="42BD2ADD"/>
    <w:rsid w:val="43036EDB"/>
    <w:rsid w:val="43634ACC"/>
    <w:rsid w:val="43FC7871"/>
    <w:rsid w:val="440E7A6A"/>
    <w:rsid w:val="44A52D54"/>
    <w:rsid w:val="44E64495"/>
    <w:rsid w:val="456A13F8"/>
    <w:rsid w:val="45802D6A"/>
    <w:rsid w:val="45C331DC"/>
    <w:rsid w:val="464B5637"/>
    <w:rsid w:val="46C638D5"/>
    <w:rsid w:val="46F0291B"/>
    <w:rsid w:val="472A4804"/>
    <w:rsid w:val="48132C9E"/>
    <w:rsid w:val="483C7D15"/>
    <w:rsid w:val="489F51AB"/>
    <w:rsid w:val="49FC2A97"/>
    <w:rsid w:val="4AF0020A"/>
    <w:rsid w:val="4AF37BEB"/>
    <w:rsid w:val="4B070BAC"/>
    <w:rsid w:val="4B3D031D"/>
    <w:rsid w:val="4B4D346F"/>
    <w:rsid w:val="4B686C5F"/>
    <w:rsid w:val="4BD04E73"/>
    <w:rsid w:val="4C283254"/>
    <w:rsid w:val="4C3228B2"/>
    <w:rsid w:val="4C3A25EE"/>
    <w:rsid w:val="4C6D6D1C"/>
    <w:rsid w:val="4CA37D04"/>
    <w:rsid w:val="4CB3172E"/>
    <w:rsid w:val="4CBF5D24"/>
    <w:rsid w:val="4D416B5A"/>
    <w:rsid w:val="4D8763A3"/>
    <w:rsid w:val="4DC17B00"/>
    <w:rsid w:val="4E6830AB"/>
    <w:rsid w:val="4E811B53"/>
    <w:rsid w:val="4F1B6090"/>
    <w:rsid w:val="4F3469F3"/>
    <w:rsid w:val="4F3D339C"/>
    <w:rsid w:val="4FC84C02"/>
    <w:rsid w:val="4FEF71F9"/>
    <w:rsid w:val="501202F2"/>
    <w:rsid w:val="50992D33"/>
    <w:rsid w:val="50AF6EB7"/>
    <w:rsid w:val="50BF6936"/>
    <w:rsid w:val="50F45A29"/>
    <w:rsid w:val="51714F75"/>
    <w:rsid w:val="51A533F6"/>
    <w:rsid w:val="51B569AD"/>
    <w:rsid w:val="525015BD"/>
    <w:rsid w:val="525D3B4A"/>
    <w:rsid w:val="527965E4"/>
    <w:rsid w:val="527C41BF"/>
    <w:rsid w:val="52F2211C"/>
    <w:rsid w:val="534E1E12"/>
    <w:rsid w:val="53835579"/>
    <w:rsid w:val="543017A3"/>
    <w:rsid w:val="5479271D"/>
    <w:rsid w:val="54820734"/>
    <w:rsid w:val="54901AF5"/>
    <w:rsid w:val="554E3311"/>
    <w:rsid w:val="55666D6E"/>
    <w:rsid w:val="55F46F77"/>
    <w:rsid w:val="56B9355A"/>
    <w:rsid w:val="56BC4C71"/>
    <w:rsid w:val="57083367"/>
    <w:rsid w:val="574249AC"/>
    <w:rsid w:val="57DF4677"/>
    <w:rsid w:val="58625F0C"/>
    <w:rsid w:val="58A550DC"/>
    <w:rsid w:val="58AD06FA"/>
    <w:rsid w:val="58BD28DE"/>
    <w:rsid w:val="58C63661"/>
    <w:rsid w:val="58FD7D40"/>
    <w:rsid w:val="592477B9"/>
    <w:rsid w:val="596F425D"/>
    <w:rsid w:val="5977224D"/>
    <w:rsid w:val="598840E7"/>
    <w:rsid w:val="59F0476D"/>
    <w:rsid w:val="5A6728F7"/>
    <w:rsid w:val="5AC40CA0"/>
    <w:rsid w:val="5AE13258"/>
    <w:rsid w:val="5C571A74"/>
    <w:rsid w:val="5CFC1629"/>
    <w:rsid w:val="5D441EDD"/>
    <w:rsid w:val="5D5B4F1E"/>
    <w:rsid w:val="5D7D5097"/>
    <w:rsid w:val="5E342028"/>
    <w:rsid w:val="5E3D4A1F"/>
    <w:rsid w:val="5E806114"/>
    <w:rsid w:val="5E8769F3"/>
    <w:rsid w:val="5E975541"/>
    <w:rsid w:val="5EBF2D30"/>
    <w:rsid w:val="5F167CC2"/>
    <w:rsid w:val="610A200F"/>
    <w:rsid w:val="61552376"/>
    <w:rsid w:val="6179674C"/>
    <w:rsid w:val="61A003CB"/>
    <w:rsid w:val="61CC0794"/>
    <w:rsid w:val="61F7116C"/>
    <w:rsid w:val="6248711B"/>
    <w:rsid w:val="62D1249C"/>
    <w:rsid w:val="63040874"/>
    <w:rsid w:val="633D5AF8"/>
    <w:rsid w:val="636B7316"/>
    <w:rsid w:val="63B65C4B"/>
    <w:rsid w:val="63F66932"/>
    <w:rsid w:val="6419701E"/>
    <w:rsid w:val="64782029"/>
    <w:rsid w:val="64E07185"/>
    <w:rsid w:val="65482A39"/>
    <w:rsid w:val="657C7C9C"/>
    <w:rsid w:val="659D634F"/>
    <w:rsid w:val="659E1D09"/>
    <w:rsid w:val="65CE180F"/>
    <w:rsid w:val="661A7DD9"/>
    <w:rsid w:val="66A3558D"/>
    <w:rsid w:val="676168D9"/>
    <w:rsid w:val="679F5BBC"/>
    <w:rsid w:val="67B746E8"/>
    <w:rsid w:val="67DC3CDE"/>
    <w:rsid w:val="683E5C68"/>
    <w:rsid w:val="684915B9"/>
    <w:rsid w:val="68A24D72"/>
    <w:rsid w:val="68AA315D"/>
    <w:rsid w:val="693C10B1"/>
    <w:rsid w:val="6996349F"/>
    <w:rsid w:val="69E462C5"/>
    <w:rsid w:val="6A286F66"/>
    <w:rsid w:val="6A3B2A9E"/>
    <w:rsid w:val="6A943494"/>
    <w:rsid w:val="6AC4161F"/>
    <w:rsid w:val="6AF762D4"/>
    <w:rsid w:val="6B2A1810"/>
    <w:rsid w:val="6C2B57A3"/>
    <w:rsid w:val="6C7D4E22"/>
    <w:rsid w:val="6CB440B2"/>
    <w:rsid w:val="6CBC2D03"/>
    <w:rsid w:val="6D040631"/>
    <w:rsid w:val="6D267FE2"/>
    <w:rsid w:val="6D2738CE"/>
    <w:rsid w:val="6D34722A"/>
    <w:rsid w:val="6DA53050"/>
    <w:rsid w:val="6E1F4585"/>
    <w:rsid w:val="6E6A59F3"/>
    <w:rsid w:val="6F2F0685"/>
    <w:rsid w:val="6F337072"/>
    <w:rsid w:val="70982403"/>
    <w:rsid w:val="709D5435"/>
    <w:rsid w:val="70E9167B"/>
    <w:rsid w:val="711C1FED"/>
    <w:rsid w:val="725C2A40"/>
    <w:rsid w:val="72BB1748"/>
    <w:rsid w:val="72FF24CB"/>
    <w:rsid w:val="73546671"/>
    <w:rsid w:val="73934A1F"/>
    <w:rsid w:val="73C470CC"/>
    <w:rsid w:val="74415023"/>
    <w:rsid w:val="74457313"/>
    <w:rsid w:val="74753403"/>
    <w:rsid w:val="74F0131C"/>
    <w:rsid w:val="75115393"/>
    <w:rsid w:val="76225DA0"/>
    <w:rsid w:val="77A06791"/>
    <w:rsid w:val="77A5619C"/>
    <w:rsid w:val="77F929F7"/>
    <w:rsid w:val="780131BF"/>
    <w:rsid w:val="780F3611"/>
    <w:rsid w:val="78AB0A3F"/>
    <w:rsid w:val="78C65D8E"/>
    <w:rsid w:val="78FB4EBC"/>
    <w:rsid w:val="791351F0"/>
    <w:rsid w:val="792C1D98"/>
    <w:rsid w:val="795C33BE"/>
    <w:rsid w:val="79683F8F"/>
    <w:rsid w:val="79A42111"/>
    <w:rsid w:val="79EE3A2B"/>
    <w:rsid w:val="7A14416D"/>
    <w:rsid w:val="7A476BDD"/>
    <w:rsid w:val="7A4B23CE"/>
    <w:rsid w:val="7A4D247D"/>
    <w:rsid w:val="7A6B785D"/>
    <w:rsid w:val="7AB841B5"/>
    <w:rsid w:val="7B830929"/>
    <w:rsid w:val="7BA257E6"/>
    <w:rsid w:val="7BC213FE"/>
    <w:rsid w:val="7BF41E15"/>
    <w:rsid w:val="7C7610CA"/>
    <w:rsid w:val="7D9E3A61"/>
    <w:rsid w:val="7DA52167"/>
    <w:rsid w:val="7DE2231D"/>
    <w:rsid w:val="7E005D4F"/>
    <w:rsid w:val="7E040796"/>
    <w:rsid w:val="7E0C0738"/>
    <w:rsid w:val="7E1270E2"/>
    <w:rsid w:val="7F0322CC"/>
    <w:rsid w:val="7F543508"/>
    <w:rsid w:val="7F6723C3"/>
    <w:rsid w:val="7FB75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10">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Normal Indent"/>
    <w:basedOn w:val="1"/>
    <w:next w:val="1"/>
    <w:qFormat/>
    <w:uiPriority w:val="0"/>
    <w:pPr>
      <w:ind w:firstLine="420" w:firstLineChars="200"/>
    </w:pPr>
    <w:rPr>
      <w:rFonts w:eastAsia="仿宋"/>
      <w:sz w:val="32"/>
    </w:rPr>
  </w:style>
  <w:style w:type="paragraph" w:styleId="4">
    <w:name w:val="Body Text Indent"/>
    <w:basedOn w:val="1"/>
    <w:next w:val="3"/>
    <w:qFormat/>
    <w:uiPriority w:val="0"/>
    <w:pPr>
      <w:spacing w:line="600" w:lineRule="exact"/>
      <w:ind w:firstLine="630"/>
    </w:pPr>
    <w:rPr>
      <w:rFonts w:ascii="仿宋_GB2312" w:eastAsia="仿宋_GB2312"/>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Body Text First Indent 2"/>
    <w:basedOn w:val="4"/>
    <w:next w:val="1"/>
    <w:qFormat/>
    <w:uiPriority w:val="0"/>
    <w:pPr>
      <w:spacing w:after="0"/>
      <w:ind w:firstLine="420" w:firstLineChars="200"/>
    </w:pPr>
    <w:rPr>
      <w:rFonts w:ascii="Calibri" w:hAnsi="Calibri" w:cs="Times New Roman"/>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character" w:styleId="11">
    <w:name w:val="footnote reference"/>
    <w:basedOn w:val="10"/>
    <w:qFormat/>
    <w:uiPriority w:val="0"/>
    <w:rPr>
      <w:vertAlign w:val="superscript"/>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5</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2022-11-02T00:32:00Z</cp:lastPrinted>
  <dcterms:modified xsi:type="dcterms:W3CDTF">2022-11-24T09:02:49Z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