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</w:pPr>
      <w:bookmarkStart w:id="0" w:name="_GoBack"/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关于“12·13”物体打击一般生产安全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</w:rPr>
      </w:pP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责任事故的调查报告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2022年12月13日上午8时20分左右，上海洽博实业有限公司</w:t>
      </w:r>
      <w:r>
        <w:rPr>
          <w:rFonts w:hint="eastAsia"/>
          <w:color w:val="auto"/>
          <w:sz w:val="32"/>
          <w:szCs w:val="32"/>
          <w:lang w:eastAsia="zh-CN"/>
        </w:rPr>
        <w:t>在油漆车间内</w:t>
      </w:r>
      <w:r>
        <w:rPr>
          <w:rFonts w:hint="eastAsia" w:ascii="仿宋_GB2312" w:eastAsia="仿宋_GB2312"/>
          <w:color w:val="auto"/>
          <w:sz w:val="32"/>
          <w:szCs w:val="32"/>
        </w:rPr>
        <w:t>发生一起物体打击亡人事故</w:t>
      </w:r>
      <w:r>
        <w:rPr>
          <w:rFonts w:hint="eastAsia"/>
          <w:color w:val="auto"/>
          <w:sz w:val="32"/>
          <w:szCs w:val="32"/>
          <w:lang w:eastAsia="zh-CN"/>
        </w:rPr>
        <w:t>（以下简称“</w:t>
      </w:r>
      <w:r>
        <w:rPr>
          <w:rFonts w:hint="eastAsia"/>
          <w:color w:val="auto"/>
          <w:sz w:val="32"/>
          <w:szCs w:val="32"/>
          <w:lang w:val="en-US" w:eastAsia="zh-CN"/>
        </w:rPr>
        <w:t>12·13</w:t>
      </w:r>
      <w:r>
        <w:rPr>
          <w:rFonts w:hint="eastAsia"/>
          <w:color w:val="auto"/>
          <w:sz w:val="32"/>
          <w:szCs w:val="32"/>
          <w:lang w:eastAsia="zh-CN"/>
        </w:rPr>
        <w:t>”</w:t>
      </w:r>
      <w:r>
        <w:rPr>
          <w:rFonts w:hint="eastAsia"/>
          <w:color w:val="auto"/>
          <w:sz w:val="32"/>
          <w:szCs w:val="32"/>
          <w:lang w:val="en-US" w:eastAsia="zh-CN"/>
        </w:rPr>
        <w:t>事故</w:t>
      </w:r>
      <w:r>
        <w:rPr>
          <w:rFonts w:hint="eastAsia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/>
          <w:color w:val="auto"/>
          <w:szCs w:val="32"/>
        </w:rPr>
      </w:pPr>
      <w:r>
        <w:rPr>
          <w:rFonts w:hint="eastAsia"/>
          <w:color w:val="auto"/>
          <w:szCs w:val="32"/>
        </w:rPr>
        <w:t>根据《中华人民共和国安全生产法》和《生产安全事故报告和调查处理条例》(国务院令第493号)及《上海市〈生产安全事故报告和调查处理条例〉的若干规定》（沪府规〔2018〕7号）,受上海市崇明区人民政府委托，成立由上海市崇明区应急管理局（以下简称区应急局）牵头，上海市公安局崇明分局、上海市崇明区总工会、</w:t>
      </w:r>
      <w:r>
        <w:rPr>
          <w:rFonts w:hint="eastAsia"/>
          <w:color w:val="auto"/>
          <w:szCs w:val="32"/>
          <w:lang w:eastAsia="zh-CN"/>
        </w:rPr>
        <w:t>上海市崇明区市场监督管理局（以下简称区市场监管局）、上海市崇明区</w:t>
      </w:r>
      <w:r>
        <w:rPr>
          <w:rFonts w:hint="eastAsia"/>
          <w:color w:val="auto"/>
          <w:szCs w:val="32"/>
        </w:rPr>
        <w:t>长兴镇人民政府等单位组成的“</w:t>
      </w:r>
      <w:r>
        <w:rPr>
          <w:rFonts w:hint="eastAsia"/>
          <w:color w:val="auto"/>
          <w:szCs w:val="32"/>
          <w:lang w:val="en-US" w:eastAsia="zh-CN"/>
        </w:rPr>
        <w:t>12</w:t>
      </w:r>
      <w:r>
        <w:rPr>
          <w:rFonts w:hint="eastAsia"/>
          <w:color w:val="auto"/>
          <w:szCs w:val="32"/>
        </w:rPr>
        <w:t>·</w:t>
      </w:r>
      <w:r>
        <w:rPr>
          <w:rFonts w:hint="eastAsia"/>
          <w:color w:val="auto"/>
          <w:szCs w:val="32"/>
          <w:lang w:val="en-US" w:eastAsia="zh-CN"/>
        </w:rPr>
        <w:t>13</w:t>
      </w:r>
      <w:r>
        <w:rPr>
          <w:rFonts w:hint="eastAsia"/>
          <w:color w:val="auto"/>
          <w:szCs w:val="32"/>
        </w:rPr>
        <w:t>”事故调查组（以下简称事故调查组），并邀请中共上海市崇明区纪律检查委员会（上海市崇明区监察委员会）监督，开展事故调查工作。现将调查主要情况报告如下：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ascii="黑体" w:eastAsia="黑体"/>
          <w:b w:val="0"/>
          <w:bCs/>
          <w:color w:val="auto"/>
          <w:szCs w:val="32"/>
          <w:lang w:eastAsia="zh-CN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（一）涉事单位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</w:pPr>
      <w:r>
        <w:rPr>
          <w:rFonts w:hint="eastAsia" w:cs="仿宋_GB2312"/>
          <w:color w:val="auto"/>
          <w:sz w:val="32"/>
          <w:szCs w:val="32"/>
          <w:lang w:eastAsia="zh-CN"/>
        </w:rPr>
        <w:t>上海洽博实业有限公司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（以下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简称</w:t>
      </w:r>
      <w:r>
        <w:rPr>
          <w:rFonts w:hint="eastAsia" w:cs="仿宋_GB2312"/>
          <w:color w:val="auto"/>
          <w:szCs w:val="32"/>
          <w:lang w:val="en-US" w:eastAsia="zh-CN"/>
        </w:rPr>
        <w:t>洽博公司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;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cs="仿宋_GB2312"/>
          <w:color w:val="auto"/>
          <w:sz w:val="32"/>
          <w:szCs w:val="32"/>
          <w:lang w:eastAsia="zh-CN"/>
        </w:rPr>
        <w:t>贺善忠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cs="仿宋_GB2312"/>
          <w:color w:val="auto"/>
          <w:sz w:val="32"/>
          <w:szCs w:val="32"/>
          <w:lang w:eastAsia="zh-CN"/>
        </w:rPr>
        <w:t>住所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cs="仿宋_GB2312"/>
          <w:color w:val="auto"/>
          <w:sz w:val="32"/>
          <w:szCs w:val="32"/>
          <w:lang w:eastAsia="zh-CN"/>
        </w:rPr>
        <w:t>上海市崇明区长兴镇潘园公路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1800号2号楼4150室（上海泰和经济发展有限公司）</w:t>
      </w:r>
      <w:r>
        <w:rPr>
          <w:rFonts w:hint="eastAsia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ascii="黑体" w:eastAsia="黑体"/>
          <w:b w:val="0"/>
          <w:bCs/>
          <w:color w:val="auto"/>
          <w:szCs w:val="32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二</w:t>
      </w:r>
      <w:r>
        <w:rPr>
          <w:rFonts w:hint="eastAsia" w:ascii="黑体" w:eastAsia="黑体"/>
          <w:b w:val="0"/>
          <w:bCs/>
          <w:color w:val="auto"/>
          <w:szCs w:val="32"/>
        </w:rPr>
        <w:t>、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事故</w:t>
      </w:r>
      <w:r>
        <w:rPr>
          <w:rFonts w:hint="eastAsia" w:ascii="黑体" w:eastAsia="黑体"/>
          <w:b w:val="0"/>
          <w:bCs/>
          <w:color w:val="auto"/>
          <w:szCs w:val="32"/>
        </w:rPr>
        <w:t>经过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outlineLvl w:val="9"/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2022年12月13日上午，洽博公司要将油漆车间外场放置的10根门框斜撑管（以下简称斜撑管）转运至油漆车间中跨。8时10分左右，洽博公司辅助工夏某某（死者）发现已转运的2根斜撑管间距过近，不便于后期喷漆作业，便指挥叉车同时叉起2根斜撑管，再逐一分开放置。8时20分左右，叉车将外侧斜撑管放在胎架上时，胎架发生侧翻，导致该斜撑管向北侧滚落打击到站在斜撑管北侧的夏某某头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outlineLvl w:val="9"/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事故发生后，夏某某被送至崇明区长兴镇社区卫生服务中心抢救。9时30分，经抢救无效死亡，死亡原因为颅脑外伤。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ascii="黑体" w:eastAsia="黑体"/>
          <w:b w:val="0"/>
          <w:bCs/>
          <w:color w:val="auto"/>
          <w:szCs w:val="32"/>
        </w:rPr>
      </w:pPr>
      <w:r>
        <w:rPr>
          <w:rFonts w:hint="eastAsia" w:ascii="黑体" w:eastAsia="黑体"/>
          <w:b w:val="0"/>
          <w:bCs/>
          <w:color w:val="auto"/>
          <w:szCs w:val="32"/>
        </w:rPr>
        <w:t>三、人员伤亡和经济损失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ascii="楷体_GB2312" w:eastAsia="楷体_GB2312"/>
          <w:b/>
          <w:b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color w:val="auto"/>
          <w:szCs w:val="32"/>
        </w:rPr>
        <w:t>（一）伤亡情况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本起事故造成1人死亡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死者：</w:t>
      </w:r>
      <w:r>
        <w:rPr>
          <w:rFonts w:hint="eastAsia" w:cs="仿宋_GB2312"/>
          <w:color w:val="auto"/>
          <w:kern w:val="2"/>
          <w:sz w:val="32"/>
          <w:szCs w:val="32"/>
          <w:lang w:val="en-US" w:eastAsia="zh-CN" w:bidi="ar-SA"/>
        </w:rPr>
        <w:t>夏某某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；性别：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男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；籍贯：</w:t>
      </w:r>
      <w:r>
        <w:rPr>
          <w:rFonts w:hint="eastAsia" w:cs="仿宋_GB2312"/>
          <w:color w:val="auto"/>
          <w:szCs w:val="32"/>
          <w:lang w:eastAsia="zh-CN"/>
        </w:rPr>
        <w:t>陕西省三原县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；文化程度：</w:t>
      </w:r>
      <w:r>
        <w:rPr>
          <w:rFonts w:hint="eastAsia" w:cs="仿宋_GB2312"/>
          <w:color w:val="auto"/>
          <w:szCs w:val="32"/>
          <w:lang w:eastAsia="zh-CN"/>
        </w:rPr>
        <w:t>小学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；出生年月：</w:t>
      </w:r>
      <w:r>
        <w:rPr>
          <w:rFonts w:hint="eastAsia" w:cs="仿宋_GB2312"/>
          <w:color w:val="auto"/>
          <w:szCs w:val="32"/>
          <w:lang w:val="en-US" w:eastAsia="zh-CN"/>
        </w:rPr>
        <w:t>1968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年</w:t>
      </w:r>
      <w:r>
        <w:rPr>
          <w:rFonts w:hint="eastAsia" w:cs="仿宋_GB2312"/>
          <w:color w:val="auto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月</w:t>
      </w:r>
      <w:r>
        <w:rPr>
          <w:rFonts w:hint="eastAsia" w:cs="仿宋_GB2312"/>
          <w:color w:val="auto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日；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户籍地址：</w:t>
      </w:r>
      <w:r>
        <w:rPr>
          <w:rFonts w:hint="eastAsia" w:cs="仿宋_GB2312"/>
          <w:color w:val="auto"/>
          <w:szCs w:val="32"/>
          <w:lang w:eastAsia="zh-CN"/>
        </w:rPr>
        <w:t>陕西省三原县XX镇XX村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身份证号：</w:t>
      </w:r>
      <w:r>
        <w:rPr>
          <w:rFonts w:hint="eastAsia" w:cs="仿宋_GB2312"/>
          <w:color w:val="auto"/>
          <w:szCs w:val="32"/>
          <w:lang w:val="en-US" w:eastAsia="zh-CN"/>
        </w:rPr>
        <w:t>610422196801XXXXXX</w:t>
      </w:r>
      <w:r>
        <w:rPr>
          <w:rFonts w:hint="eastAsia" w:ascii="仿宋_GB2312" w:hAnsi="仿宋_GB2312" w:eastAsia="仿宋_GB2312" w:cs="仿宋_GB2312"/>
          <w:color w:val="auto"/>
          <w:szCs w:val="32"/>
        </w:rPr>
        <w:t>。</w:t>
      </w:r>
      <w:r>
        <w:rPr>
          <w:rFonts w:hint="eastAsia" w:cs="仿宋_GB2312"/>
          <w:color w:val="auto"/>
          <w:szCs w:val="32"/>
          <w:lang w:val="en-US" w:eastAsia="zh-CN"/>
        </w:rPr>
        <w:t>2022年5月17日，夏某某</w:t>
      </w:r>
      <w:r>
        <w:rPr>
          <w:rFonts w:hint="eastAsia" w:cs="仿宋_GB2312"/>
          <w:color w:val="auto"/>
          <w:szCs w:val="32"/>
          <w:lang w:eastAsia="zh-CN"/>
        </w:rPr>
        <w:t>与洽博公司签订《劳务合同》，合同期限为20</w:t>
      </w:r>
      <w:r>
        <w:rPr>
          <w:rFonts w:hint="eastAsia" w:cs="仿宋_GB2312"/>
          <w:color w:val="auto"/>
          <w:szCs w:val="32"/>
          <w:lang w:val="en-US" w:eastAsia="zh-CN"/>
        </w:rPr>
        <w:t>22</w:t>
      </w:r>
      <w:r>
        <w:rPr>
          <w:rFonts w:hint="eastAsia" w:cs="仿宋_GB2312"/>
          <w:color w:val="auto"/>
          <w:szCs w:val="32"/>
          <w:lang w:eastAsia="zh-CN"/>
        </w:rPr>
        <w:t>年</w:t>
      </w:r>
      <w:r>
        <w:rPr>
          <w:rFonts w:hint="eastAsia" w:cs="仿宋_GB2312"/>
          <w:color w:val="auto"/>
          <w:szCs w:val="32"/>
          <w:lang w:val="en-US" w:eastAsia="zh-CN"/>
        </w:rPr>
        <w:t>5</w:t>
      </w:r>
      <w:r>
        <w:rPr>
          <w:rFonts w:hint="eastAsia" w:cs="仿宋_GB2312"/>
          <w:color w:val="auto"/>
          <w:szCs w:val="32"/>
          <w:lang w:eastAsia="zh-CN"/>
        </w:rPr>
        <w:t>月</w:t>
      </w:r>
      <w:r>
        <w:rPr>
          <w:rFonts w:hint="eastAsia" w:cs="仿宋_GB2312"/>
          <w:color w:val="auto"/>
          <w:szCs w:val="32"/>
          <w:lang w:val="en-US" w:eastAsia="zh-CN"/>
        </w:rPr>
        <w:t>16</w:t>
      </w:r>
      <w:r>
        <w:rPr>
          <w:rFonts w:hint="eastAsia" w:cs="仿宋_GB2312"/>
          <w:color w:val="auto"/>
          <w:szCs w:val="32"/>
          <w:lang w:eastAsia="zh-CN"/>
        </w:rPr>
        <w:t>日至202</w:t>
      </w:r>
      <w:r>
        <w:rPr>
          <w:rFonts w:hint="eastAsia" w:cs="仿宋_GB2312"/>
          <w:color w:val="auto"/>
          <w:szCs w:val="32"/>
          <w:lang w:val="en-US" w:eastAsia="zh-CN"/>
        </w:rPr>
        <w:t>3</w:t>
      </w:r>
      <w:r>
        <w:rPr>
          <w:rFonts w:hint="eastAsia" w:cs="仿宋_GB2312"/>
          <w:color w:val="auto"/>
          <w:szCs w:val="32"/>
          <w:lang w:eastAsia="zh-CN"/>
        </w:rPr>
        <w:t>年</w:t>
      </w:r>
      <w:r>
        <w:rPr>
          <w:rFonts w:hint="eastAsia" w:cs="仿宋_GB2312"/>
          <w:color w:val="auto"/>
          <w:szCs w:val="32"/>
          <w:lang w:val="en-US" w:eastAsia="zh-CN"/>
        </w:rPr>
        <w:t>5</w:t>
      </w:r>
      <w:r>
        <w:rPr>
          <w:rFonts w:hint="eastAsia" w:cs="仿宋_GB2312"/>
          <w:color w:val="auto"/>
          <w:szCs w:val="32"/>
          <w:lang w:eastAsia="zh-CN"/>
        </w:rPr>
        <w:t>月</w:t>
      </w:r>
      <w:r>
        <w:rPr>
          <w:rFonts w:hint="eastAsia" w:cs="仿宋_GB2312"/>
          <w:color w:val="auto"/>
          <w:szCs w:val="32"/>
          <w:lang w:val="en-US" w:eastAsia="zh-CN"/>
        </w:rPr>
        <w:t>15</w:t>
      </w:r>
      <w:r>
        <w:rPr>
          <w:rFonts w:hint="eastAsia" w:cs="仿宋_GB2312"/>
          <w:color w:val="auto"/>
          <w:szCs w:val="32"/>
          <w:lang w:eastAsia="zh-CN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楷体_GB2312" w:eastAsia="楷体_GB2312"/>
          <w:b/>
          <w:b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color w:val="auto"/>
          <w:szCs w:val="32"/>
        </w:rPr>
        <w:t>（二）经济损失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color w:val="auto"/>
          <w:szCs w:val="32"/>
        </w:rPr>
      </w:pPr>
      <w:r>
        <w:rPr>
          <w:rFonts w:hint="eastAsia"/>
          <w:color w:val="auto"/>
          <w:szCs w:val="32"/>
        </w:rPr>
        <w:t>本起事故造成直接经济损失约人民币</w:t>
      </w:r>
      <w:r>
        <w:rPr>
          <w:rFonts w:hint="eastAsia"/>
          <w:color w:val="auto"/>
          <w:szCs w:val="32"/>
          <w:lang w:val="en-US" w:eastAsia="zh-CN"/>
        </w:rPr>
        <w:t>155</w:t>
      </w:r>
      <w:r>
        <w:rPr>
          <w:rFonts w:hint="eastAsia"/>
          <w:color w:val="auto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黑体" w:hAnsi="黑体" w:eastAsia="黑体" w:cs="黑体"/>
          <w:b w:val="0"/>
          <w:bCs w:val="0"/>
          <w:color w:val="auto"/>
        </w:rPr>
      </w:pPr>
      <w:r>
        <w:rPr>
          <w:rFonts w:hint="eastAsia" w:ascii="黑体" w:eastAsia="黑体"/>
          <w:b w:val="0"/>
          <w:bCs/>
          <w:color w:val="auto"/>
          <w:szCs w:val="32"/>
        </w:rPr>
        <w:t>四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事故</w:t>
      </w:r>
      <w:r>
        <w:rPr>
          <w:rFonts w:hint="eastAsia" w:ascii="黑体" w:hAnsi="黑体" w:eastAsia="黑体" w:cs="黑体"/>
          <w:b w:val="0"/>
          <w:bCs w:val="0"/>
          <w:color w:val="auto"/>
        </w:rPr>
        <w:t>原因</w:t>
      </w: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及</w:t>
      </w:r>
      <w:r>
        <w:rPr>
          <w:rFonts w:hint="eastAsia" w:ascii="黑体" w:hAnsi="黑体" w:eastAsia="黑体" w:cs="黑体"/>
          <w:b w:val="0"/>
          <w:bCs w:val="0"/>
          <w:color w:val="auto"/>
        </w:rPr>
        <w:t>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（一）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  <w:lang w:eastAsia="zh-CN"/>
        </w:rPr>
        <w:t>事故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color w:val="auto"/>
          <w:szCs w:val="32"/>
        </w:rPr>
      </w:pPr>
      <w:r>
        <w:rPr>
          <w:rFonts w:hint="eastAsia"/>
          <w:b/>
          <w:color w:val="auto"/>
          <w:szCs w:val="32"/>
        </w:rPr>
        <w:t>1.直接原因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</w:pPr>
      <w:r>
        <w:rPr>
          <w:rFonts w:hint="eastAsia" w:cs="仿宋_GB2312"/>
          <w:color w:val="auto"/>
          <w:kern w:val="2"/>
          <w:sz w:val="32"/>
          <w:szCs w:val="22"/>
          <w:lang w:val="en-US" w:eastAsia="zh-CN" w:bidi="ar-SA"/>
        </w:rPr>
        <w:t>作业人员违章指挥叉车转运斜撑管，导致斜撑管发生滚落打击到作业人员头部。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/>
          <w:b/>
          <w:bCs/>
          <w:color w:val="auto"/>
        </w:rPr>
        <w:t>2.间接原因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洽博公司安全生产主体责任落实不到位。对作业现场存在的风险辨识不足，作业前未有效开展事故隐患排查和安全技术交底，作业时对现场安全监护、监管不力，未能制止</w:t>
      </w:r>
      <w:r>
        <w:rPr>
          <w:rFonts w:hint="eastAsia" w:cs="仿宋_GB2312"/>
          <w:color w:val="auto"/>
          <w:lang w:val="en-US" w:eastAsia="zh-CN"/>
        </w:rPr>
        <w:t>叉车违章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作业行为，对作业人员的安全教育培训流于形式。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Cs w:val="32"/>
        </w:rPr>
        <w:t>（二）事故性质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经事故调查组调查认定，</w:t>
      </w:r>
      <w:r>
        <w:rPr>
          <w:rFonts w:hint="eastAsia" w:cs="仿宋_GB2312"/>
          <w:color w:val="auto"/>
          <w:lang w:eastAsia="zh-CN"/>
        </w:rPr>
        <w:t>该事故系一般</w:t>
      </w:r>
      <w:r>
        <w:rPr>
          <w:rFonts w:hint="eastAsia" w:ascii="仿宋_GB2312" w:hAnsi="仿宋_GB2312" w:eastAsia="仿宋_GB2312" w:cs="仿宋_GB2312"/>
          <w:color w:val="auto"/>
        </w:rPr>
        <w:t>生产安全责任事故。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 w:val="0"/>
          <w:bCs w:val="0"/>
          <w:color w:val="auto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auto"/>
        </w:rPr>
        <w:t>、责任认定及处理建议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b/>
          <w:bCs w:val="0"/>
          <w:i w:val="0"/>
          <w:i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（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一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）责任单位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的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认定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及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处理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洽博公司安全生产主体责任落实不到位。对作业现场存在的风险辨识不足，作业前未有效开展事故隐患排查和安全技术交底，作业时对现场安全监护、监管不力，未能制止叉车违章作业行为，对作业人员的安全教育培训流于形式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建议区</w:t>
      </w:r>
      <w:r>
        <w:rPr>
          <w:rFonts w:hint="eastAsia" w:cs="仿宋_GB2312"/>
          <w:color w:val="auto"/>
          <w:szCs w:val="32"/>
          <w:lang w:eastAsia="zh-CN"/>
        </w:rPr>
        <w:t>市场监管局</w:t>
      </w:r>
      <w:r>
        <w:rPr>
          <w:rFonts w:hint="eastAsia" w:ascii="仿宋_GB2312" w:hAnsi="仿宋_GB2312" w:eastAsia="仿宋_GB2312" w:cs="仿宋_GB2312"/>
          <w:color w:val="auto"/>
          <w:szCs w:val="32"/>
        </w:rPr>
        <w:t>依据相关法律法规对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  <w:t>洽博公司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给予行政处罚。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（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  <w:lang w:eastAsia="zh-CN"/>
        </w:rPr>
        <w:t>二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）责任人员的认定及处理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1.</w:t>
      </w:r>
      <w:r>
        <w:rPr>
          <w:rFonts w:hint="eastAsia" w:cs="仿宋_GB2312"/>
          <w:color w:val="auto"/>
          <w:szCs w:val="32"/>
          <w:lang w:eastAsia="zh-CN"/>
        </w:rPr>
        <w:t>夏某某</w:t>
      </w:r>
      <w:r>
        <w:rPr>
          <w:rFonts w:hint="eastAsia" w:cs="仿宋_GB2312"/>
          <w:color w:val="auto"/>
          <w:kern w:val="2"/>
          <w:sz w:val="32"/>
          <w:szCs w:val="32"/>
          <w:lang w:val="en-US" w:eastAsia="zh-CN" w:bidi="ar-SA"/>
        </w:rPr>
        <w:t>，洽博</w:t>
      </w:r>
      <w:r>
        <w:rPr>
          <w:rFonts w:hint="eastAsia" w:cs="仿宋_GB2312"/>
          <w:color w:val="auto"/>
          <w:lang w:val="en-US" w:eastAsia="zh-CN"/>
        </w:rPr>
        <w:t>公司辅助工</w:t>
      </w:r>
      <w:r>
        <w:rPr>
          <w:rFonts w:hint="eastAsia" w:cs="仿宋_GB2312"/>
          <w:color w:val="auto"/>
          <w:szCs w:val="32"/>
          <w:lang w:eastAsia="zh-CN"/>
        </w:rPr>
        <w:t>。安全意识薄弱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，</w:t>
      </w:r>
      <w:r>
        <w:rPr>
          <w:rFonts w:hint="eastAsia" w:cs="仿宋_GB2312"/>
          <w:color w:val="auto"/>
          <w:lang w:val="en-US" w:eastAsia="zh-CN"/>
        </w:rPr>
        <w:t>对斜撑管转运</w:t>
      </w:r>
      <w:r>
        <w:rPr>
          <w:rFonts w:hint="eastAsia" w:cs="仿宋_GB2312"/>
          <w:color w:val="auto"/>
          <w:szCs w:val="32"/>
          <w:lang w:eastAsia="zh-CN"/>
        </w:rPr>
        <w:t>风险辨识不足，冒险进入危险区域指挥，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对事故发生负有责任，鉴于已在事故中死亡，建议不追究责任。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2.</w:t>
      </w:r>
      <w:r>
        <w:rPr>
          <w:rFonts w:hint="eastAsia" w:cs="仿宋_GB2312"/>
          <w:color w:val="auto"/>
          <w:lang w:val="en-US" w:eastAsia="zh-CN"/>
        </w:rPr>
        <w:t>张水林</w:t>
      </w:r>
      <w:r>
        <w:rPr>
          <w:rFonts w:hint="eastAsia" w:cs="仿宋_GB2312"/>
          <w:color w:val="auto"/>
          <w:lang w:eastAsia="zh-CN"/>
        </w:rPr>
        <w:t>，</w:t>
      </w:r>
      <w:r>
        <w:rPr>
          <w:rFonts w:hint="eastAsia" w:cs="仿宋_GB2312"/>
          <w:color w:val="auto"/>
          <w:kern w:val="2"/>
          <w:sz w:val="32"/>
          <w:szCs w:val="32"/>
          <w:lang w:val="en-US" w:eastAsia="zh-CN" w:bidi="ar-SA"/>
        </w:rPr>
        <w:t>洽博</w:t>
      </w:r>
      <w:r>
        <w:rPr>
          <w:rFonts w:hint="eastAsia" w:cs="仿宋_GB2312"/>
          <w:color w:val="auto"/>
          <w:lang w:val="en-US" w:eastAsia="zh-CN"/>
        </w:rPr>
        <w:t>公司起重工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。</w:t>
      </w:r>
      <w:r>
        <w:rPr>
          <w:rFonts w:hint="eastAsia" w:cs="仿宋_GB2312"/>
          <w:color w:val="auto"/>
          <w:lang w:val="en-US" w:eastAsia="zh-CN"/>
        </w:rPr>
        <w:t>对斜撑管转运风险辨识不足，</w:t>
      </w:r>
      <w:r>
        <w:rPr>
          <w:rFonts w:hint="eastAsia" w:cs="仿宋_GB2312"/>
          <w:color w:val="auto"/>
          <w:lang w:eastAsia="zh-CN"/>
        </w:rPr>
        <w:t>对作业现场安全监护不到位</w:t>
      </w:r>
      <w:r>
        <w:rPr>
          <w:rFonts w:hint="eastAsia" w:cs="仿宋_GB2312"/>
          <w:color w:val="auto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default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3.李永强，洽博公司总带班。安全生产履职不力，对作业人员安全交底流于形式；对斜撑管转运风险辨识不足，违规安排辅助工指挥作业。对事故发生负有责任。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4.贺善忠，洽博公司法定代表人。安全生产履职不力，对车间内管理人员履职不力情况失管、失察；未能认真检查单位的安全生产工作，未能及时消除生产安全事故隐患。对事故发生负有责任。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建议</w:t>
      </w:r>
      <w:r>
        <w:rPr>
          <w:rFonts w:hint="eastAsia" w:cs="仿宋_GB2312"/>
          <w:color w:val="auto"/>
          <w:lang w:val="en-US" w:eastAsia="zh-CN"/>
        </w:rPr>
        <w:t>洽博公司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对上述事故责任人员及其他相关人员按照企业规定给予处理。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ascii="黑体" w:eastAsia="黑体"/>
          <w:b w:val="0"/>
          <w:bCs/>
          <w:color w:val="auto"/>
          <w:szCs w:val="32"/>
          <w:lang w:eastAsia="zh-CN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六</w:t>
      </w:r>
      <w:r>
        <w:rPr>
          <w:rFonts w:hint="eastAsia" w:ascii="黑体" w:eastAsia="黑体"/>
          <w:b w:val="0"/>
          <w:bCs/>
          <w:color w:val="auto"/>
          <w:szCs w:val="32"/>
        </w:rPr>
        <w:t>、事故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教训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针对“</w:t>
      </w:r>
      <w:r>
        <w:rPr>
          <w:rFonts w:hint="eastAsia" w:cs="仿宋_GB2312"/>
          <w:color w:val="auto"/>
          <w:szCs w:val="32"/>
          <w:lang w:val="en-US" w:eastAsia="zh-CN"/>
        </w:rPr>
        <w:t>12·13</w:t>
      </w:r>
      <w:r>
        <w:rPr>
          <w:rFonts w:hint="eastAsia" w:ascii="仿宋_GB2312" w:hAnsi="仿宋_GB2312" w:eastAsia="仿宋_GB2312" w:cs="仿宋_GB2312"/>
          <w:color w:val="auto"/>
          <w:szCs w:val="32"/>
        </w:rPr>
        <w:t>”事故暴露出的问题，相关企业思想上要高度重视，深刻吸取事故教训，加强风险防控，抓好源头治理和事故预防，坚决</w:t>
      </w:r>
      <w:r>
        <w:rPr>
          <w:rFonts w:hint="eastAsia" w:cs="仿宋_GB2312"/>
          <w:color w:val="auto"/>
          <w:szCs w:val="32"/>
          <w:lang w:eastAsia="zh-CN"/>
        </w:rPr>
        <w:t>杜绝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类似事故发生。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（一）加大隐患排查力度，提高企业安全管理水平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32"/>
        </w:rPr>
        <w:t>一是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要牢固树立安全生产红线意识，切实落实企业安全生产主体责任，处理好安全与生产的关系，确保企业安全形势稳定可控；</w:t>
      </w:r>
      <w:r>
        <w:rPr>
          <w:rFonts w:hint="eastAsia" w:ascii="仿宋_GB2312" w:hAnsi="仿宋_GB2312" w:eastAsia="仿宋_GB2312" w:cs="仿宋_GB2312"/>
          <w:b/>
          <w:bCs/>
          <w:color w:val="auto"/>
          <w:szCs w:val="32"/>
        </w:rPr>
        <w:t>二是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要严格落实风险防控和隐患排查治理责任制度措施，及时有效化解安全风险，采取针对性措施，强化管理、堵塞漏洞;</w:t>
      </w:r>
      <w:r>
        <w:rPr>
          <w:rFonts w:hint="eastAsia" w:ascii="仿宋_GB2312" w:hAnsi="仿宋_GB2312" w:eastAsia="仿宋_GB2312" w:cs="仿宋_GB2312"/>
          <w:b/>
          <w:bCs/>
          <w:color w:val="auto"/>
          <w:szCs w:val="32"/>
        </w:rPr>
        <w:t>三是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要进一步梳理现场危险因素的管控措施，从提升设备本质安全的角度，结合现场工况实际，研究</w:t>
      </w:r>
      <w:r>
        <w:rPr>
          <w:rFonts w:hint="eastAsia" w:cs="仿宋_GB2312"/>
          <w:color w:val="auto"/>
          <w:szCs w:val="32"/>
          <w:lang w:eastAsia="zh-CN"/>
        </w:rPr>
        <w:t>设置斜撑管转运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区域</w:t>
      </w:r>
      <w:r>
        <w:rPr>
          <w:rFonts w:hint="eastAsia" w:cs="仿宋_GB2312"/>
          <w:color w:val="auto"/>
          <w:szCs w:val="32"/>
          <w:lang w:eastAsia="zh-CN"/>
        </w:rPr>
        <w:t>硬隔离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的可行性，</w:t>
      </w:r>
      <w:r>
        <w:rPr>
          <w:rFonts w:hint="eastAsia" w:cs="仿宋_GB2312"/>
          <w:color w:val="auto"/>
          <w:szCs w:val="32"/>
          <w:lang w:eastAsia="zh-CN"/>
        </w:rPr>
        <w:t>消除视觉盲区，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逐步实现技防替代人防，全面优化企业安全生产状态。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（二）加强工艺改进和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设备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管理，提升本质安全度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lang w:eastAsia="zh-CN"/>
        </w:rPr>
      </w:pPr>
      <w:r>
        <w:rPr>
          <w:rFonts w:hint="eastAsia" w:cs="仿宋_GB2312"/>
          <w:color w:val="auto"/>
          <w:szCs w:val="32"/>
          <w:lang w:eastAsia="zh-CN"/>
        </w:rPr>
        <w:t>相关企业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要开展工艺技术攻关，提高</w:t>
      </w:r>
      <w:r>
        <w:rPr>
          <w:rFonts w:hint="eastAsia" w:cs="仿宋_GB2312"/>
          <w:color w:val="auto"/>
          <w:szCs w:val="32"/>
          <w:lang w:eastAsia="zh-CN"/>
        </w:rPr>
        <w:t>斜撑管转运的安全性、可靠性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，</w:t>
      </w:r>
      <w:r>
        <w:rPr>
          <w:rFonts w:hint="eastAsia" w:cs="仿宋_GB2312"/>
          <w:color w:val="auto"/>
          <w:szCs w:val="32"/>
          <w:lang w:eastAsia="zh-CN"/>
        </w:rPr>
        <w:t>消除斜撑管间距过窄、胎架侧翻等不安全因素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；要</w:t>
      </w:r>
      <w:r>
        <w:rPr>
          <w:rFonts w:hint="eastAsia" w:cs="仿宋_GB2312"/>
          <w:color w:val="auto"/>
          <w:szCs w:val="32"/>
          <w:lang w:eastAsia="zh-CN"/>
        </w:rPr>
        <w:t>进一步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完善、规范作业现场的</w:t>
      </w:r>
      <w:r>
        <w:rPr>
          <w:rFonts w:hint="eastAsia" w:cs="仿宋_GB2312"/>
          <w:color w:val="auto"/>
          <w:szCs w:val="32"/>
          <w:lang w:eastAsia="zh-CN"/>
        </w:rPr>
        <w:t>特种设备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管理，</w:t>
      </w:r>
      <w:r>
        <w:rPr>
          <w:rFonts w:hint="eastAsia" w:cs="仿宋_GB2312"/>
          <w:color w:val="auto"/>
          <w:szCs w:val="32"/>
          <w:lang w:eastAsia="zh-CN"/>
        </w:rPr>
        <w:t>确保持证上岗并按照安全操作规程作业，按时进行定期检验，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严格做好定置化管理</w:t>
      </w:r>
      <w:r>
        <w:rPr>
          <w:rFonts w:hint="eastAsia" w:cs="仿宋_GB2312"/>
          <w:color w:val="auto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（三）强化安全教育培训针对性，提升作业人员安全意识及操作技能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color w:val="auto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32"/>
        </w:rPr>
        <w:t>一是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要针对本次事故所暴露出的问题开展自查自纠，举一反三，加强岗位危险因素的告知，进一步梳理和完善安全</w:t>
      </w:r>
      <w:r>
        <w:rPr>
          <w:rFonts w:hint="eastAsia" w:cs="仿宋_GB2312"/>
          <w:color w:val="auto"/>
          <w:szCs w:val="32"/>
          <w:lang w:eastAsia="zh-CN"/>
        </w:rPr>
        <w:t>生产</w:t>
      </w:r>
      <w:r>
        <w:rPr>
          <w:rFonts w:hint="eastAsia" w:ascii="仿宋_GB2312" w:hAnsi="仿宋_GB2312" w:eastAsia="仿宋_GB2312" w:cs="仿宋_GB2312"/>
          <w:color w:val="auto"/>
          <w:szCs w:val="32"/>
        </w:rPr>
        <w:t>操作规程，</w:t>
      </w:r>
      <w:r>
        <w:rPr>
          <w:rFonts w:hint="eastAsia" w:cs="仿宋_GB2312"/>
          <w:color w:val="auto"/>
          <w:szCs w:val="32"/>
          <w:lang w:eastAsia="zh-CN"/>
        </w:rPr>
        <w:t>建立健全斜撑管转运操作规程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并督促作业人员严格</w:t>
      </w:r>
      <w:r>
        <w:rPr>
          <w:rFonts w:hint="eastAsia" w:cs="仿宋_GB2312"/>
          <w:color w:val="auto"/>
          <w:szCs w:val="32"/>
          <w:lang w:eastAsia="zh-CN"/>
        </w:rPr>
        <w:t>执行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；</w:t>
      </w:r>
      <w:r>
        <w:rPr>
          <w:rFonts w:hint="eastAsia" w:ascii="仿宋_GB2312" w:hAnsi="仿宋_GB2312" w:eastAsia="仿宋_GB2312" w:cs="仿宋_GB2312"/>
          <w:b/>
          <w:bCs/>
          <w:color w:val="auto"/>
          <w:szCs w:val="32"/>
        </w:rPr>
        <w:t>二是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要审视安全教育培训的针对性和有效性，扎实开展包括实操练兵、案例警示在内的技能培训和教育，确保作业人员具备本岗位日常操作和处置异常工况的能力，提升安全意识。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b w:val="0"/>
          <w:bCs w:val="0"/>
          <w:color w:val="auto"/>
          <w:szCs w:val="32"/>
        </w:rPr>
      </w:pPr>
      <w:r>
        <w:rPr>
          <w:rFonts w:hint="eastAsia"/>
          <w:color w:val="auto"/>
          <w:szCs w:val="32"/>
        </w:rPr>
        <w:t>附件：</w:t>
      </w:r>
      <w:r>
        <w:rPr>
          <w:rFonts w:hint="eastAsia"/>
          <w:b w:val="0"/>
          <w:bCs w:val="0"/>
          <w:color w:val="auto"/>
          <w:szCs w:val="32"/>
        </w:rPr>
        <w:t>1.直接经济损失明细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/>
          <w:b w:val="0"/>
          <w:bCs w:val="0"/>
          <w:color w:val="auto"/>
          <w:szCs w:val="32"/>
        </w:rPr>
      </w:pPr>
      <w:r>
        <w:rPr>
          <w:rFonts w:hint="eastAsia"/>
          <w:b w:val="0"/>
          <w:bCs w:val="0"/>
          <w:color w:val="auto"/>
          <w:szCs w:val="32"/>
        </w:rPr>
        <w:t>2.人员伤亡情况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1600" w:firstLineChars="500"/>
        <w:textAlignment w:val="auto"/>
        <w:rPr>
          <w:rFonts w:hint="default" w:eastAsia="仿宋_GB2312"/>
          <w:b w:val="0"/>
          <w:bCs w:val="0"/>
          <w:color w:val="auto"/>
          <w:szCs w:val="32"/>
          <w:shd w:val="clear" w:color="auto" w:fill="auto"/>
          <w:lang w:val="en-US" w:eastAsia="zh-CN"/>
        </w:rPr>
      </w:pPr>
      <w:r>
        <w:rPr>
          <w:rFonts w:hint="eastAsia"/>
          <w:b w:val="0"/>
          <w:bCs w:val="0"/>
          <w:color w:val="auto"/>
          <w:szCs w:val="32"/>
          <w:shd w:val="clear" w:color="auto" w:fill="auto"/>
          <w:lang w:val="en-US" w:eastAsia="zh-CN"/>
        </w:rPr>
        <w:t>3.</w:t>
      </w:r>
      <w:r>
        <w:rPr>
          <w:rFonts w:hint="eastAsia"/>
          <w:b w:val="0"/>
          <w:bCs w:val="0"/>
          <w:color w:val="auto"/>
          <w:szCs w:val="32"/>
          <w:shd w:val="clear" w:color="auto" w:fill="auto"/>
        </w:rPr>
        <w:t>事故调查组名单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/>
          <w:b w:val="0"/>
          <w:bCs w:val="0"/>
          <w:color w:val="auto"/>
          <w:szCs w:val="32"/>
          <w:shd w:val="clear" w:color="auto" w:fill="auto"/>
          <w:lang w:eastAsia="zh-CN"/>
        </w:rPr>
      </w:pPr>
      <w:r>
        <w:rPr>
          <w:rFonts w:hint="eastAsia"/>
          <w:b w:val="0"/>
          <w:bCs w:val="0"/>
          <w:color w:val="auto"/>
          <w:szCs w:val="32"/>
          <w:shd w:val="clear" w:color="auto" w:fill="auto"/>
          <w:lang w:val="en-US" w:eastAsia="zh-CN"/>
        </w:rPr>
        <w:t>4</w:t>
      </w:r>
      <w:r>
        <w:rPr>
          <w:rFonts w:hint="eastAsia"/>
          <w:b w:val="0"/>
          <w:bCs w:val="0"/>
          <w:color w:val="auto"/>
          <w:szCs w:val="32"/>
          <w:shd w:val="clear" w:color="auto" w:fill="auto"/>
        </w:rPr>
        <w:t>.</w:t>
      </w:r>
      <w:r>
        <w:rPr>
          <w:rFonts w:hint="eastAsia"/>
          <w:b w:val="0"/>
          <w:bCs w:val="0"/>
          <w:color w:val="auto"/>
          <w:szCs w:val="32"/>
          <w:shd w:val="clear" w:color="auto" w:fill="auto"/>
          <w:lang w:eastAsia="zh-CN"/>
        </w:rPr>
        <w:t>证据卷页</w:t>
      </w:r>
    </w:p>
    <w:p>
      <w:pPr>
        <w:ind w:left="0" w:leftChars="0" w:firstLine="0" w:firstLineChars="0"/>
        <w:rPr>
          <w:rFonts w:hint="eastAsia"/>
          <w:b w:val="0"/>
          <w:bCs w:val="0"/>
          <w:color w:val="auto"/>
          <w:szCs w:val="32"/>
          <w:shd w:val="clear" w:color="auto" w:fill="auto"/>
          <w:lang w:eastAsia="zh-CN"/>
        </w:rPr>
      </w:pPr>
    </w:p>
    <w:p>
      <w:pPr>
        <w:pStyle w:val="2"/>
        <w:rPr>
          <w:rFonts w:hint="eastAsia"/>
          <w:b w:val="0"/>
          <w:bCs w:val="0"/>
          <w:color w:val="auto"/>
          <w:szCs w:val="32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（此页无正文）              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jc w:val="both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jc w:val="both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3520" w:firstLineChars="1100"/>
        <w:jc w:val="both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 xml:space="preserve">          </w:t>
      </w:r>
      <w:r>
        <w:rPr>
          <w:rFonts w:hint="eastAsia"/>
          <w:color w:val="auto"/>
          <w:lang w:eastAsia="zh-CN"/>
        </w:rPr>
        <w:t>“12·13”物体打击一般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eastAsia" w:eastAsia="仿宋_GB2312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>生产安全责任</w:t>
      </w:r>
      <w:r>
        <w:rPr>
          <w:rFonts w:hint="eastAsia"/>
          <w:color w:val="auto"/>
        </w:rPr>
        <w:t>事故调查</w:t>
      </w:r>
      <w:r>
        <w:rPr>
          <w:rFonts w:hint="eastAsia"/>
          <w:color w:val="auto"/>
          <w:lang w:eastAsia="zh-CN"/>
        </w:rPr>
        <w:t>组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jc w:val="center"/>
        <w:textAlignment w:val="auto"/>
        <w:rPr>
          <w:color w:val="auto"/>
        </w:rPr>
      </w:pPr>
      <w:r>
        <w:rPr>
          <w:rFonts w:hint="eastAsia"/>
          <w:color w:val="auto"/>
          <w:lang w:val="en-US" w:eastAsia="zh-CN"/>
        </w:rPr>
        <w:t xml:space="preserve">                             2</w:t>
      </w:r>
      <w:r>
        <w:rPr>
          <w:rFonts w:hint="eastAsia"/>
          <w:color w:val="auto"/>
        </w:rPr>
        <w:t>02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年</w:t>
      </w:r>
      <w:r>
        <w:rPr>
          <w:rFonts w:hint="eastAsia"/>
          <w:color w:val="auto"/>
          <w:lang w:val="en-US" w:eastAsia="zh-CN"/>
        </w:rPr>
        <w:t>1</w:t>
      </w:r>
      <w:r>
        <w:rPr>
          <w:rFonts w:hint="eastAsia"/>
          <w:color w:val="auto"/>
        </w:rPr>
        <w:t>月</w:t>
      </w:r>
      <w:r>
        <w:rPr>
          <w:rFonts w:hint="eastAsia"/>
          <w:color w:val="auto"/>
          <w:lang w:val="en-US" w:eastAsia="zh-CN"/>
        </w:rPr>
        <w:t>17</w:t>
      </w:r>
      <w:r>
        <w:rPr>
          <w:rFonts w:hint="eastAsia"/>
          <w:color w:val="auto"/>
        </w:rPr>
        <w:t>日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color w:val="auto"/>
        </w:rPr>
      </w:pPr>
      <w:r>
        <w:rPr>
          <w:color w:val="auto"/>
        </w:rPr>
        <w:br w:type="page"/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附件1</w:t>
      </w:r>
    </w:p>
    <w:p>
      <w:pPr>
        <w:pStyle w:val="2"/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“1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·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  <w:t>13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”物体打击一般生产安全责任事故</w:t>
      </w:r>
    </w:p>
    <w:p>
      <w:pPr>
        <w:ind w:firstLine="0" w:firstLineChars="0"/>
        <w:jc w:val="center"/>
        <w:rPr>
          <w:rFonts w:hAnsi="华文宋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直接经济损失明细</w:t>
      </w:r>
    </w:p>
    <w:p>
      <w:pPr>
        <w:ind w:firstLine="562"/>
        <w:jc w:val="center"/>
        <w:rPr>
          <w:rFonts w:hAnsi="华文宋体"/>
          <w:b/>
          <w:color w:val="auto"/>
          <w:sz w:val="28"/>
          <w:szCs w:val="28"/>
        </w:rPr>
      </w:pPr>
    </w:p>
    <w:tbl>
      <w:tblPr>
        <w:tblStyle w:val="12"/>
        <w:tblW w:w="9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2268"/>
        <w:gridCol w:w="2267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项目</w:t>
            </w:r>
          </w:p>
        </w:tc>
        <w:tc>
          <w:tcPr>
            <w:tcW w:w="2268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人身伤亡后</w:t>
            </w:r>
          </w:p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支出的费用</w:t>
            </w:r>
          </w:p>
        </w:tc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善后处理费用</w:t>
            </w:r>
          </w:p>
        </w:tc>
        <w:tc>
          <w:tcPr>
            <w:tcW w:w="2269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财产损失价值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费用</w:t>
            </w:r>
          </w:p>
        </w:tc>
        <w:tc>
          <w:tcPr>
            <w:tcW w:w="2268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color w:val="auto"/>
                <w:szCs w:val="32"/>
              </w:rPr>
            </w:pPr>
            <w:r>
              <w:rPr>
                <w:rFonts w:hint="eastAsia" w:hAnsi="华文宋体"/>
                <w:bCs/>
                <w:color w:val="auto"/>
                <w:szCs w:val="32"/>
              </w:rPr>
              <w:t>0</w:t>
            </w:r>
          </w:p>
        </w:tc>
        <w:tc>
          <w:tcPr>
            <w:tcW w:w="226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Ansi="华文宋体"/>
                <w:b/>
                <w:color w:val="auto"/>
                <w:szCs w:val="32"/>
              </w:rPr>
            </w:pPr>
            <w:r>
              <w:rPr>
                <w:rFonts w:hint="eastAsia" w:hAnsi="华文宋体"/>
                <w:bCs/>
                <w:color w:val="auto"/>
                <w:szCs w:val="32"/>
                <w:lang w:val="en-US" w:eastAsia="zh-CN"/>
              </w:rPr>
              <w:t>155</w:t>
            </w:r>
            <w:r>
              <w:rPr>
                <w:rFonts w:hint="eastAsia" w:hAnsi="华文宋体"/>
                <w:bCs/>
                <w:color w:val="auto"/>
                <w:szCs w:val="32"/>
              </w:rPr>
              <w:t>万元</w:t>
            </w:r>
          </w:p>
        </w:tc>
        <w:tc>
          <w:tcPr>
            <w:tcW w:w="2269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color w:val="auto"/>
                <w:szCs w:val="32"/>
              </w:rPr>
            </w:pPr>
            <w:r>
              <w:rPr>
                <w:rFonts w:hint="eastAsia" w:hAnsi="华文宋体"/>
                <w:bCs/>
                <w:color w:val="auto"/>
                <w:szCs w:val="32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合计</w:t>
            </w:r>
          </w:p>
        </w:tc>
        <w:tc>
          <w:tcPr>
            <w:tcW w:w="6804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color w:val="auto"/>
                <w:szCs w:val="32"/>
              </w:rPr>
            </w:pPr>
            <w:r>
              <w:rPr>
                <w:rFonts w:hint="eastAsia" w:hAnsi="华文宋体"/>
                <w:bCs/>
                <w:color w:val="auto"/>
                <w:szCs w:val="32"/>
                <w:lang w:eastAsia="zh-CN"/>
              </w:rPr>
              <w:t>壹佰伍拾伍万元整</w:t>
            </w:r>
            <w:r>
              <w:rPr>
                <w:rFonts w:hint="eastAsia" w:hAnsi="华文宋体"/>
                <w:bCs/>
                <w:color w:val="auto"/>
                <w:szCs w:val="32"/>
              </w:rPr>
              <w:t>（</w:t>
            </w:r>
            <w:r>
              <w:rPr>
                <w:rFonts w:hint="eastAsia" w:hAnsi="华文宋体"/>
                <w:bCs/>
                <w:color w:val="auto"/>
                <w:szCs w:val="32"/>
                <w:lang w:val="en-US" w:eastAsia="zh-CN"/>
              </w:rPr>
              <w:t>155</w:t>
            </w:r>
            <w:r>
              <w:rPr>
                <w:rFonts w:hint="eastAsia" w:hAnsi="华文宋体"/>
                <w:bCs/>
                <w:color w:val="auto"/>
                <w:szCs w:val="32"/>
              </w:rPr>
              <w:t>万元）</w:t>
            </w:r>
          </w:p>
        </w:tc>
      </w:tr>
    </w:tbl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firstLine="562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Ansi="华文宋体"/>
          <w:b/>
          <w:color w:val="auto"/>
          <w:sz w:val="28"/>
          <w:szCs w:val="28"/>
        </w:rPr>
        <w:br w:type="page"/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color w:val="auto"/>
        </w:r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“12·13”物体打击一般生产安全责任事故</w:t>
      </w: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人员伤亡情况</w:t>
      </w:r>
    </w:p>
    <w:p>
      <w:pPr>
        <w:bidi w:val="0"/>
        <w:rPr>
          <w:color w:val="auto"/>
        </w:rPr>
      </w:pPr>
    </w:p>
    <w:tbl>
      <w:tblPr>
        <w:tblStyle w:val="12"/>
        <w:tblW w:w="93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992"/>
        <w:gridCol w:w="992"/>
        <w:gridCol w:w="1191"/>
        <w:gridCol w:w="1191"/>
        <w:gridCol w:w="2606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姓名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年龄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工种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籍贯</w:t>
            </w:r>
          </w:p>
        </w:tc>
        <w:tc>
          <w:tcPr>
            <w:tcW w:w="2606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家庭</w:t>
            </w:r>
          </w:p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地址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伤害</w:t>
            </w:r>
          </w:p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color w:val="auto"/>
                <w:szCs w:val="32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夏某某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color w:val="auto"/>
                <w:szCs w:val="32"/>
              </w:rPr>
            </w:pPr>
            <w:r>
              <w:rPr>
                <w:rFonts w:hint="eastAsia"/>
                <w:color w:val="auto"/>
                <w:szCs w:val="32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color w:val="auto"/>
                <w:szCs w:val="32"/>
              </w:rPr>
            </w:pPr>
            <w:r>
              <w:rPr>
                <w:rFonts w:hint="eastAsia" w:hAnsi="华文宋体"/>
                <w:color w:val="auto"/>
                <w:szCs w:val="32"/>
                <w:lang w:val="en-US" w:eastAsia="zh-CN"/>
              </w:rPr>
              <w:t>54</w:t>
            </w:r>
            <w:r>
              <w:rPr>
                <w:rFonts w:hint="eastAsia" w:hAnsi="华文宋体"/>
                <w:color w:val="auto"/>
                <w:szCs w:val="32"/>
              </w:rPr>
              <w:t>岁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color w:val="auto"/>
                <w:szCs w:val="32"/>
                <w:lang w:eastAsia="zh-CN"/>
              </w:rPr>
            </w:pPr>
            <w:r>
              <w:rPr>
                <w:rFonts w:hint="eastAsia" w:hAnsi="华文宋体"/>
                <w:color w:val="auto"/>
                <w:szCs w:val="32"/>
                <w:lang w:eastAsia="zh-CN"/>
              </w:rPr>
              <w:t>辅助工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color w:val="auto"/>
                <w:szCs w:val="32"/>
                <w:lang w:eastAsia="zh-CN"/>
              </w:rPr>
            </w:pPr>
            <w:r>
              <w:rPr>
                <w:rFonts w:hint="default"/>
                <w:lang w:val="en-US" w:eastAsia="zh-CN"/>
              </w:rPr>
              <w:t>陕西省三原县</w:t>
            </w:r>
          </w:p>
        </w:tc>
        <w:tc>
          <w:tcPr>
            <w:tcW w:w="2606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color w:val="auto"/>
                <w:szCs w:val="32"/>
              </w:rPr>
            </w:pPr>
            <w:r>
              <w:rPr>
                <w:rFonts w:hint="default"/>
                <w:lang w:val="en-US" w:eastAsia="zh-CN"/>
              </w:rPr>
              <w:t>陕西省三原县</w:t>
            </w:r>
            <w:r>
              <w:rPr>
                <w:rFonts w:hint="eastAsia"/>
                <w:lang w:val="en-US" w:eastAsia="zh-CN"/>
              </w:rPr>
              <w:t>XX镇XX村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color w:val="auto"/>
                <w:szCs w:val="32"/>
              </w:rPr>
            </w:pPr>
            <w:r>
              <w:rPr>
                <w:rFonts w:hint="eastAsia" w:hAnsi="华文宋体"/>
                <w:color w:val="auto"/>
                <w:szCs w:val="32"/>
              </w:rPr>
              <w:t>死亡</w:t>
            </w:r>
          </w:p>
        </w:tc>
      </w:tr>
    </w:tbl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/>
          <w:color w:val="auto"/>
          <w:szCs w:val="32"/>
          <w:lang w:val="en-US" w:eastAsia="zh-CN"/>
        </w:rPr>
      </w:pPr>
      <w:r>
        <w:rPr>
          <w:rFonts w:hint="eastAsia"/>
          <w:color w:val="auto"/>
          <w:szCs w:val="32"/>
          <w:lang w:val="en-US" w:eastAsia="zh-CN"/>
        </w:rPr>
        <w:t>身份证号：</w:t>
      </w:r>
      <w:r>
        <w:rPr>
          <w:rFonts w:hint="default"/>
          <w:lang w:val="en-US" w:eastAsia="zh-CN"/>
        </w:rPr>
        <w:t>610422196801</w:t>
      </w:r>
      <w:r>
        <w:rPr>
          <w:rFonts w:hint="eastAsia"/>
          <w:lang w:val="en-US" w:eastAsia="zh-CN"/>
        </w:rPr>
        <w:t>XXXXXX</w:t>
      </w:r>
      <w:r>
        <w:rPr>
          <w:rFonts w:hint="eastAsia"/>
          <w:color w:val="auto"/>
          <w:szCs w:val="32"/>
          <w:lang w:val="en-US" w:eastAsia="zh-CN"/>
        </w:rPr>
        <w:t>。</w:t>
      </w:r>
    </w:p>
    <w:p>
      <w:pPr>
        <w:rPr>
          <w:rFonts w:hint="eastAsia"/>
          <w:color w:val="auto"/>
          <w:szCs w:val="32"/>
          <w:lang w:val="en-US" w:eastAsia="zh-CN"/>
        </w:rPr>
      </w:pPr>
      <w:r>
        <w:rPr>
          <w:rFonts w:hint="eastAsia"/>
          <w:color w:val="auto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</w:p>
    <w:p>
      <w:pPr>
        <w:pStyle w:val="2"/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88915" cy="7473315"/>
            <wp:effectExtent l="0" t="0" r="14605" b="9525"/>
            <wp:docPr id="2" name="图片 2" descr="会议签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会议签到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747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3" name="图片 3" descr="调查组签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调查组签到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附件4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drawing>
          <wp:inline distT="0" distB="0" distL="114300" distR="114300">
            <wp:extent cx="5415280" cy="7651750"/>
            <wp:effectExtent l="0" t="0" r="10160" b="13970"/>
            <wp:docPr id="4" name="图片 4" descr="image5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age54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528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5" name="图片 5" descr="image5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age54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7" name="图片 7" descr="image5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age54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8" name="图片 8" descr="image5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age54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9" name="图片 9" descr="image5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age54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11" name="图片 11" descr="image5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age54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12" name="图片 12" descr="image5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age54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0" w:leftChars="0" w:firstLine="0" w:firstLineChars="0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I3F45U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0" w:leftChars="0" w:firstLine="0" w:firstLineChars="0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0" w:leftChars="0" w:firstLine="0" w:firstLineChars="0"/>
      <w:rPr>
        <w:rFonts w:hint="default" w:eastAsia="仿宋_GB231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MTM0YThkZDhiNjg4NzBiMmM5MzA0YTA3OTM2YjIifQ=="/>
  </w:docVars>
  <w:rsids>
    <w:rsidRoot w:val="08394A96"/>
    <w:rsid w:val="001E6581"/>
    <w:rsid w:val="0049226C"/>
    <w:rsid w:val="007314C1"/>
    <w:rsid w:val="00A93302"/>
    <w:rsid w:val="010C567A"/>
    <w:rsid w:val="011226ED"/>
    <w:rsid w:val="01771A41"/>
    <w:rsid w:val="01830647"/>
    <w:rsid w:val="018D389E"/>
    <w:rsid w:val="01B74116"/>
    <w:rsid w:val="01C2525E"/>
    <w:rsid w:val="01DF2774"/>
    <w:rsid w:val="0259058E"/>
    <w:rsid w:val="02B83AFE"/>
    <w:rsid w:val="02D72F6F"/>
    <w:rsid w:val="03295466"/>
    <w:rsid w:val="03F354EC"/>
    <w:rsid w:val="047A3A16"/>
    <w:rsid w:val="04C06F23"/>
    <w:rsid w:val="04EF3F3E"/>
    <w:rsid w:val="04FF1065"/>
    <w:rsid w:val="05164547"/>
    <w:rsid w:val="05202323"/>
    <w:rsid w:val="052A6AF7"/>
    <w:rsid w:val="05562427"/>
    <w:rsid w:val="055F3381"/>
    <w:rsid w:val="056767C7"/>
    <w:rsid w:val="056C1FB2"/>
    <w:rsid w:val="05F2718C"/>
    <w:rsid w:val="060A79CF"/>
    <w:rsid w:val="068B4A0B"/>
    <w:rsid w:val="069E1C05"/>
    <w:rsid w:val="06AE4D26"/>
    <w:rsid w:val="075C40BE"/>
    <w:rsid w:val="07C038D8"/>
    <w:rsid w:val="07DE3D84"/>
    <w:rsid w:val="08394A96"/>
    <w:rsid w:val="084A0A5F"/>
    <w:rsid w:val="08D760A0"/>
    <w:rsid w:val="096F1B34"/>
    <w:rsid w:val="0A4A5BA0"/>
    <w:rsid w:val="0A701968"/>
    <w:rsid w:val="0ABE5AC7"/>
    <w:rsid w:val="0AE13339"/>
    <w:rsid w:val="0AEB2DBD"/>
    <w:rsid w:val="0BC80A10"/>
    <w:rsid w:val="0BC972EA"/>
    <w:rsid w:val="0BDC6ED2"/>
    <w:rsid w:val="0BEF3EAD"/>
    <w:rsid w:val="0BF60FEC"/>
    <w:rsid w:val="0C1B005C"/>
    <w:rsid w:val="0C5E6434"/>
    <w:rsid w:val="0C92168D"/>
    <w:rsid w:val="0D4A73F2"/>
    <w:rsid w:val="0D8C1C48"/>
    <w:rsid w:val="0DB0180F"/>
    <w:rsid w:val="0DD96523"/>
    <w:rsid w:val="0E12185E"/>
    <w:rsid w:val="0E4527EE"/>
    <w:rsid w:val="0E6439E2"/>
    <w:rsid w:val="0E6809A0"/>
    <w:rsid w:val="0E774951"/>
    <w:rsid w:val="0E8A7A57"/>
    <w:rsid w:val="0EEE6398"/>
    <w:rsid w:val="0F483F47"/>
    <w:rsid w:val="0F4B2CD4"/>
    <w:rsid w:val="0F6E5F63"/>
    <w:rsid w:val="0FDF296D"/>
    <w:rsid w:val="1012768E"/>
    <w:rsid w:val="10231408"/>
    <w:rsid w:val="102C266A"/>
    <w:rsid w:val="106529B7"/>
    <w:rsid w:val="10EA331B"/>
    <w:rsid w:val="112F2FC2"/>
    <w:rsid w:val="11F83CFB"/>
    <w:rsid w:val="12302A83"/>
    <w:rsid w:val="1261337D"/>
    <w:rsid w:val="12A31505"/>
    <w:rsid w:val="12CD1F8E"/>
    <w:rsid w:val="13467A64"/>
    <w:rsid w:val="139E664A"/>
    <w:rsid w:val="13B848EF"/>
    <w:rsid w:val="13FA2395"/>
    <w:rsid w:val="13FC3AB3"/>
    <w:rsid w:val="142D7659"/>
    <w:rsid w:val="149524C7"/>
    <w:rsid w:val="1511730C"/>
    <w:rsid w:val="154F49F1"/>
    <w:rsid w:val="155342C4"/>
    <w:rsid w:val="15612035"/>
    <w:rsid w:val="15AC7340"/>
    <w:rsid w:val="15E71DAD"/>
    <w:rsid w:val="15F06302"/>
    <w:rsid w:val="16191622"/>
    <w:rsid w:val="16371C2E"/>
    <w:rsid w:val="16560D2A"/>
    <w:rsid w:val="16B301FC"/>
    <w:rsid w:val="16DD6508"/>
    <w:rsid w:val="17D227EF"/>
    <w:rsid w:val="17FB415F"/>
    <w:rsid w:val="18677FA4"/>
    <w:rsid w:val="18CA7AB4"/>
    <w:rsid w:val="19331BEA"/>
    <w:rsid w:val="193B58ED"/>
    <w:rsid w:val="19701DCB"/>
    <w:rsid w:val="198F0EF1"/>
    <w:rsid w:val="19B212E5"/>
    <w:rsid w:val="19E62E5D"/>
    <w:rsid w:val="1A15387E"/>
    <w:rsid w:val="1A9A2720"/>
    <w:rsid w:val="1AD71F34"/>
    <w:rsid w:val="1BFE34C8"/>
    <w:rsid w:val="1C122471"/>
    <w:rsid w:val="1C393E65"/>
    <w:rsid w:val="1C39522C"/>
    <w:rsid w:val="1C3B4042"/>
    <w:rsid w:val="1CB84EAD"/>
    <w:rsid w:val="1CE804A1"/>
    <w:rsid w:val="1D4622ED"/>
    <w:rsid w:val="1D684334"/>
    <w:rsid w:val="1DA23F57"/>
    <w:rsid w:val="1DCA11AB"/>
    <w:rsid w:val="1E2E4278"/>
    <w:rsid w:val="1E64014C"/>
    <w:rsid w:val="1E902D3E"/>
    <w:rsid w:val="1F571467"/>
    <w:rsid w:val="1FF73C9B"/>
    <w:rsid w:val="207E6980"/>
    <w:rsid w:val="20CF77A0"/>
    <w:rsid w:val="20E3764F"/>
    <w:rsid w:val="21056583"/>
    <w:rsid w:val="211307A1"/>
    <w:rsid w:val="21454BB1"/>
    <w:rsid w:val="215A5E94"/>
    <w:rsid w:val="217B4653"/>
    <w:rsid w:val="217D35AF"/>
    <w:rsid w:val="21C42081"/>
    <w:rsid w:val="2241494C"/>
    <w:rsid w:val="226D24DB"/>
    <w:rsid w:val="22C3285F"/>
    <w:rsid w:val="230509C7"/>
    <w:rsid w:val="232A2776"/>
    <w:rsid w:val="234822C0"/>
    <w:rsid w:val="235D2FC3"/>
    <w:rsid w:val="240A64ED"/>
    <w:rsid w:val="245C50AD"/>
    <w:rsid w:val="24E04B79"/>
    <w:rsid w:val="24E43046"/>
    <w:rsid w:val="25655E09"/>
    <w:rsid w:val="256A561D"/>
    <w:rsid w:val="256D1FB9"/>
    <w:rsid w:val="25990FAA"/>
    <w:rsid w:val="25DF5500"/>
    <w:rsid w:val="25F16C05"/>
    <w:rsid w:val="263B65B4"/>
    <w:rsid w:val="265D37A3"/>
    <w:rsid w:val="26750342"/>
    <w:rsid w:val="268E49FD"/>
    <w:rsid w:val="26C27358"/>
    <w:rsid w:val="26D81B8C"/>
    <w:rsid w:val="27176387"/>
    <w:rsid w:val="27653337"/>
    <w:rsid w:val="279A0DC2"/>
    <w:rsid w:val="27AE4DB2"/>
    <w:rsid w:val="27AE55B0"/>
    <w:rsid w:val="27C30FD3"/>
    <w:rsid w:val="287C097F"/>
    <w:rsid w:val="28806D1F"/>
    <w:rsid w:val="28837EFC"/>
    <w:rsid w:val="28AD287B"/>
    <w:rsid w:val="28EC6997"/>
    <w:rsid w:val="292629C6"/>
    <w:rsid w:val="29516C69"/>
    <w:rsid w:val="2A1C26AD"/>
    <w:rsid w:val="2A231338"/>
    <w:rsid w:val="2A240ECF"/>
    <w:rsid w:val="2A97034A"/>
    <w:rsid w:val="2AA97CD8"/>
    <w:rsid w:val="2AF073D3"/>
    <w:rsid w:val="2B1F6981"/>
    <w:rsid w:val="2BBC4675"/>
    <w:rsid w:val="2BCF1C43"/>
    <w:rsid w:val="2C6C1282"/>
    <w:rsid w:val="2CB86203"/>
    <w:rsid w:val="2CCE1726"/>
    <w:rsid w:val="2CEB4EE3"/>
    <w:rsid w:val="2D3817DB"/>
    <w:rsid w:val="2D4A74C0"/>
    <w:rsid w:val="2DDF4AC3"/>
    <w:rsid w:val="2E0925BF"/>
    <w:rsid w:val="2E375E3E"/>
    <w:rsid w:val="2E39216F"/>
    <w:rsid w:val="2E766897"/>
    <w:rsid w:val="2E9200ED"/>
    <w:rsid w:val="2EF1593A"/>
    <w:rsid w:val="2F0F053D"/>
    <w:rsid w:val="2F480470"/>
    <w:rsid w:val="2FB12825"/>
    <w:rsid w:val="3003387F"/>
    <w:rsid w:val="3055724C"/>
    <w:rsid w:val="30AB6F28"/>
    <w:rsid w:val="30BE4B0D"/>
    <w:rsid w:val="30E10B9D"/>
    <w:rsid w:val="31397A0E"/>
    <w:rsid w:val="31484722"/>
    <w:rsid w:val="314A409B"/>
    <w:rsid w:val="31DD2D04"/>
    <w:rsid w:val="32227C4E"/>
    <w:rsid w:val="32243257"/>
    <w:rsid w:val="324204CE"/>
    <w:rsid w:val="328E00C9"/>
    <w:rsid w:val="32A508BD"/>
    <w:rsid w:val="32A645C2"/>
    <w:rsid w:val="32AE5C7F"/>
    <w:rsid w:val="32AF396F"/>
    <w:rsid w:val="33626FE7"/>
    <w:rsid w:val="343C286A"/>
    <w:rsid w:val="34421CFE"/>
    <w:rsid w:val="34CB4B93"/>
    <w:rsid w:val="357351A7"/>
    <w:rsid w:val="3609171C"/>
    <w:rsid w:val="360C3FAA"/>
    <w:rsid w:val="365746B1"/>
    <w:rsid w:val="36AA4CF1"/>
    <w:rsid w:val="36CC42C2"/>
    <w:rsid w:val="37301974"/>
    <w:rsid w:val="374E7FC7"/>
    <w:rsid w:val="377C28E9"/>
    <w:rsid w:val="37E942E6"/>
    <w:rsid w:val="37F0281C"/>
    <w:rsid w:val="38083125"/>
    <w:rsid w:val="38571B5E"/>
    <w:rsid w:val="38811B06"/>
    <w:rsid w:val="38D01C56"/>
    <w:rsid w:val="38D5339A"/>
    <w:rsid w:val="39652DA3"/>
    <w:rsid w:val="3A23084E"/>
    <w:rsid w:val="3AA57D8C"/>
    <w:rsid w:val="3AF5219D"/>
    <w:rsid w:val="3B263BC9"/>
    <w:rsid w:val="3B7B52CD"/>
    <w:rsid w:val="3B8261F4"/>
    <w:rsid w:val="3BF859D3"/>
    <w:rsid w:val="3C334736"/>
    <w:rsid w:val="3C382D2A"/>
    <w:rsid w:val="3C3B083E"/>
    <w:rsid w:val="3C4B1C5F"/>
    <w:rsid w:val="3C7054A5"/>
    <w:rsid w:val="3CA306CE"/>
    <w:rsid w:val="3CB44857"/>
    <w:rsid w:val="3CD87AF5"/>
    <w:rsid w:val="3D6B6495"/>
    <w:rsid w:val="3E13550C"/>
    <w:rsid w:val="3E552E87"/>
    <w:rsid w:val="3F170723"/>
    <w:rsid w:val="3F207E48"/>
    <w:rsid w:val="3F45063D"/>
    <w:rsid w:val="3F6A65CB"/>
    <w:rsid w:val="3FB96C66"/>
    <w:rsid w:val="4051555F"/>
    <w:rsid w:val="40F960C2"/>
    <w:rsid w:val="413C5641"/>
    <w:rsid w:val="41C2594C"/>
    <w:rsid w:val="41CF57ED"/>
    <w:rsid w:val="41FA72C7"/>
    <w:rsid w:val="42BD2ADD"/>
    <w:rsid w:val="43036EDB"/>
    <w:rsid w:val="432F1139"/>
    <w:rsid w:val="43332C57"/>
    <w:rsid w:val="43634ACC"/>
    <w:rsid w:val="43FC7871"/>
    <w:rsid w:val="440E7A6A"/>
    <w:rsid w:val="44A52D54"/>
    <w:rsid w:val="44E64495"/>
    <w:rsid w:val="456A13F8"/>
    <w:rsid w:val="45802D6A"/>
    <w:rsid w:val="45C331DC"/>
    <w:rsid w:val="464B5637"/>
    <w:rsid w:val="46C638D5"/>
    <w:rsid w:val="46F0291B"/>
    <w:rsid w:val="472A4804"/>
    <w:rsid w:val="474B0E66"/>
    <w:rsid w:val="48132C9E"/>
    <w:rsid w:val="483C7D15"/>
    <w:rsid w:val="489F51AB"/>
    <w:rsid w:val="498C53B3"/>
    <w:rsid w:val="49FC2A97"/>
    <w:rsid w:val="4AB85A8A"/>
    <w:rsid w:val="4AF0020A"/>
    <w:rsid w:val="4AF37BEB"/>
    <w:rsid w:val="4B070BAC"/>
    <w:rsid w:val="4B3D031D"/>
    <w:rsid w:val="4B4D346F"/>
    <w:rsid w:val="4B686C5F"/>
    <w:rsid w:val="4BD04E73"/>
    <w:rsid w:val="4BD33DF2"/>
    <w:rsid w:val="4C283254"/>
    <w:rsid w:val="4C3228B2"/>
    <w:rsid w:val="4C3A25EE"/>
    <w:rsid w:val="4C6D6D1C"/>
    <w:rsid w:val="4CA37D04"/>
    <w:rsid w:val="4CB3172E"/>
    <w:rsid w:val="4CBF5D24"/>
    <w:rsid w:val="4D0E01B0"/>
    <w:rsid w:val="4D416B5A"/>
    <w:rsid w:val="4D8763A3"/>
    <w:rsid w:val="4DC17B00"/>
    <w:rsid w:val="4DD35B7A"/>
    <w:rsid w:val="4E6830AB"/>
    <w:rsid w:val="4E811B53"/>
    <w:rsid w:val="4EC44733"/>
    <w:rsid w:val="4F1B6090"/>
    <w:rsid w:val="4F3469F3"/>
    <w:rsid w:val="4F3D339C"/>
    <w:rsid w:val="4F696AFA"/>
    <w:rsid w:val="4FC84C02"/>
    <w:rsid w:val="4FEF71F9"/>
    <w:rsid w:val="501202F2"/>
    <w:rsid w:val="50992D33"/>
    <w:rsid w:val="50AF6EB7"/>
    <w:rsid w:val="50BF6936"/>
    <w:rsid w:val="50F45A29"/>
    <w:rsid w:val="51714F75"/>
    <w:rsid w:val="51A533F6"/>
    <w:rsid w:val="51B569AD"/>
    <w:rsid w:val="525015BD"/>
    <w:rsid w:val="525D3B4A"/>
    <w:rsid w:val="527965E4"/>
    <w:rsid w:val="527C41BF"/>
    <w:rsid w:val="52F2211C"/>
    <w:rsid w:val="53386391"/>
    <w:rsid w:val="534E1E12"/>
    <w:rsid w:val="53835579"/>
    <w:rsid w:val="5479271D"/>
    <w:rsid w:val="54820734"/>
    <w:rsid w:val="54901AF5"/>
    <w:rsid w:val="55415D6E"/>
    <w:rsid w:val="554E3311"/>
    <w:rsid w:val="55666D6E"/>
    <w:rsid w:val="5592275E"/>
    <w:rsid w:val="55F46F77"/>
    <w:rsid w:val="56B9355A"/>
    <w:rsid w:val="56BC4C71"/>
    <w:rsid w:val="57083367"/>
    <w:rsid w:val="574249AC"/>
    <w:rsid w:val="57A93F00"/>
    <w:rsid w:val="57DF4677"/>
    <w:rsid w:val="57E440E6"/>
    <w:rsid w:val="582D26E5"/>
    <w:rsid w:val="58625F0C"/>
    <w:rsid w:val="589A6E1C"/>
    <w:rsid w:val="58A550DC"/>
    <w:rsid w:val="58AD06FA"/>
    <w:rsid w:val="58BD28DE"/>
    <w:rsid w:val="58C63661"/>
    <w:rsid w:val="58FD7D40"/>
    <w:rsid w:val="592477B9"/>
    <w:rsid w:val="596F425D"/>
    <w:rsid w:val="5977224D"/>
    <w:rsid w:val="598840E7"/>
    <w:rsid w:val="59F0476D"/>
    <w:rsid w:val="5A6728F7"/>
    <w:rsid w:val="5AC40CA0"/>
    <w:rsid w:val="5AE13258"/>
    <w:rsid w:val="5BFD736A"/>
    <w:rsid w:val="5C571A74"/>
    <w:rsid w:val="5CFC1629"/>
    <w:rsid w:val="5D441EDD"/>
    <w:rsid w:val="5D5B4F1E"/>
    <w:rsid w:val="5D7D5097"/>
    <w:rsid w:val="5D8F7640"/>
    <w:rsid w:val="5DD16434"/>
    <w:rsid w:val="5E342028"/>
    <w:rsid w:val="5E3D4A1F"/>
    <w:rsid w:val="5E806114"/>
    <w:rsid w:val="5E8769F3"/>
    <w:rsid w:val="5E924ADC"/>
    <w:rsid w:val="5E975541"/>
    <w:rsid w:val="5EBF2D30"/>
    <w:rsid w:val="5ECF6C27"/>
    <w:rsid w:val="5F095BB7"/>
    <w:rsid w:val="5F167CC2"/>
    <w:rsid w:val="5F9F5E32"/>
    <w:rsid w:val="610A200F"/>
    <w:rsid w:val="61552376"/>
    <w:rsid w:val="6179674C"/>
    <w:rsid w:val="61873285"/>
    <w:rsid w:val="61A003CB"/>
    <w:rsid w:val="61CC0794"/>
    <w:rsid w:val="61F7116C"/>
    <w:rsid w:val="6248711B"/>
    <w:rsid w:val="62776F87"/>
    <w:rsid w:val="62D1249C"/>
    <w:rsid w:val="63040874"/>
    <w:rsid w:val="633D5AF8"/>
    <w:rsid w:val="636B7316"/>
    <w:rsid w:val="63B65C4B"/>
    <w:rsid w:val="63F66932"/>
    <w:rsid w:val="640814AB"/>
    <w:rsid w:val="6419701E"/>
    <w:rsid w:val="64782029"/>
    <w:rsid w:val="64E07185"/>
    <w:rsid w:val="65482A39"/>
    <w:rsid w:val="657C7C9C"/>
    <w:rsid w:val="659D634F"/>
    <w:rsid w:val="659E1D09"/>
    <w:rsid w:val="65CE180F"/>
    <w:rsid w:val="661160C3"/>
    <w:rsid w:val="661A7DD9"/>
    <w:rsid w:val="664D33BD"/>
    <w:rsid w:val="66A3558D"/>
    <w:rsid w:val="679F5BBC"/>
    <w:rsid w:val="67B746E8"/>
    <w:rsid w:val="67DC3CDE"/>
    <w:rsid w:val="683E5C68"/>
    <w:rsid w:val="684915B9"/>
    <w:rsid w:val="68A24D72"/>
    <w:rsid w:val="68AA315D"/>
    <w:rsid w:val="693C10B1"/>
    <w:rsid w:val="6996349F"/>
    <w:rsid w:val="69E462C5"/>
    <w:rsid w:val="6A286F66"/>
    <w:rsid w:val="6A3B2A9E"/>
    <w:rsid w:val="6A943494"/>
    <w:rsid w:val="6AC4161F"/>
    <w:rsid w:val="6AF762D4"/>
    <w:rsid w:val="6B2A1810"/>
    <w:rsid w:val="6BA915BA"/>
    <w:rsid w:val="6C2B57A3"/>
    <w:rsid w:val="6C7D4E22"/>
    <w:rsid w:val="6CB440B2"/>
    <w:rsid w:val="6CBC2D03"/>
    <w:rsid w:val="6CDA76E7"/>
    <w:rsid w:val="6CE046E2"/>
    <w:rsid w:val="6D040631"/>
    <w:rsid w:val="6D267FE2"/>
    <w:rsid w:val="6D2738CE"/>
    <w:rsid w:val="6D274DD2"/>
    <w:rsid w:val="6D34722A"/>
    <w:rsid w:val="6D620367"/>
    <w:rsid w:val="6DA53050"/>
    <w:rsid w:val="6DE15A50"/>
    <w:rsid w:val="6E1F4585"/>
    <w:rsid w:val="6E6A59F3"/>
    <w:rsid w:val="6E7D0A7D"/>
    <w:rsid w:val="6EBB6F47"/>
    <w:rsid w:val="6F2F0685"/>
    <w:rsid w:val="6F337072"/>
    <w:rsid w:val="70982403"/>
    <w:rsid w:val="709D5435"/>
    <w:rsid w:val="70E9167B"/>
    <w:rsid w:val="711C1FED"/>
    <w:rsid w:val="71B07818"/>
    <w:rsid w:val="725C2A40"/>
    <w:rsid w:val="72BB1748"/>
    <w:rsid w:val="72FF24CB"/>
    <w:rsid w:val="734A6525"/>
    <w:rsid w:val="73546671"/>
    <w:rsid w:val="73934A1F"/>
    <w:rsid w:val="73A02464"/>
    <w:rsid w:val="73C470CC"/>
    <w:rsid w:val="74415023"/>
    <w:rsid w:val="74457313"/>
    <w:rsid w:val="745B3A55"/>
    <w:rsid w:val="74753403"/>
    <w:rsid w:val="748656B2"/>
    <w:rsid w:val="74F0131C"/>
    <w:rsid w:val="75115393"/>
    <w:rsid w:val="756D71A8"/>
    <w:rsid w:val="76225DA0"/>
    <w:rsid w:val="76E8537C"/>
    <w:rsid w:val="7766520C"/>
    <w:rsid w:val="77A06791"/>
    <w:rsid w:val="77A5619C"/>
    <w:rsid w:val="77F929F7"/>
    <w:rsid w:val="780131BF"/>
    <w:rsid w:val="780F3611"/>
    <w:rsid w:val="78AB0A3F"/>
    <w:rsid w:val="78C65D8E"/>
    <w:rsid w:val="78F2288B"/>
    <w:rsid w:val="78FB4EBC"/>
    <w:rsid w:val="791351F0"/>
    <w:rsid w:val="792C1D98"/>
    <w:rsid w:val="795C33BE"/>
    <w:rsid w:val="79683F8F"/>
    <w:rsid w:val="79A42111"/>
    <w:rsid w:val="79EE3A2B"/>
    <w:rsid w:val="79F156F9"/>
    <w:rsid w:val="7A14416D"/>
    <w:rsid w:val="7A476BDD"/>
    <w:rsid w:val="7A4B23CE"/>
    <w:rsid w:val="7A4D247D"/>
    <w:rsid w:val="7A6B785D"/>
    <w:rsid w:val="7A911451"/>
    <w:rsid w:val="7AA2473D"/>
    <w:rsid w:val="7AB841B5"/>
    <w:rsid w:val="7ACE5C60"/>
    <w:rsid w:val="7B830929"/>
    <w:rsid w:val="7BA232D6"/>
    <w:rsid w:val="7BA257E6"/>
    <w:rsid w:val="7BC213FE"/>
    <w:rsid w:val="7BF41E15"/>
    <w:rsid w:val="7C7610CA"/>
    <w:rsid w:val="7CD04988"/>
    <w:rsid w:val="7D9E3A61"/>
    <w:rsid w:val="7DA52167"/>
    <w:rsid w:val="7DE2231D"/>
    <w:rsid w:val="7E005D4F"/>
    <w:rsid w:val="7E040796"/>
    <w:rsid w:val="7E1270E2"/>
    <w:rsid w:val="7F0322CC"/>
    <w:rsid w:val="7F3C3C58"/>
    <w:rsid w:val="7F543508"/>
    <w:rsid w:val="7F6723C3"/>
    <w:rsid w:val="7F9419EF"/>
    <w:rsid w:val="7FB7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/>
      <w:ind w:firstLine="420" w:firstLineChars="200"/>
    </w:pPr>
    <w:rPr>
      <w:rFonts w:ascii="Calibri" w:hAnsi="Calibri" w:cs="Times New Roman"/>
    </w:rPr>
  </w:style>
  <w:style w:type="paragraph" w:styleId="3">
    <w:name w:val="Body Text Indent"/>
    <w:basedOn w:val="1"/>
    <w:next w:val="4"/>
    <w:qFormat/>
    <w:uiPriority w:val="0"/>
    <w:pPr>
      <w:spacing w:line="600" w:lineRule="exact"/>
      <w:ind w:firstLine="630"/>
    </w:pPr>
    <w:rPr>
      <w:rFonts w:ascii="仿宋_GB2312" w:eastAsia="仿宋_GB2312"/>
      <w:sz w:val="32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5">
    <w:name w:val="Date"/>
    <w:basedOn w:val="1"/>
    <w:next w:val="1"/>
    <w:qFormat/>
    <w:uiPriority w:val="0"/>
    <w:rPr>
      <w:rFonts w:ascii="仿宋_GB2312" w:eastAsia="仿宋_GB2312"/>
      <w:sz w:val="28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10">
    <w:name w:val="footnote reference"/>
    <w:basedOn w:val="9"/>
    <w:qFormat/>
    <w:uiPriority w:val="0"/>
    <w:rPr>
      <w:vertAlign w:val="superscript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5806</Words>
  <Characters>6216</Characters>
  <Lines>0</Lines>
  <Paragraphs>0</Paragraphs>
  <TotalTime>14</TotalTime>
  <ScaleCrop>false</ScaleCrop>
  <LinksUpToDate>false</LinksUpToDate>
  <CharactersWithSpaces>6252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2022-07-26T01:15:00Z</dcterms:created>
  <dc:creator>Administrator</dc:creator>
  <cp:lastModifiedBy>Administrator</cp:lastModifiedBy>
  <cp:lastPrinted>2022-11-02T00:32:00Z</cp:lastPrinted>
  <dcterms:modified xsi:type="dcterms:W3CDTF">2023-04-13T07:14:11Z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1037DA2BF9294055847B61351D900C27</vt:lpwstr>
  </property>
</Properties>
</file>