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topLinePunct w:val="0"/>
        <w:bidi w:val="0"/>
        <w:adjustRightInd/>
        <w:snapToGrid/>
        <w:spacing w:line="560" w:lineRule="exact"/>
        <w:ind w:firstLine="0" w:firstLineChars="0"/>
        <w:jc w:val="center"/>
        <w:textAlignment w:val="auto"/>
        <w:rPr>
          <w:rFonts w:hint="eastAsia" w:ascii="方正小标宋简体" w:hAnsi="Arial" w:eastAsia="方正小标宋简体" w:cs="Arial"/>
          <w:color w:val="auto"/>
          <w:sz w:val="44"/>
          <w:szCs w:val="21"/>
          <w:shd w:val="clear" w:color="auto" w:fill="FFFFFF"/>
          <w:lang w:eastAsia="zh-CN"/>
        </w:rPr>
      </w:pPr>
      <w:bookmarkStart w:id="0" w:name="_GoBack"/>
      <w:r>
        <w:rPr>
          <w:rFonts w:hint="eastAsia" w:ascii="方正小标宋简体" w:hAnsi="Arial" w:eastAsia="方正小标宋简体" w:cs="Arial"/>
          <w:color w:val="auto"/>
          <w:sz w:val="44"/>
          <w:szCs w:val="21"/>
          <w:shd w:val="clear" w:color="auto" w:fill="FFFFFF"/>
          <w:lang w:eastAsia="zh-CN"/>
        </w:rPr>
        <w:t>关于“</w:t>
      </w:r>
      <w:r>
        <w:rPr>
          <w:rFonts w:hint="eastAsia" w:ascii="方正小标宋简体" w:hAnsi="Arial" w:eastAsia="方正小标宋简体" w:cs="Arial"/>
          <w:color w:val="auto"/>
          <w:sz w:val="44"/>
          <w:szCs w:val="21"/>
          <w:shd w:val="clear" w:color="auto" w:fill="FFFFFF"/>
          <w:lang w:val="en-US" w:eastAsia="zh-CN"/>
        </w:rPr>
        <w:t>2·20</w:t>
      </w:r>
      <w:r>
        <w:rPr>
          <w:rFonts w:hint="eastAsia" w:ascii="方正小标宋简体" w:hAnsi="Arial" w:eastAsia="方正小标宋简体" w:cs="Arial"/>
          <w:color w:val="auto"/>
          <w:sz w:val="44"/>
          <w:szCs w:val="21"/>
          <w:shd w:val="clear" w:color="auto" w:fill="FFFFFF"/>
          <w:lang w:eastAsia="zh-CN"/>
        </w:rPr>
        <w:t>”起重伤害一般生产安全</w:t>
      </w:r>
    </w:p>
    <w:p>
      <w:pPr>
        <w:keepNext w:val="0"/>
        <w:keepLines w:val="0"/>
        <w:pageBreakBefore w:val="0"/>
        <w:widowControl w:val="0"/>
        <w:kinsoku/>
        <w:wordWrap/>
        <w:topLinePunct w:val="0"/>
        <w:bidi w:val="0"/>
        <w:adjustRightInd/>
        <w:snapToGrid/>
        <w:spacing w:line="560" w:lineRule="exact"/>
        <w:ind w:firstLine="0" w:firstLineChars="0"/>
        <w:jc w:val="center"/>
        <w:textAlignment w:val="auto"/>
        <w:rPr>
          <w:rFonts w:hint="eastAsia" w:ascii="方正小标宋简体" w:hAnsi="Arial" w:eastAsia="方正小标宋简体" w:cs="Arial"/>
          <w:color w:val="auto"/>
          <w:sz w:val="44"/>
          <w:szCs w:val="21"/>
          <w:shd w:val="clear" w:color="auto" w:fill="FFFFFF"/>
        </w:rPr>
      </w:pPr>
      <w:r>
        <w:rPr>
          <w:rFonts w:hint="eastAsia" w:ascii="方正小标宋简体" w:hAnsi="Arial" w:eastAsia="方正小标宋简体" w:cs="Arial"/>
          <w:color w:val="auto"/>
          <w:sz w:val="44"/>
          <w:szCs w:val="21"/>
          <w:shd w:val="clear" w:color="auto" w:fill="FFFFFF"/>
          <w:lang w:eastAsia="zh-CN"/>
        </w:rPr>
        <w:t>责任事故的调查报告</w:t>
      </w:r>
      <w:bookmarkEnd w:id="0"/>
    </w:p>
    <w:p>
      <w:pPr>
        <w:keepNext w:val="0"/>
        <w:keepLines w:val="0"/>
        <w:pageBreakBefore w:val="0"/>
        <w:widowControl w:val="0"/>
        <w:kinsoku/>
        <w:wordWrap/>
        <w:topLinePunct w:val="0"/>
        <w:bidi w:val="0"/>
        <w:adjustRightInd/>
        <w:snapToGrid/>
        <w:spacing w:line="560" w:lineRule="exact"/>
        <w:textAlignment w:val="auto"/>
        <w:rPr>
          <w:color w:val="auto"/>
        </w:rPr>
      </w:pPr>
    </w:p>
    <w:p>
      <w:pPr>
        <w:pStyle w:val="2"/>
        <w:rPr>
          <w:rFonts w:hint="eastAsia" w:ascii="仿宋_GB2312" w:hAnsi="仿宋_GB2312" w:eastAsia="仿宋_GB2312" w:cs="仿宋_GB2312"/>
        </w:rPr>
      </w:pPr>
      <w:r>
        <w:rPr>
          <w:rFonts w:hint="eastAsia" w:ascii="仿宋_GB2312" w:hAnsi="仿宋_GB2312" w:eastAsia="仿宋_GB2312" w:cs="仿宋_GB2312"/>
        </w:rPr>
        <w:t>2023年2月20日14时40分左右，位于崇明区长兴</w:t>
      </w:r>
      <w:r>
        <w:rPr>
          <w:rFonts w:hint="eastAsia" w:ascii="仿宋_GB2312" w:hAnsi="仿宋_GB2312" w:cs="仿宋_GB2312"/>
          <w:lang w:eastAsia="zh-CN"/>
        </w:rPr>
        <w:t>产业</w:t>
      </w:r>
      <w:r>
        <w:rPr>
          <w:rFonts w:hint="eastAsia" w:ascii="仿宋_GB2312" w:hAnsi="仿宋_GB2312" w:eastAsia="仿宋_GB2312" w:cs="仿宋_GB2312"/>
        </w:rPr>
        <w:t>园区内的海洋装备研究中心长兴岛基地一期</w:t>
      </w:r>
      <w:r>
        <w:rPr>
          <w:rFonts w:hint="eastAsia" w:ascii="仿宋_GB2312" w:hAnsi="仿宋_GB2312" w:cs="仿宋_GB2312"/>
          <w:lang w:val="en-US" w:eastAsia="zh-CN"/>
        </w:rPr>
        <w:t>5#</w:t>
      </w:r>
      <w:r>
        <w:rPr>
          <w:rFonts w:hint="eastAsia" w:ascii="仿宋_GB2312" w:hAnsi="仿宋_GB2312" w:eastAsia="仿宋_GB2312" w:cs="仿宋_GB2312"/>
        </w:rPr>
        <w:t>智能</w:t>
      </w:r>
      <w:r>
        <w:rPr>
          <w:rFonts w:hint="eastAsia" w:ascii="仿宋_GB2312" w:hAnsi="仿宋_GB2312" w:cs="仿宋_GB2312"/>
          <w:lang w:eastAsia="zh-CN"/>
        </w:rPr>
        <w:t>设备</w:t>
      </w:r>
      <w:r>
        <w:rPr>
          <w:rFonts w:hint="eastAsia" w:ascii="仿宋_GB2312" w:hAnsi="仿宋_GB2312" w:eastAsia="仿宋_GB2312" w:cs="仿宋_GB2312"/>
        </w:rPr>
        <w:t>实验室</w:t>
      </w:r>
      <w:r>
        <w:rPr>
          <w:rFonts w:hint="eastAsia" w:ascii="仿宋_GB2312" w:hAnsi="仿宋_GB2312" w:cs="仿宋_GB2312"/>
          <w:lang w:eastAsia="zh-CN"/>
        </w:rPr>
        <w:t>工程</w:t>
      </w:r>
      <w:r>
        <w:rPr>
          <w:rFonts w:hint="eastAsia" w:ascii="仿宋_GB2312" w:hAnsi="仿宋_GB2312" w:eastAsia="仿宋_GB2312" w:cs="仿宋_GB2312"/>
        </w:rPr>
        <w:t>工地，上海永攀起重设备安装有限公司发生一起起重伤害亡人事故</w:t>
      </w:r>
      <w:r>
        <w:rPr>
          <w:rFonts w:hint="eastAsia" w:ascii="仿宋_GB2312" w:hAnsi="仿宋_GB2312" w:cs="仿宋_GB2312"/>
          <w:lang w:eastAsia="zh-CN"/>
        </w:rPr>
        <w:t>（以下简称“</w:t>
      </w:r>
      <w:r>
        <w:rPr>
          <w:rFonts w:hint="eastAsia" w:ascii="仿宋_GB2312" w:hAnsi="仿宋_GB2312" w:cs="仿宋_GB2312"/>
          <w:lang w:val="en-US" w:eastAsia="zh-CN"/>
        </w:rPr>
        <w:t>2·20</w:t>
      </w:r>
      <w:r>
        <w:rPr>
          <w:rFonts w:hint="eastAsia" w:ascii="仿宋_GB2312" w:hAnsi="仿宋_GB2312" w:cs="仿宋_GB2312"/>
          <w:lang w:eastAsia="zh-CN"/>
        </w:rPr>
        <w:t>”事故）</w:t>
      </w:r>
      <w:r>
        <w:rPr>
          <w:rFonts w:hint="eastAsia" w:ascii="仿宋_GB2312" w:hAnsi="仿宋_GB2312" w:eastAsia="仿宋_GB2312" w:cs="仿宋_GB2312"/>
        </w:rPr>
        <w:t>。</w:t>
      </w:r>
    </w:p>
    <w:p>
      <w:pPr>
        <w:keepNext w:val="0"/>
        <w:keepLines w:val="0"/>
        <w:pageBreakBefore w:val="0"/>
        <w:widowControl w:val="0"/>
        <w:kinsoku/>
        <w:wordWrap/>
        <w:topLinePunct w:val="0"/>
        <w:bidi w:val="0"/>
        <w:adjustRightInd/>
        <w:snapToGrid/>
        <w:spacing w:line="560" w:lineRule="exact"/>
        <w:ind w:firstLine="643"/>
        <w:textAlignment w:val="auto"/>
        <w:rPr>
          <w:rFonts w:hint="eastAsia"/>
          <w:color w:val="auto"/>
          <w:szCs w:val="32"/>
        </w:rPr>
      </w:pPr>
      <w:r>
        <w:rPr>
          <w:rFonts w:hint="eastAsia"/>
          <w:color w:val="auto"/>
          <w:szCs w:val="32"/>
        </w:rPr>
        <w:t>根据《中华人民共和国安全生产法》和《生产安全事故报告和调查处理条例》(国务院令第493号)及《上海市〈生产安全事故报告和调查处理条例〉的若干规定》（沪府规〔2018〕7号）,受上海市崇明区人民政府委托，成立由上海市崇明区应急管理局（以下简称区应急局）牵头，上海市公安局崇明分局、上海市崇明区总工会、</w:t>
      </w:r>
      <w:r>
        <w:rPr>
          <w:rFonts w:hint="eastAsia"/>
          <w:color w:val="auto"/>
          <w:szCs w:val="32"/>
          <w:lang w:eastAsia="zh-CN"/>
        </w:rPr>
        <w:t>上海市崇明区建设和管理委员会、上海长兴企业集团有限公司</w:t>
      </w:r>
      <w:r>
        <w:rPr>
          <w:rFonts w:hint="eastAsia"/>
          <w:color w:val="auto"/>
          <w:szCs w:val="32"/>
        </w:rPr>
        <w:t>等单位组成的“</w:t>
      </w:r>
      <w:r>
        <w:rPr>
          <w:rFonts w:hint="eastAsia"/>
          <w:color w:val="auto"/>
          <w:szCs w:val="32"/>
          <w:lang w:val="en-US" w:eastAsia="zh-CN"/>
        </w:rPr>
        <w:t>2·20</w:t>
      </w:r>
      <w:r>
        <w:rPr>
          <w:rFonts w:hint="eastAsia"/>
          <w:color w:val="auto"/>
          <w:szCs w:val="32"/>
        </w:rPr>
        <w:t>”事故调查组（以下简称事故调查组），并邀请中共上海市崇明区纪律检查委员会（上海市崇明区监察委员会）监督，开展事故调查工作。现将调查主要情况报告如下：</w:t>
      </w:r>
    </w:p>
    <w:p>
      <w:pPr>
        <w:keepNext w:val="0"/>
        <w:keepLines w:val="0"/>
        <w:pageBreakBefore w:val="0"/>
        <w:widowControl w:val="0"/>
        <w:kinsoku/>
        <w:wordWrap/>
        <w:topLinePunct w:val="0"/>
        <w:bidi w:val="0"/>
        <w:adjustRightInd/>
        <w:snapToGrid/>
        <w:spacing w:line="560" w:lineRule="exact"/>
        <w:ind w:firstLine="643"/>
        <w:textAlignment w:val="auto"/>
        <w:rPr>
          <w:rFonts w:hint="eastAsia" w:ascii="黑体" w:eastAsia="黑体"/>
          <w:b w:val="0"/>
          <w:bCs/>
          <w:color w:val="auto"/>
          <w:szCs w:val="32"/>
          <w:lang w:eastAsia="zh-CN"/>
        </w:rPr>
      </w:pPr>
      <w:r>
        <w:rPr>
          <w:rFonts w:hint="eastAsia" w:ascii="黑体" w:eastAsia="黑体"/>
          <w:b w:val="0"/>
          <w:bCs/>
          <w:color w:val="auto"/>
          <w:szCs w:val="32"/>
          <w:lang w:eastAsia="zh-CN"/>
        </w:rPr>
        <w:t>一、基本情况</w:t>
      </w:r>
    </w:p>
    <w:p>
      <w:pPr>
        <w:keepNext w:val="0"/>
        <w:keepLines w:val="0"/>
        <w:pageBreakBefore w:val="0"/>
        <w:widowControl w:val="0"/>
        <w:kinsoku/>
        <w:wordWrap/>
        <w:topLinePunct w:val="0"/>
        <w:bidi w:val="0"/>
        <w:adjustRightInd/>
        <w:snapToGrid/>
        <w:spacing w:line="560" w:lineRule="exact"/>
        <w:ind w:firstLine="640"/>
        <w:textAlignment w:val="auto"/>
        <w:rPr>
          <w:rFonts w:hint="eastAsia" w:ascii="楷体_GB2312" w:hAnsi="楷体_GB2312" w:eastAsia="楷体_GB2312" w:cs="楷体_GB2312"/>
          <w:b/>
          <w:bCs/>
          <w:color w:val="auto"/>
          <w:szCs w:val="32"/>
          <w:lang w:eastAsia="zh-CN"/>
        </w:rPr>
      </w:pPr>
      <w:r>
        <w:rPr>
          <w:rFonts w:hint="eastAsia" w:ascii="楷体_GB2312" w:hAnsi="楷体_GB2312" w:eastAsia="楷体_GB2312" w:cs="楷体_GB2312"/>
          <w:b/>
          <w:bCs/>
          <w:color w:val="auto"/>
          <w:szCs w:val="32"/>
          <w:lang w:eastAsia="zh-CN"/>
        </w:rPr>
        <w:t>（一）涉事单位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Cs w:val="32"/>
          <w:lang w:val="en-US" w:eastAsia="zh-CN"/>
        </w:rPr>
      </w:pPr>
      <w:r>
        <w:rPr>
          <w:rFonts w:hint="eastAsia" w:cs="仿宋_GB2312"/>
          <w:b w:val="0"/>
          <w:bCs/>
          <w:color w:val="auto"/>
          <w:szCs w:val="32"/>
          <w:lang w:val="en-US" w:eastAsia="zh-CN"/>
        </w:rPr>
        <w:t>1</w:t>
      </w:r>
      <w:r>
        <w:rPr>
          <w:rFonts w:hint="eastAsia" w:ascii="仿宋_GB2312" w:hAnsi="仿宋_GB2312" w:eastAsia="仿宋_GB2312" w:cs="仿宋_GB2312"/>
          <w:b w:val="0"/>
          <w:bCs/>
          <w:color w:val="auto"/>
          <w:szCs w:val="32"/>
          <w:lang w:val="en-US" w:eastAsia="zh-CN"/>
        </w:rPr>
        <w:t>.</w:t>
      </w:r>
      <w:r>
        <w:rPr>
          <w:rFonts w:hint="eastAsia" w:cs="仿宋_GB2312"/>
          <w:b w:val="0"/>
          <w:bCs/>
          <w:color w:val="auto"/>
          <w:szCs w:val="32"/>
          <w:lang w:val="en-US" w:eastAsia="zh-CN"/>
        </w:rPr>
        <w:t>中建钢构工程有限公司</w:t>
      </w:r>
      <w:r>
        <w:rPr>
          <w:rFonts w:hint="eastAsia" w:ascii="仿宋_GB2312" w:hAnsi="仿宋_GB2312" w:eastAsia="仿宋_GB2312" w:cs="仿宋_GB2312"/>
          <w:color w:val="auto"/>
          <w:sz w:val="32"/>
          <w:szCs w:val="32"/>
          <w:lang w:eastAsia="zh-CN"/>
        </w:rPr>
        <w:t>（以下</w:t>
      </w:r>
      <w:r>
        <w:rPr>
          <w:rFonts w:hint="eastAsia" w:ascii="仿宋_GB2312" w:hAnsi="仿宋_GB2312" w:eastAsia="仿宋_GB2312" w:cs="仿宋_GB2312"/>
          <w:color w:val="auto"/>
          <w:szCs w:val="32"/>
          <w:lang w:val="en-US" w:eastAsia="zh-CN"/>
        </w:rPr>
        <w:t>简称</w:t>
      </w:r>
      <w:r>
        <w:rPr>
          <w:rFonts w:hint="eastAsia" w:cs="仿宋_GB2312"/>
          <w:color w:val="auto"/>
          <w:szCs w:val="32"/>
          <w:lang w:val="en-US" w:eastAsia="zh-CN"/>
        </w:rPr>
        <w:t>中建钢构公司</w:t>
      </w:r>
      <w:r>
        <w:rPr>
          <w:rFonts w:hint="eastAsia" w:ascii="仿宋_GB2312" w:hAnsi="仿宋_GB2312" w:eastAsia="仿宋_GB2312" w:cs="仿宋_GB2312"/>
          <w:color w:val="auto"/>
          <w:sz w:val="32"/>
          <w:szCs w:val="32"/>
          <w:lang w:eastAsia="zh-CN"/>
        </w:rPr>
        <w:t>）</w:t>
      </w:r>
      <w:r>
        <w:rPr>
          <w:rFonts w:hint="eastAsia" w:cs="仿宋_GB2312"/>
          <w:color w:val="auto"/>
          <w:sz w:val="32"/>
          <w:szCs w:val="32"/>
          <w:lang w:eastAsia="zh-CN"/>
        </w:rPr>
        <w:t>；</w:t>
      </w:r>
      <w:r>
        <w:rPr>
          <w:rFonts w:hint="eastAsia" w:cs="仿宋_GB2312"/>
          <w:color w:val="auto"/>
          <w:sz w:val="32"/>
          <w:szCs w:val="32"/>
          <w:lang w:val="en-US" w:eastAsia="zh-CN"/>
        </w:rPr>
        <w:t>法定代表人：方春生</w:t>
      </w:r>
      <w:r>
        <w:rPr>
          <w:rFonts w:hint="eastAsia" w:ascii="仿宋_GB2312" w:hAnsi="仿宋_GB2312" w:eastAsia="仿宋_GB2312" w:cs="仿宋_GB2312"/>
          <w:color w:val="auto"/>
          <w:sz w:val="32"/>
          <w:szCs w:val="32"/>
          <w:lang w:eastAsia="zh-CN"/>
        </w:rPr>
        <w:t>；</w:t>
      </w:r>
      <w:r>
        <w:rPr>
          <w:rFonts w:hint="eastAsia" w:cs="仿宋_GB2312"/>
          <w:color w:val="auto"/>
          <w:sz w:val="32"/>
          <w:szCs w:val="32"/>
          <w:lang w:eastAsia="zh-CN"/>
        </w:rPr>
        <w:t>住所</w:t>
      </w:r>
      <w:r>
        <w:rPr>
          <w:rFonts w:hint="eastAsia" w:ascii="仿宋_GB2312" w:hAnsi="仿宋_GB2312" w:eastAsia="仿宋_GB2312" w:cs="仿宋_GB2312"/>
          <w:color w:val="auto"/>
          <w:sz w:val="32"/>
          <w:szCs w:val="32"/>
        </w:rPr>
        <w:t>：</w:t>
      </w:r>
      <w:r>
        <w:rPr>
          <w:rFonts w:hint="eastAsia" w:cs="仿宋_GB2312"/>
          <w:color w:val="auto"/>
          <w:sz w:val="32"/>
          <w:szCs w:val="32"/>
          <w:lang w:eastAsia="zh-CN"/>
        </w:rPr>
        <w:t>深圳市坪山区坪山街道六联社区坪山大道</w:t>
      </w:r>
      <w:r>
        <w:rPr>
          <w:rFonts w:hint="eastAsia" w:cs="仿宋_GB2312"/>
          <w:color w:val="auto"/>
          <w:sz w:val="32"/>
          <w:szCs w:val="32"/>
          <w:lang w:val="en-US" w:eastAsia="zh-CN"/>
        </w:rPr>
        <w:t>2009号城投芯时代大厦1908</w:t>
      </w:r>
      <w:r>
        <w:rPr>
          <w:rFonts w:hint="eastAsia" w:cs="仿宋_GB2312"/>
          <w:color w:val="auto"/>
          <w:sz w:val="32"/>
          <w:szCs w:val="32"/>
          <w:lang w:eastAsia="zh-CN"/>
        </w:rPr>
        <w:t>。</w:t>
      </w:r>
      <w:r>
        <w:rPr>
          <w:rFonts w:hint="eastAsia" w:cs="仿宋_GB2312"/>
          <w:color w:val="auto"/>
          <w:sz w:val="32"/>
          <w:szCs w:val="32"/>
          <w:lang w:val="en-US" w:eastAsia="zh-CN"/>
        </w:rPr>
        <w:t>该单位是5#智能设备实验室工程（以下简称实验室工程）</w:t>
      </w:r>
      <w:r>
        <w:rPr>
          <w:rFonts w:hint="eastAsia" w:cs="仿宋_GB2312"/>
          <w:color w:val="auto"/>
          <w:sz w:val="32"/>
          <w:szCs w:val="32"/>
          <w:lang w:eastAsia="zh-CN"/>
        </w:rPr>
        <w:t>的钢结构施工单位。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Cs w:val="32"/>
          <w:lang w:val="en-US" w:eastAsia="zh-CN"/>
        </w:rPr>
      </w:pPr>
      <w:r>
        <w:rPr>
          <w:rFonts w:hint="eastAsia" w:cs="仿宋_GB2312"/>
          <w:b w:val="0"/>
          <w:bCs/>
          <w:color w:val="auto"/>
          <w:szCs w:val="32"/>
          <w:lang w:val="en-US" w:eastAsia="zh-CN"/>
        </w:rPr>
        <w:t>2.河南润广建筑劳务有限公司（</w:t>
      </w:r>
      <w:r>
        <w:rPr>
          <w:rFonts w:hint="eastAsia" w:ascii="仿宋_GB2312" w:hAnsi="仿宋_GB2312" w:eastAsia="仿宋_GB2312" w:cs="仿宋_GB2312"/>
          <w:color w:val="auto"/>
          <w:sz w:val="32"/>
          <w:szCs w:val="32"/>
          <w:lang w:eastAsia="zh-CN"/>
        </w:rPr>
        <w:t>以下</w:t>
      </w:r>
      <w:r>
        <w:rPr>
          <w:rFonts w:hint="eastAsia" w:ascii="仿宋_GB2312" w:hAnsi="仿宋_GB2312" w:eastAsia="仿宋_GB2312" w:cs="仿宋_GB2312"/>
          <w:color w:val="auto"/>
          <w:szCs w:val="32"/>
          <w:lang w:val="en-US" w:eastAsia="zh-CN"/>
        </w:rPr>
        <w:t>简称</w:t>
      </w:r>
      <w:r>
        <w:rPr>
          <w:rFonts w:hint="eastAsia" w:cs="仿宋_GB2312"/>
          <w:color w:val="auto"/>
          <w:szCs w:val="32"/>
          <w:lang w:val="en-US" w:eastAsia="zh-CN"/>
        </w:rPr>
        <w:t>河南润广公司</w:t>
      </w:r>
      <w:r>
        <w:rPr>
          <w:rFonts w:hint="eastAsia" w:cs="仿宋_GB2312"/>
          <w:b w:val="0"/>
          <w:bCs/>
          <w:color w:val="auto"/>
          <w:szCs w:val="32"/>
          <w:lang w:val="en-US" w:eastAsia="zh-CN"/>
        </w:rPr>
        <w:t>）；</w:t>
      </w:r>
      <w:r>
        <w:rPr>
          <w:rFonts w:hint="eastAsia" w:cs="仿宋_GB2312"/>
          <w:color w:val="auto"/>
          <w:sz w:val="32"/>
          <w:szCs w:val="32"/>
          <w:lang w:val="en-US" w:eastAsia="zh-CN"/>
        </w:rPr>
        <w:t>法定代表人：郭盈军</w:t>
      </w:r>
      <w:r>
        <w:rPr>
          <w:rFonts w:hint="eastAsia" w:ascii="仿宋_GB2312" w:hAnsi="仿宋_GB2312" w:eastAsia="仿宋_GB2312" w:cs="仿宋_GB2312"/>
          <w:color w:val="auto"/>
          <w:sz w:val="32"/>
          <w:szCs w:val="32"/>
          <w:lang w:eastAsia="zh-CN"/>
        </w:rPr>
        <w:t>；</w:t>
      </w:r>
      <w:r>
        <w:rPr>
          <w:rFonts w:hint="eastAsia" w:cs="仿宋_GB2312"/>
          <w:color w:val="auto"/>
          <w:sz w:val="32"/>
          <w:szCs w:val="32"/>
          <w:lang w:eastAsia="zh-CN"/>
        </w:rPr>
        <w:t>住所</w:t>
      </w:r>
      <w:r>
        <w:rPr>
          <w:rFonts w:hint="eastAsia" w:ascii="仿宋_GB2312" w:hAnsi="仿宋_GB2312" w:eastAsia="仿宋_GB2312" w:cs="仿宋_GB2312"/>
          <w:color w:val="auto"/>
          <w:sz w:val="32"/>
          <w:szCs w:val="32"/>
        </w:rPr>
        <w:t>：</w:t>
      </w:r>
      <w:r>
        <w:rPr>
          <w:rFonts w:hint="eastAsia" w:cs="仿宋_GB2312"/>
          <w:color w:val="auto"/>
          <w:sz w:val="32"/>
          <w:szCs w:val="32"/>
          <w:lang w:eastAsia="zh-CN"/>
        </w:rPr>
        <w:t>河南省许昌市市辖区亨源通世纪广场</w:t>
      </w:r>
      <w:r>
        <w:rPr>
          <w:rFonts w:hint="eastAsia" w:cs="仿宋_GB2312"/>
          <w:color w:val="auto"/>
          <w:sz w:val="32"/>
          <w:szCs w:val="32"/>
          <w:lang w:val="en-US" w:eastAsia="zh-CN"/>
        </w:rPr>
        <w:t>3号楼1106室</w:t>
      </w:r>
      <w:r>
        <w:rPr>
          <w:rFonts w:hint="eastAsia" w:cs="仿宋_GB2312"/>
          <w:color w:val="auto"/>
          <w:sz w:val="32"/>
          <w:szCs w:val="32"/>
          <w:lang w:eastAsia="zh-CN"/>
        </w:rPr>
        <w:t>。该单位是</w:t>
      </w:r>
      <w:r>
        <w:rPr>
          <w:rFonts w:hint="eastAsia" w:cs="仿宋_GB2312"/>
          <w:color w:val="auto"/>
          <w:sz w:val="32"/>
          <w:szCs w:val="32"/>
          <w:lang w:val="en-US" w:eastAsia="zh-CN"/>
        </w:rPr>
        <w:t>实验室工程</w:t>
      </w:r>
      <w:r>
        <w:rPr>
          <w:rFonts w:hint="eastAsia" w:cs="仿宋_GB2312"/>
          <w:color w:val="auto"/>
          <w:sz w:val="32"/>
          <w:szCs w:val="32"/>
          <w:lang w:eastAsia="zh-CN"/>
        </w:rPr>
        <w:t>的钢结构劳务分包单位。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cs="仿宋_GB2312"/>
          <w:color w:val="auto"/>
          <w:sz w:val="32"/>
          <w:szCs w:val="32"/>
          <w:lang w:eastAsia="zh-CN"/>
        </w:rPr>
      </w:pPr>
      <w:r>
        <w:rPr>
          <w:rFonts w:hint="eastAsia" w:cs="仿宋_GB2312"/>
          <w:b w:val="0"/>
          <w:bCs/>
          <w:color w:val="auto"/>
          <w:szCs w:val="32"/>
          <w:lang w:val="en-US" w:eastAsia="zh-CN"/>
        </w:rPr>
        <w:t>3.</w:t>
      </w:r>
      <w:r>
        <w:rPr>
          <w:rFonts w:hint="eastAsia"/>
          <w:vertAlign w:val="baseline"/>
        </w:rPr>
        <w:t>上海永攀起重设备安装有限公司</w:t>
      </w:r>
      <w:r>
        <w:rPr>
          <w:rFonts w:hint="eastAsia"/>
          <w:vertAlign w:val="baseline"/>
          <w:lang w:eastAsia="zh-CN"/>
        </w:rPr>
        <w:t>（以下简称上海永攀公司）；</w:t>
      </w:r>
      <w:r>
        <w:rPr>
          <w:rFonts w:hint="eastAsia" w:cs="仿宋_GB2312"/>
          <w:color w:val="auto"/>
          <w:sz w:val="32"/>
          <w:szCs w:val="32"/>
          <w:lang w:val="en-US" w:eastAsia="zh-CN"/>
        </w:rPr>
        <w:t>法定代表人：李永</w:t>
      </w:r>
      <w:r>
        <w:rPr>
          <w:rFonts w:hint="eastAsia" w:ascii="仿宋_GB2312" w:hAnsi="仿宋_GB2312" w:eastAsia="仿宋_GB2312" w:cs="仿宋_GB2312"/>
          <w:color w:val="auto"/>
          <w:sz w:val="32"/>
          <w:szCs w:val="32"/>
          <w:lang w:eastAsia="zh-CN"/>
        </w:rPr>
        <w:t>；</w:t>
      </w:r>
      <w:r>
        <w:rPr>
          <w:rFonts w:hint="eastAsia" w:cs="仿宋_GB2312"/>
          <w:color w:val="auto"/>
          <w:sz w:val="32"/>
          <w:szCs w:val="32"/>
          <w:lang w:eastAsia="zh-CN"/>
        </w:rPr>
        <w:t>住所</w:t>
      </w:r>
      <w:r>
        <w:rPr>
          <w:rFonts w:hint="eastAsia" w:ascii="仿宋_GB2312" w:hAnsi="仿宋_GB2312" w:eastAsia="仿宋_GB2312" w:cs="仿宋_GB2312"/>
          <w:color w:val="auto"/>
          <w:sz w:val="32"/>
          <w:szCs w:val="32"/>
        </w:rPr>
        <w:t>：</w:t>
      </w:r>
      <w:r>
        <w:rPr>
          <w:rFonts w:hint="eastAsia" w:cs="仿宋_GB2312"/>
          <w:color w:val="auto"/>
          <w:sz w:val="32"/>
          <w:szCs w:val="32"/>
          <w:lang w:val="en-US" w:eastAsia="zh-CN"/>
        </w:rPr>
        <w:t>上海市崇明区新河镇新开河路825号10幢373室（上海新河经济小区）</w:t>
      </w:r>
      <w:r>
        <w:rPr>
          <w:rFonts w:hint="eastAsia" w:cs="仿宋_GB2312"/>
          <w:color w:val="auto"/>
          <w:sz w:val="32"/>
          <w:szCs w:val="32"/>
          <w:lang w:eastAsia="zh-CN"/>
        </w:rPr>
        <w:t>。该单位是</w:t>
      </w:r>
      <w:r>
        <w:rPr>
          <w:rFonts w:hint="eastAsia" w:cs="仿宋_GB2312"/>
          <w:color w:val="auto"/>
          <w:sz w:val="32"/>
          <w:szCs w:val="32"/>
          <w:lang w:val="en-US" w:eastAsia="zh-CN"/>
        </w:rPr>
        <w:t>实验室工程</w:t>
      </w:r>
      <w:r>
        <w:rPr>
          <w:rFonts w:hint="eastAsia" w:cs="仿宋_GB2312"/>
          <w:color w:val="auto"/>
          <w:sz w:val="32"/>
          <w:szCs w:val="32"/>
          <w:lang w:eastAsia="zh-CN"/>
        </w:rPr>
        <w:t>的设备租赁单位。</w:t>
      </w:r>
    </w:p>
    <w:p>
      <w:pPr>
        <w:keepNext w:val="0"/>
        <w:keepLines w:val="0"/>
        <w:pageBreakBefore w:val="0"/>
        <w:widowControl w:val="0"/>
        <w:kinsoku/>
        <w:wordWrap/>
        <w:topLinePunct w:val="0"/>
        <w:bidi w:val="0"/>
        <w:adjustRightInd/>
        <w:snapToGrid/>
        <w:spacing w:line="560" w:lineRule="exact"/>
        <w:ind w:firstLine="643"/>
        <w:jc w:val="both"/>
        <w:textAlignment w:val="auto"/>
        <w:rPr>
          <w:rFonts w:hint="eastAsia" w:ascii="楷体_GB2312" w:hAnsi="楷体_GB2312" w:eastAsia="楷体_GB2312" w:cs="楷体_GB2312"/>
          <w:b/>
          <w:bCs w:val="0"/>
          <w:color w:val="auto"/>
          <w:szCs w:val="32"/>
          <w:lang w:eastAsia="zh-CN"/>
        </w:rPr>
      </w:pPr>
      <w:r>
        <w:rPr>
          <w:rFonts w:hint="eastAsia" w:ascii="楷体_GB2312" w:hAnsi="楷体_GB2312" w:eastAsia="楷体_GB2312" w:cs="楷体_GB2312"/>
          <w:b/>
          <w:bCs w:val="0"/>
          <w:color w:val="auto"/>
          <w:szCs w:val="32"/>
          <w:lang w:eastAsia="zh-CN"/>
        </w:rPr>
        <w:t>（二）合同签署情况</w:t>
      </w:r>
    </w:p>
    <w:p>
      <w:pPr>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outlineLvl w:val="9"/>
        <w:rPr>
          <w:rFonts w:hint="default" w:cs="仿宋_GB2312"/>
          <w:color w:val="auto"/>
          <w:szCs w:val="32"/>
          <w:lang w:val="en-US" w:eastAsia="zh-CN"/>
        </w:rPr>
      </w:pPr>
      <w:r>
        <w:rPr>
          <w:rFonts w:hint="eastAsia" w:cs="仿宋_GB2312"/>
          <w:color w:val="auto"/>
          <w:szCs w:val="32"/>
          <w:lang w:val="en-US" w:eastAsia="zh-CN"/>
        </w:rPr>
        <w:t>1.2022年10月，中建钢构公司与河南润广公司签订《劳务分包合同》，双方约定由河南润广公司组织实施实验室工程的钢结构施工劳务分包作业任务。</w:t>
      </w:r>
    </w:p>
    <w:p>
      <w:pPr>
        <w:keepNext w:val="0"/>
        <w:keepLines w:val="0"/>
        <w:pageBreakBefore w:val="0"/>
        <w:widowControl w:val="0"/>
        <w:kinsoku/>
        <w:wordWrap/>
        <w:topLinePunct w:val="0"/>
        <w:bidi w:val="0"/>
        <w:adjustRightInd/>
        <w:snapToGrid/>
        <w:spacing w:line="560" w:lineRule="exact"/>
        <w:ind w:firstLine="640"/>
        <w:jc w:val="both"/>
        <w:textAlignment w:val="auto"/>
        <w:outlineLvl w:val="9"/>
        <w:rPr>
          <w:rFonts w:hint="eastAsia" w:ascii="仿宋_GB2312" w:hAnsi="仿宋_GB2312" w:eastAsia="仿宋_GB2312" w:cs="仿宋_GB2312"/>
          <w:b w:val="0"/>
          <w:bCs/>
          <w:color w:val="auto"/>
          <w:szCs w:val="32"/>
          <w:lang w:val="en-US" w:eastAsia="zh-CN"/>
        </w:rPr>
      </w:pPr>
      <w:r>
        <w:rPr>
          <w:rFonts w:hint="eastAsia" w:cs="仿宋_GB2312"/>
          <w:color w:val="auto"/>
          <w:szCs w:val="32"/>
          <w:lang w:val="en-US" w:eastAsia="zh-CN"/>
        </w:rPr>
        <w:t>2.2022年12月，中建钢构公司与上海永攀公司签订《机械设备租赁合同》，双方约定由上海永攀公司提供汽车起重机设备及吊装服务</w:t>
      </w:r>
      <w:r>
        <w:rPr>
          <w:rFonts w:hint="eastAsia" w:ascii="仿宋_GB2312" w:hAnsi="仿宋_GB2312" w:eastAsia="仿宋_GB2312" w:cs="仿宋_GB2312"/>
          <w:color w:val="auto"/>
          <w:szCs w:val="32"/>
          <w:lang w:val="en-US" w:eastAsia="zh-CN"/>
        </w:rPr>
        <w:t>。</w:t>
      </w:r>
    </w:p>
    <w:p>
      <w:pPr>
        <w:keepNext w:val="0"/>
        <w:keepLines w:val="0"/>
        <w:pageBreakBefore w:val="0"/>
        <w:widowControl w:val="0"/>
        <w:kinsoku/>
        <w:wordWrap/>
        <w:topLinePunct w:val="0"/>
        <w:bidi w:val="0"/>
        <w:adjustRightInd/>
        <w:snapToGrid/>
        <w:spacing w:line="560" w:lineRule="exact"/>
        <w:ind w:firstLine="643"/>
        <w:jc w:val="both"/>
        <w:textAlignment w:val="auto"/>
        <w:rPr>
          <w:rFonts w:ascii="黑体" w:eastAsia="黑体"/>
          <w:b w:val="0"/>
          <w:bCs/>
          <w:color w:val="auto"/>
          <w:szCs w:val="32"/>
        </w:rPr>
      </w:pPr>
      <w:r>
        <w:rPr>
          <w:rFonts w:hint="eastAsia" w:ascii="黑体" w:eastAsia="黑体"/>
          <w:b w:val="0"/>
          <w:bCs/>
          <w:color w:val="auto"/>
          <w:szCs w:val="32"/>
          <w:lang w:eastAsia="zh-CN"/>
        </w:rPr>
        <w:t>二</w:t>
      </w:r>
      <w:r>
        <w:rPr>
          <w:rFonts w:hint="eastAsia" w:ascii="黑体" w:eastAsia="黑体"/>
          <w:b w:val="0"/>
          <w:bCs/>
          <w:color w:val="auto"/>
          <w:szCs w:val="32"/>
        </w:rPr>
        <w:t>、</w:t>
      </w:r>
      <w:r>
        <w:rPr>
          <w:rFonts w:hint="eastAsia" w:ascii="黑体" w:eastAsia="黑体"/>
          <w:b w:val="0"/>
          <w:bCs/>
          <w:color w:val="auto"/>
          <w:szCs w:val="32"/>
          <w:lang w:eastAsia="zh-CN"/>
        </w:rPr>
        <w:t>事故</w:t>
      </w:r>
      <w:r>
        <w:rPr>
          <w:rFonts w:hint="eastAsia" w:ascii="黑体" w:eastAsia="黑体"/>
          <w:b w:val="0"/>
          <w:bCs/>
          <w:color w:val="auto"/>
          <w:szCs w:val="32"/>
        </w:rPr>
        <w:t>经过</w:t>
      </w:r>
    </w:p>
    <w:p>
      <w:pPr>
        <w:keepNext w:val="0"/>
        <w:keepLines w:val="0"/>
        <w:pageBreakBefore w:val="0"/>
        <w:widowControl w:val="0"/>
        <w:kinsoku/>
        <w:wordWrap/>
        <w:overflowPunct w:val="0"/>
        <w:topLinePunct w:val="0"/>
        <w:autoSpaceDE/>
        <w:autoSpaceDN/>
        <w:bidi w:val="0"/>
        <w:adjustRightInd/>
        <w:snapToGrid/>
        <w:spacing w:line="560" w:lineRule="exact"/>
        <w:ind w:firstLine="643"/>
        <w:jc w:val="both"/>
        <w:textAlignment w:val="auto"/>
        <w:outlineLvl w:val="9"/>
        <w:rPr>
          <w:rFonts w:hint="eastAsia" w:cs="仿宋_GB2312"/>
          <w:color w:val="auto"/>
          <w:sz w:val="32"/>
          <w:szCs w:val="32"/>
          <w:lang w:val="en-US" w:eastAsia="zh-CN"/>
        </w:rPr>
      </w:pPr>
      <w:r>
        <w:rPr>
          <w:rFonts w:hint="eastAsia" w:cs="仿宋_GB2312"/>
          <w:color w:val="auto"/>
          <w:kern w:val="2"/>
          <w:sz w:val="32"/>
          <w:szCs w:val="32"/>
          <w:u w:val="none"/>
          <w:lang w:val="en-US" w:eastAsia="zh-CN" w:bidi="ar-SA"/>
        </w:rPr>
        <w:t>2023年2月20日，上海永攀公司汽车起重机司机徐明鹏负责驾驶汽车起重机，将钢质檩条从地面吊运至</w:t>
      </w:r>
      <w:r>
        <w:rPr>
          <w:rFonts w:hint="eastAsia" w:cs="仿宋_GB2312"/>
          <w:color w:val="auto"/>
          <w:sz w:val="32"/>
          <w:szCs w:val="32"/>
          <w:lang w:val="en-US" w:eastAsia="zh-CN"/>
        </w:rPr>
        <w:t>5#智能设备实验室（以下简称实验室）屋顶框梁上，河南润广公司安装工郭应许、喻某某（死者）站在实验室屋顶框梁东西两侧上，负责配合汽车起重机将钢质檩条放置到位。</w:t>
      </w:r>
    </w:p>
    <w:p>
      <w:pPr>
        <w:keepNext w:val="0"/>
        <w:keepLines w:val="0"/>
        <w:pageBreakBefore w:val="0"/>
        <w:widowControl w:val="0"/>
        <w:kinsoku/>
        <w:wordWrap/>
        <w:overflowPunct w:val="0"/>
        <w:topLinePunct w:val="0"/>
        <w:autoSpaceDE/>
        <w:autoSpaceDN/>
        <w:bidi w:val="0"/>
        <w:adjustRightInd/>
        <w:snapToGrid/>
        <w:spacing w:line="560" w:lineRule="exact"/>
        <w:ind w:firstLine="643"/>
        <w:jc w:val="both"/>
        <w:textAlignment w:val="auto"/>
        <w:outlineLvl w:val="9"/>
        <w:rPr>
          <w:rFonts w:hint="default" w:eastAsia="仿宋_GB2312" w:cs="仿宋_GB2312"/>
          <w:color w:val="auto"/>
          <w:kern w:val="2"/>
          <w:sz w:val="32"/>
          <w:szCs w:val="32"/>
          <w:u w:val="none"/>
          <w:lang w:val="en-US" w:eastAsia="zh-CN" w:bidi="ar-SA"/>
        </w:rPr>
      </w:pPr>
      <w:r>
        <w:rPr>
          <w:rFonts w:hint="eastAsia" w:cs="仿宋_GB2312"/>
          <w:color w:val="auto"/>
          <w:sz w:val="32"/>
          <w:szCs w:val="32"/>
          <w:lang w:val="en-US" w:eastAsia="zh-CN"/>
        </w:rPr>
        <w:t>14时40分左右，徐明鹏驾驶</w:t>
      </w:r>
      <w:r>
        <w:rPr>
          <w:rFonts w:hint="eastAsia" w:cs="仿宋_GB2312"/>
          <w:color w:val="auto"/>
          <w:kern w:val="2"/>
          <w:sz w:val="32"/>
          <w:szCs w:val="32"/>
          <w:u w:val="none"/>
          <w:lang w:val="en-US" w:eastAsia="zh-CN" w:bidi="ar-SA"/>
        </w:rPr>
        <w:t>汽车起重机</w:t>
      </w:r>
      <w:r>
        <w:rPr>
          <w:rFonts w:hint="eastAsia" w:cs="仿宋_GB2312"/>
          <w:color w:val="auto"/>
          <w:sz w:val="32"/>
          <w:szCs w:val="32"/>
          <w:lang w:val="en-US" w:eastAsia="zh-CN"/>
        </w:rPr>
        <w:t>将钢质檩条吊起，伸长汽车起重机主臂至最长后向北面旋转，待钢质檩条吊运至规定位置上方，主臂下降，准备将钢质檩条放置在屋顶框梁上。主臂下降时，汽车起重机突然往前倾翻，主臂不受控制，主钩头击打到喻某某头部。</w:t>
      </w:r>
    </w:p>
    <w:p>
      <w:pPr>
        <w:keepNext w:val="0"/>
        <w:keepLines w:val="0"/>
        <w:pageBreakBefore w:val="0"/>
        <w:widowControl w:val="0"/>
        <w:kinsoku/>
        <w:wordWrap/>
        <w:overflowPunct w:val="0"/>
        <w:topLinePunct w:val="0"/>
        <w:autoSpaceDE/>
        <w:autoSpaceDN/>
        <w:bidi w:val="0"/>
        <w:adjustRightInd/>
        <w:snapToGrid/>
        <w:spacing w:line="560" w:lineRule="exact"/>
        <w:ind w:firstLine="643"/>
        <w:jc w:val="both"/>
        <w:textAlignment w:val="auto"/>
        <w:outlineLvl w:val="9"/>
        <w:rPr>
          <w:rFonts w:hint="eastAsia" w:cs="仿宋_GB2312"/>
          <w:color w:val="auto"/>
          <w:kern w:val="2"/>
          <w:sz w:val="32"/>
          <w:szCs w:val="32"/>
          <w:u w:val="none"/>
          <w:lang w:val="en-US" w:eastAsia="zh-CN" w:bidi="ar-SA"/>
        </w:rPr>
      </w:pPr>
      <w:r>
        <w:rPr>
          <w:rFonts w:hint="eastAsia" w:cs="仿宋_GB2312"/>
          <w:color w:val="auto"/>
          <w:kern w:val="2"/>
          <w:sz w:val="32"/>
          <w:szCs w:val="32"/>
          <w:u w:val="none"/>
          <w:lang w:val="en-US" w:eastAsia="zh-CN" w:bidi="ar-SA"/>
        </w:rPr>
        <w:t>事故发生后，喻某某被送至上海交通大学医学院附属新华医院长兴分院抢救，2023年2月20日15时53分，经抢救无效死亡，死亡原因为闭合性颅脑损伤重型。</w:t>
      </w:r>
    </w:p>
    <w:p>
      <w:pPr>
        <w:keepNext w:val="0"/>
        <w:keepLines w:val="0"/>
        <w:pageBreakBefore w:val="0"/>
        <w:widowControl w:val="0"/>
        <w:kinsoku/>
        <w:wordWrap/>
        <w:overflowPunct w:val="0"/>
        <w:topLinePunct w:val="0"/>
        <w:autoSpaceDE/>
        <w:autoSpaceDN/>
        <w:bidi w:val="0"/>
        <w:adjustRightInd/>
        <w:snapToGrid/>
        <w:spacing w:line="560" w:lineRule="exact"/>
        <w:ind w:firstLine="643"/>
        <w:textAlignment w:val="auto"/>
        <w:outlineLvl w:val="9"/>
        <w:rPr>
          <w:rFonts w:ascii="黑体" w:eastAsia="黑体"/>
          <w:b w:val="0"/>
          <w:bCs/>
          <w:color w:val="auto"/>
          <w:szCs w:val="32"/>
        </w:rPr>
      </w:pPr>
      <w:r>
        <w:rPr>
          <w:rFonts w:hint="eastAsia" w:ascii="黑体" w:eastAsia="黑体"/>
          <w:b w:val="0"/>
          <w:bCs/>
          <w:color w:val="auto"/>
          <w:szCs w:val="32"/>
        </w:rPr>
        <w:t>三、人员伤亡和经济损失</w:t>
      </w:r>
    </w:p>
    <w:p>
      <w:pPr>
        <w:keepNext w:val="0"/>
        <w:keepLines w:val="0"/>
        <w:pageBreakBefore w:val="0"/>
        <w:widowControl w:val="0"/>
        <w:kinsoku/>
        <w:wordWrap/>
        <w:overflowPunct w:val="0"/>
        <w:topLinePunct w:val="0"/>
        <w:autoSpaceDE/>
        <w:autoSpaceDN/>
        <w:bidi w:val="0"/>
        <w:adjustRightInd/>
        <w:snapToGrid/>
        <w:spacing w:line="560" w:lineRule="exact"/>
        <w:ind w:firstLine="643"/>
        <w:textAlignment w:val="auto"/>
        <w:outlineLvl w:val="9"/>
        <w:rPr>
          <w:rFonts w:ascii="楷体_GB2312" w:eastAsia="楷体_GB2312"/>
          <w:b/>
          <w:bCs w:val="0"/>
          <w:color w:val="auto"/>
          <w:szCs w:val="32"/>
        </w:rPr>
      </w:pPr>
      <w:r>
        <w:rPr>
          <w:rFonts w:hint="eastAsia" w:ascii="楷体_GB2312" w:eastAsia="楷体_GB2312"/>
          <w:b/>
          <w:bCs w:val="0"/>
          <w:color w:val="auto"/>
          <w:szCs w:val="32"/>
        </w:rPr>
        <w:t>（一）伤亡情况</w:t>
      </w:r>
    </w:p>
    <w:p>
      <w:pPr>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color w:val="auto"/>
          <w:szCs w:val="32"/>
          <w:lang w:eastAsia="zh-CN"/>
        </w:rPr>
      </w:pPr>
      <w:r>
        <w:rPr>
          <w:rFonts w:hint="eastAsia" w:ascii="仿宋_GB2312" w:hAnsi="仿宋_GB2312" w:eastAsia="仿宋_GB2312" w:cs="仿宋_GB2312"/>
          <w:color w:val="auto"/>
          <w:szCs w:val="32"/>
        </w:rPr>
        <w:t>本起事故造成1人死亡</w:t>
      </w:r>
      <w:r>
        <w:rPr>
          <w:rFonts w:hint="eastAsia" w:ascii="仿宋_GB2312" w:hAnsi="仿宋_GB2312" w:eastAsia="仿宋_GB2312" w:cs="仿宋_GB2312"/>
          <w:color w:val="auto"/>
          <w:szCs w:val="32"/>
          <w:lang w:eastAsia="zh-CN"/>
        </w:rPr>
        <w:t>。</w:t>
      </w:r>
      <w:r>
        <w:rPr>
          <w:rFonts w:hint="eastAsia" w:ascii="仿宋_GB2312" w:hAnsi="仿宋_GB2312" w:eastAsia="仿宋_GB2312" w:cs="仿宋_GB2312"/>
          <w:color w:val="auto"/>
          <w:szCs w:val="32"/>
        </w:rPr>
        <w:t>死者：</w:t>
      </w:r>
      <w:r>
        <w:rPr>
          <w:rFonts w:hint="eastAsia" w:cs="仿宋_GB2312"/>
          <w:color w:val="auto"/>
          <w:kern w:val="2"/>
          <w:sz w:val="32"/>
          <w:szCs w:val="32"/>
          <w:lang w:val="en-US" w:eastAsia="zh-CN" w:bidi="ar-SA"/>
        </w:rPr>
        <w:t>喻某某</w:t>
      </w:r>
      <w:r>
        <w:rPr>
          <w:rFonts w:hint="eastAsia" w:ascii="仿宋_GB2312" w:hAnsi="仿宋_GB2312" w:eastAsia="仿宋_GB2312" w:cs="仿宋_GB2312"/>
          <w:color w:val="auto"/>
          <w:szCs w:val="32"/>
          <w:lang w:eastAsia="zh-CN"/>
        </w:rPr>
        <w:t>；性别：</w:t>
      </w:r>
      <w:r>
        <w:rPr>
          <w:rFonts w:hint="eastAsia" w:ascii="仿宋_GB2312" w:hAnsi="仿宋_GB2312" w:eastAsia="仿宋_GB2312" w:cs="仿宋_GB2312"/>
          <w:color w:val="auto"/>
          <w:szCs w:val="32"/>
        </w:rPr>
        <w:t>男</w:t>
      </w:r>
      <w:r>
        <w:rPr>
          <w:rFonts w:hint="eastAsia" w:ascii="仿宋_GB2312" w:hAnsi="仿宋_GB2312" w:eastAsia="仿宋_GB2312" w:cs="仿宋_GB2312"/>
          <w:color w:val="auto"/>
          <w:szCs w:val="32"/>
          <w:lang w:eastAsia="zh-CN"/>
        </w:rPr>
        <w:t>；籍贯：</w:t>
      </w:r>
      <w:r>
        <w:rPr>
          <w:rFonts w:hint="eastAsia" w:cs="仿宋_GB2312"/>
          <w:color w:val="auto"/>
          <w:szCs w:val="32"/>
          <w:lang w:eastAsia="zh-CN"/>
        </w:rPr>
        <w:t>河南省</w:t>
      </w:r>
      <w:r>
        <w:rPr>
          <w:rFonts w:hint="eastAsia" w:ascii="仿宋_GB2312" w:hAnsi="仿宋_GB2312" w:eastAsia="仿宋_GB2312" w:cs="仿宋_GB2312"/>
          <w:color w:val="auto"/>
          <w:szCs w:val="32"/>
          <w:lang w:eastAsia="zh-CN"/>
        </w:rPr>
        <w:t>；文化程度：</w:t>
      </w:r>
      <w:r>
        <w:rPr>
          <w:rFonts w:hint="eastAsia" w:cs="仿宋_GB2312"/>
          <w:color w:val="auto"/>
          <w:szCs w:val="32"/>
          <w:lang w:eastAsia="zh-CN"/>
        </w:rPr>
        <w:t>初中</w:t>
      </w:r>
      <w:r>
        <w:rPr>
          <w:rFonts w:hint="eastAsia" w:ascii="仿宋_GB2312" w:hAnsi="仿宋_GB2312" w:eastAsia="仿宋_GB2312" w:cs="仿宋_GB2312"/>
          <w:color w:val="auto"/>
          <w:szCs w:val="32"/>
          <w:lang w:eastAsia="zh-CN"/>
        </w:rPr>
        <w:t>；出生年月：</w:t>
      </w:r>
      <w:r>
        <w:rPr>
          <w:rFonts w:hint="eastAsia" w:cs="仿宋_GB2312"/>
          <w:color w:val="auto"/>
          <w:szCs w:val="32"/>
          <w:lang w:val="en-US" w:eastAsia="zh-CN"/>
        </w:rPr>
        <w:t>1984</w:t>
      </w:r>
      <w:r>
        <w:rPr>
          <w:rFonts w:hint="eastAsia" w:ascii="仿宋_GB2312" w:hAnsi="仿宋_GB2312" w:eastAsia="仿宋_GB2312" w:cs="仿宋_GB2312"/>
          <w:color w:val="auto"/>
          <w:szCs w:val="32"/>
          <w:lang w:val="en-US" w:eastAsia="zh-CN"/>
        </w:rPr>
        <w:t>年</w:t>
      </w:r>
      <w:r>
        <w:rPr>
          <w:rFonts w:hint="eastAsia" w:cs="仿宋_GB2312"/>
          <w:color w:val="auto"/>
          <w:szCs w:val="32"/>
          <w:lang w:val="en-US" w:eastAsia="zh-CN"/>
        </w:rPr>
        <w:t>10</w:t>
      </w:r>
      <w:r>
        <w:rPr>
          <w:rFonts w:hint="eastAsia" w:ascii="仿宋_GB2312" w:hAnsi="仿宋_GB2312" w:eastAsia="仿宋_GB2312" w:cs="仿宋_GB2312"/>
          <w:color w:val="auto"/>
          <w:szCs w:val="32"/>
          <w:lang w:val="en-US" w:eastAsia="zh-CN"/>
        </w:rPr>
        <w:t>月</w:t>
      </w:r>
      <w:r>
        <w:rPr>
          <w:rFonts w:hint="eastAsia" w:cs="仿宋_GB2312"/>
          <w:color w:val="auto"/>
          <w:szCs w:val="32"/>
          <w:lang w:val="en-US" w:eastAsia="zh-CN"/>
        </w:rPr>
        <w:t>15</w:t>
      </w:r>
      <w:r>
        <w:rPr>
          <w:rFonts w:hint="eastAsia" w:ascii="仿宋_GB2312" w:hAnsi="仿宋_GB2312" w:eastAsia="仿宋_GB2312" w:cs="仿宋_GB2312"/>
          <w:color w:val="auto"/>
          <w:szCs w:val="32"/>
          <w:lang w:val="en-US" w:eastAsia="zh-CN"/>
        </w:rPr>
        <w:t>日；</w:t>
      </w:r>
      <w:r>
        <w:rPr>
          <w:rFonts w:hint="eastAsia" w:cs="仿宋_GB2312"/>
          <w:color w:val="auto"/>
          <w:szCs w:val="32"/>
          <w:lang w:val="en-US" w:eastAsia="zh-CN"/>
        </w:rPr>
        <w:t>户籍地址：河南省镇平县城关镇XX村XX号</w:t>
      </w:r>
      <w:r>
        <w:rPr>
          <w:rFonts w:hint="eastAsia" w:ascii="仿宋_GB2312" w:hAnsi="仿宋_GB2312" w:eastAsia="仿宋_GB2312" w:cs="仿宋_GB2312"/>
          <w:color w:val="auto"/>
          <w:szCs w:val="32"/>
          <w:lang w:val="en-US" w:eastAsia="zh-CN"/>
        </w:rPr>
        <w:t>；</w:t>
      </w:r>
      <w:r>
        <w:rPr>
          <w:rFonts w:hint="eastAsia" w:ascii="仿宋_GB2312" w:hAnsi="仿宋_GB2312" w:eastAsia="仿宋_GB2312" w:cs="仿宋_GB2312"/>
          <w:color w:val="auto"/>
          <w:szCs w:val="32"/>
        </w:rPr>
        <w:t>身份证号：</w:t>
      </w:r>
      <w:r>
        <w:rPr>
          <w:rFonts w:hint="eastAsia" w:cs="仿宋_GB2312"/>
          <w:color w:val="auto"/>
          <w:szCs w:val="32"/>
          <w:lang w:val="en-US" w:eastAsia="zh-CN"/>
        </w:rPr>
        <w:t>411324198410XXXXXX</w:t>
      </w:r>
      <w:r>
        <w:rPr>
          <w:rFonts w:hint="eastAsia" w:ascii="仿宋_GB2312" w:hAnsi="仿宋_GB2312" w:eastAsia="仿宋_GB2312" w:cs="仿宋_GB2312"/>
          <w:color w:val="auto"/>
          <w:szCs w:val="32"/>
        </w:rPr>
        <w:t>。</w:t>
      </w:r>
      <w:r>
        <w:rPr>
          <w:rFonts w:hint="eastAsia" w:ascii="仿宋_GB2312" w:hAnsi="仿宋_GB2312" w:eastAsia="仿宋_GB2312" w:cs="仿宋_GB2312"/>
          <w:b w:val="0"/>
          <w:bCs/>
          <w:color w:val="auto"/>
          <w:szCs w:val="32"/>
          <w:lang w:val="en-US" w:eastAsia="zh-CN"/>
        </w:rPr>
        <w:t>202</w:t>
      </w:r>
      <w:r>
        <w:rPr>
          <w:rFonts w:hint="eastAsia" w:cs="仿宋_GB2312"/>
          <w:b w:val="0"/>
          <w:bCs/>
          <w:color w:val="auto"/>
          <w:szCs w:val="32"/>
          <w:lang w:val="en-US" w:eastAsia="zh-CN"/>
        </w:rPr>
        <w:t>2</w:t>
      </w:r>
      <w:r>
        <w:rPr>
          <w:rFonts w:hint="eastAsia" w:ascii="仿宋_GB2312" w:hAnsi="仿宋_GB2312" w:eastAsia="仿宋_GB2312" w:cs="仿宋_GB2312"/>
          <w:b w:val="0"/>
          <w:bCs/>
          <w:color w:val="auto"/>
          <w:szCs w:val="32"/>
          <w:lang w:val="en-US" w:eastAsia="zh-CN"/>
        </w:rPr>
        <w:t>年</w:t>
      </w:r>
      <w:r>
        <w:rPr>
          <w:rFonts w:hint="eastAsia" w:cs="仿宋_GB2312"/>
          <w:b w:val="0"/>
          <w:bCs/>
          <w:color w:val="auto"/>
          <w:szCs w:val="32"/>
          <w:lang w:val="en-US" w:eastAsia="zh-CN"/>
        </w:rPr>
        <w:t>2</w:t>
      </w:r>
      <w:r>
        <w:rPr>
          <w:rFonts w:hint="eastAsia" w:ascii="仿宋_GB2312" w:hAnsi="仿宋_GB2312" w:eastAsia="仿宋_GB2312" w:cs="仿宋_GB2312"/>
          <w:b w:val="0"/>
          <w:bCs/>
          <w:color w:val="auto"/>
          <w:szCs w:val="32"/>
          <w:lang w:val="en-US" w:eastAsia="zh-CN"/>
        </w:rPr>
        <w:t>月</w:t>
      </w:r>
      <w:r>
        <w:rPr>
          <w:rFonts w:hint="eastAsia" w:cs="仿宋_GB2312"/>
          <w:b w:val="0"/>
          <w:bCs/>
          <w:color w:val="auto"/>
          <w:szCs w:val="32"/>
          <w:lang w:val="en-US" w:eastAsia="zh-CN"/>
        </w:rPr>
        <w:t>13</w:t>
      </w:r>
      <w:r>
        <w:rPr>
          <w:rFonts w:hint="eastAsia" w:ascii="仿宋_GB2312" w:hAnsi="仿宋_GB2312" w:eastAsia="仿宋_GB2312" w:cs="仿宋_GB2312"/>
          <w:b w:val="0"/>
          <w:bCs/>
          <w:color w:val="auto"/>
          <w:szCs w:val="32"/>
          <w:lang w:val="en-US" w:eastAsia="zh-CN"/>
        </w:rPr>
        <w:t>日，</w:t>
      </w:r>
      <w:r>
        <w:rPr>
          <w:rFonts w:hint="eastAsia" w:cs="仿宋_GB2312"/>
          <w:b w:val="0"/>
          <w:bCs/>
          <w:color w:val="auto"/>
          <w:szCs w:val="32"/>
          <w:lang w:val="en-US" w:eastAsia="zh-CN"/>
        </w:rPr>
        <w:t>喻某某</w:t>
      </w:r>
      <w:r>
        <w:rPr>
          <w:rFonts w:hint="eastAsia" w:ascii="仿宋_GB2312" w:hAnsi="仿宋_GB2312" w:eastAsia="仿宋_GB2312" w:cs="仿宋_GB2312"/>
          <w:b w:val="0"/>
          <w:bCs/>
          <w:color w:val="auto"/>
          <w:szCs w:val="32"/>
          <w:lang w:val="en-US" w:eastAsia="zh-CN"/>
        </w:rPr>
        <w:t>与</w:t>
      </w:r>
      <w:r>
        <w:rPr>
          <w:rFonts w:hint="eastAsia" w:cs="仿宋_GB2312"/>
          <w:b w:val="0"/>
          <w:bCs/>
          <w:color w:val="auto"/>
          <w:szCs w:val="32"/>
          <w:lang w:val="en-US" w:eastAsia="zh-CN"/>
        </w:rPr>
        <w:t>河南润广</w:t>
      </w:r>
      <w:r>
        <w:rPr>
          <w:rFonts w:hint="eastAsia" w:ascii="仿宋_GB2312" w:hAnsi="仿宋_GB2312" w:eastAsia="仿宋_GB2312" w:cs="仿宋_GB2312"/>
          <w:b w:val="0"/>
          <w:bCs/>
          <w:color w:val="auto"/>
          <w:szCs w:val="32"/>
          <w:lang w:val="en-US" w:eastAsia="zh-CN"/>
        </w:rPr>
        <w:t>公司签订《</w:t>
      </w:r>
      <w:r>
        <w:rPr>
          <w:rFonts w:hint="eastAsia" w:cs="仿宋_GB2312"/>
          <w:b w:val="0"/>
          <w:bCs/>
          <w:color w:val="auto"/>
          <w:szCs w:val="32"/>
          <w:lang w:val="en-US" w:eastAsia="zh-CN"/>
        </w:rPr>
        <w:t>建筑业企业农民工劳动合同</w:t>
      </w:r>
      <w:r>
        <w:rPr>
          <w:rFonts w:hint="eastAsia" w:ascii="仿宋_GB2312" w:hAnsi="仿宋_GB2312" w:eastAsia="仿宋_GB2312" w:cs="仿宋_GB2312"/>
          <w:b w:val="0"/>
          <w:bCs/>
          <w:color w:val="auto"/>
          <w:szCs w:val="32"/>
          <w:lang w:val="en-US" w:eastAsia="zh-CN"/>
        </w:rPr>
        <w:t>》，合同期限为2023年</w:t>
      </w:r>
      <w:r>
        <w:rPr>
          <w:rFonts w:hint="eastAsia" w:cs="仿宋_GB2312"/>
          <w:b w:val="0"/>
          <w:bCs/>
          <w:color w:val="auto"/>
          <w:szCs w:val="32"/>
          <w:lang w:val="en-US" w:eastAsia="zh-CN"/>
        </w:rPr>
        <w:t>2</w:t>
      </w:r>
      <w:r>
        <w:rPr>
          <w:rFonts w:hint="eastAsia" w:ascii="仿宋_GB2312" w:hAnsi="仿宋_GB2312" w:eastAsia="仿宋_GB2312" w:cs="仿宋_GB2312"/>
          <w:b w:val="0"/>
          <w:bCs/>
          <w:color w:val="auto"/>
          <w:szCs w:val="32"/>
          <w:lang w:val="en-US" w:eastAsia="zh-CN"/>
        </w:rPr>
        <w:t>月1</w:t>
      </w:r>
      <w:r>
        <w:rPr>
          <w:rFonts w:hint="eastAsia" w:cs="仿宋_GB2312"/>
          <w:b w:val="0"/>
          <w:bCs/>
          <w:color w:val="auto"/>
          <w:szCs w:val="32"/>
          <w:lang w:val="en-US" w:eastAsia="zh-CN"/>
        </w:rPr>
        <w:t>3</w:t>
      </w:r>
      <w:r>
        <w:rPr>
          <w:rFonts w:hint="eastAsia" w:ascii="仿宋_GB2312" w:hAnsi="仿宋_GB2312" w:eastAsia="仿宋_GB2312" w:cs="仿宋_GB2312"/>
          <w:b w:val="0"/>
          <w:bCs/>
          <w:color w:val="auto"/>
          <w:szCs w:val="32"/>
          <w:lang w:val="en-US" w:eastAsia="zh-CN"/>
        </w:rPr>
        <w:t>日至</w:t>
      </w:r>
      <w:r>
        <w:rPr>
          <w:rFonts w:hint="eastAsia" w:cs="仿宋_GB2312"/>
          <w:b w:val="0"/>
          <w:bCs/>
          <w:color w:val="auto"/>
          <w:szCs w:val="32"/>
          <w:lang w:val="en-US" w:eastAsia="zh-CN"/>
        </w:rPr>
        <w:t>喻某某所担任的本岗位工种完工止</w:t>
      </w:r>
      <w:r>
        <w:rPr>
          <w:rFonts w:hint="eastAsia" w:ascii="仿宋_GB2312" w:hAnsi="仿宋_GB2312" w:eastAsia="仿宋_GB2312" w:cs="仿宋_GB2312"/>
          <w:b w:val="0"/>
          <w:bCs/>
          <w:color w:val="auto"/>
          <w:szCs w:val="32"/>
          <w:lang w:val="en-US" w:eastAsia="zh-CN"/>
        </w:rPr>
        <w:t>。</w:t>
      </w:r>
    </w:p>
    <w:p>
      <w:pPr>
        <w:keepNext w:val="0"/>
        <w:keepLines w:val="0"/>
        <w:pageBreakBefore w:val="0"/>
        <w:widowControl w:val="0"/>
        <w:kinsoku/>
        <w:wordWrap/>
        <w:topLinePunct w:val="0"/>
        <w:bidi w:val="0"/>
        <w:adjustRightInd/>
        <w:snapToGrid/>
        <w:spacing w:line="560" w:lineRule="exact"/>
        <w:ind w:firstLine="643"/>
        <w:textAlignment w:val="auto"/>
        <w:rPr>
          <w:rFonts w:ascii="楷体_GB2312" w:eastAsia="楷体_GB2312"/>
          <w:b/>
          <w:bCs w:val="0"/>
          <w:color w:val="auto"/>
          <w:szCs w:val="32"/>
        </w:rPr>
      </w:pPr>
      <w:r>
        <w:rPr>
          <w:rFonts w:hint="eastAsia" w:ascii="楷体_GB2312" w:eastAsia="楷体_GB2312"/>
          <w:b/>
          <w:bCs w:val="0"/>
          <w:color w:val="auto"/>
          <w:szCs w:val="32"/>
        </w:rPr>
        <w:t>（二）经济损失</w:t>
      </w:r>
    </w:p>
    <w:p>
      <w:pPr>
        <w:keepNext w:val="0"/>
        <w:keepLines w:val="0"/>
        <w:pageBreakBefore w:val="0"/>
        <w:widowControl w:val="0"/>
        <w:kinsoku/>
        <w:wordWrap/>
        <w:topLinePunct w:val="0"/>
        <w:bidi w:val="0"/>
        <w:adjustRightInd/>
        <w:snapToGrid/>
        <w:spacing w:line="560" w:lineRule="exact"/>
        <w:ind w:firstLine="640"/>
        <w:textAlignment w:val="auto"/>
        <w:rPr>
          <w:color w:val="auto"/>
          <w:szCs w:val="32"/>
        </w:rPr>
      </w:pPr>
      <w:r>
        <w:rPr>
          <w:rFonts w:hint="eastAsia"/>
          <w:color w:val="auto"/>
          <w:szCs w:val="32"/>
        </w:rPr>
        <w:t>本起事故造成直接经济损失约人民币</w:t>
      </w:r>
      <w:r>
        <w:rPr>
          <w:rFonts w:hint="eastAsia"/>
          <w:color w:val="auto"/>
          <w:szCs w:val="32"/>
          <w:lang w:val="en-US" w:eastAsia="zh-CN"/>
        </w:rPr>
        <w:t>200</w:t>
      </w:r>
      <w:r>
        <w:rPr>
          <w:rFonts w:hint="eastAsia"/>
          <w:color w:val="auto"/>
          <w:szCs w:val="32"/>
        </w:rPr>
        <w:t>万元。</w:t>
      </w:r>
    </w:p>
    <w:p>
      <w:pPr>
        <w:keepNext w:val="0"/>
        <w:keepLines w:val="0"/>
        <w:pageBreakBefore w:val="0"/>
        <w:widowControl w:val="0"/>
        <w:kinsoku/>
        <w:wordWrap/>
        <w:topLinePunct w:val="0"/>
        <w:bidi w:val="0"/>
        <w:adjustRightInd/>
        <w:snapToGrid/>
        <w:spacing w:line="560" w:lineRule="exact"/>
        <w:ind w:firstLine="643"/>
        <w:textAlignment w:val="auto"/>
        <w:rPr>
          <w:rFonts w:ascii="黑体" w:hAnsi="黑体" w:eastAsia="黑体" w:cs="黑体"/>
          <w:b w:val="0"/>
          <w:bCs w:val="0"/>
          <w:color w:val="auto"/>
        </w:rPr>
      </w:pPr>
      <w:r>
        <w:rPr>
          <w:rFonts w:hint="eastAsia" w:ascii="黑体" w:eastAsia="黑体"/>
          <w:b w:val="0"/>
          <w:bCs/>
          <w:color w:val="auto"/>
          <w:szCs w:val="32"/>
        </w:rPr>
        <w:t>四</w:t>
      </w:r>
      <w:r>
        <w:rPr>
          <w:rFonts w:hint="eastAsia" w:ascii="黑体" w:eastAsia="黑体"/>
          <w:b w:val="0"/>
          <w:bCs/>
          <w:color w:val="auto"/>
          <w:szCs w:val="32"/>
          <w:lang w:eastAsia="zh-CN"/>
        </w:rPr>
        <w:t>、</w:t>
      </w:r>
      <w:r>
        <w:rPr>
          <w:rFonts w:hint="eastAsia" w:ascii="黑体" w:hAnsi="黑体" w:eastAsia="黑体" w:cs="黑体"/>
          <w:b w:val="0"/>
          <w:bCs w:val="0"/>
          <w:color w:val="auto"/>
          <w:lang w:eastAsia="zh-CN"/>
        </w:rPr>
        <w:t>事故</w:t>
      </w:r>
      <w:r>
        <w:rPr>
          <w:rFonts w:hint="eastAsia" w:ascii="黑体" w:hAnsi="黑体" w:eastAsia="黑体" w:cs="黑体"/>
          <w:b w:val="0"/>
          <w:bCs w:val="0"/>
          <w:color w:val="auto"/>
        </w:rPr>
        <w:t>原因</w:t>
      </w:r>
      <w:r>
        <w:rPr>
          <w:rFonts w:hint="eastAsia" w:ascii="黑体" w:hAnsi="黑体" w:eastAsia="黑体" w:cs="黑体"/>
          <w:b w:val="0"/>
          <w:bCs w:val="0"/>
          <w:color w:val="auto"/>
          <w:lang w:eastAsia="zh-CN"/>
        </w:rPr>
        <w:t>及</w:t>
      </w:r>
      <w:r>
        <w:rPr>
          <w:rFonts w:hint="eastAsia" w:ascii="黑体" w:hAnsi="黑体" w:eastAsia="黑体" w:cs="黑体"/>
          <w:b w:val="0"/>
          <w:bCs w:val="0"/>
          <w:color w:val="auto"/>
        </w:rPr>
        <w:t>性质</w:t>
      </w:r>
    </w:p>
    <w:p>
      <w:pPr>
        <w:keepNext w:val="0"/>
        <w:keepLines w:val="0"/>
        <w:pageBreakBefore w:val="0"/>
        <w:widowControl w:val="0"/>
        <w:kinsoku/>
        <w:wordWrap/>
        <w:topLinePunct w:val="0"/>
        <w:bidi w:val="0"/>
        <w:adjustRightInd/>
        <w:snapToGrid/>
        <w:spacing w:line="560" w:lineRule="exact"/>
        <w:ind w:firstLine="643"/>
        <w:textAlignment w:val="auto"/>
        <w:rPr>
          <w:rFonts w:ascii="楷体_GB2312" w:hAnsi="Times New Roman" w:eastAsia="楷体_GB2312"/>
          <w:b/>
          <w:bCs w:val="0"/>
          <w:color w:val="auto"/>
          <w:szCs w:val="32"/>
        </w:rPr>
      </w:pPr>
      <w:r>
        <w:rPr>
          <w:rFonts w:hint="eastAsia" w:ascii="楷体_GB2312" w:hAnsi="Times New Roman" w:eastAsia="楷体_GB2312"/>
          <w:b/>
          <w:bCs w:val="0"/>
          <w:color w:val="auto"/>
          <w:szCs w:val="32"/>
        </w:rPr>
        <w:t>（一）</w:t>
      </w:r>
      <w:r>
        <w:rPr>
          <w:rFonts w:hint="eastAsia" w:ascii="楷体_GB2312" w:hAnsi="Times New Roman" w:eastAsia="楷体_GB2312"/>
          <w:b/>
          <w:bCs w:val="0"/>
          <w:color w:val="auto"/>
          <w:szCs w:val="32"/>
          <w:lang w:eastAsia="zh-CN"/>
        </w:rPr>
        <w:t>事故</w:t>
      </w:r>
      <w:r>
        <w:rPr>
          <w:rFonts w:hint="eastAsia" w:ascii="楷体_GB2312" w:hAnsi="Times New Roman" w:eastAsia="楷体_GB2312"/>
          <w:b/>
          <w:bCs w:val="0"/>
          <w:color w:val="auto"/>
          <w:szCs w:val="32"/>
        </w:rPr>
        <w:t>原因</w:t>
      </w:r>
    </w:p>
    <w:p>
      <w:pPr>
        <w:keepNext w:val="0"/>
        <w:keepLines w:val="0"/>
        <w:pageBreakBefore w:val="0"/>
        <w:widowControl w:val="0"/>
        <w:kinsoku/>
        <w:wordWrap/>
        <w:topLinePunct w:val="0"/>
        <w:bidi w:val="0"/>
        <w:adjustRightInd/>
        <w:snapToGrid/>
        <w:spacing w:line="560" w:lineRule="exact"/>
        <w:ind w:firstLine="643"/>
        <w:textAlignment w:val="auto"/>
        <w:rPr>
          <w:color w:val="auto"/>
          <w:szCs w:val="32"/>
        </w:rPr>
      </w:pPr>
      <w:r>
        <w:rPr>
          <w:rFonts w:hint="eastAsia"/>
          <w:b/>
          <w:color w:val="auto"/>
          <w:szCs w:val="32"/>
        </w:rPr>
        <w:t>1.直接原因</w:t>
      </w:r>
    </w:p>
    <w:p>
      <w:pPr>
        <w:keepNext w:val="0"/>
        <w:keepLines w:val="0"/>
        <w:pageBreakBefore w:val="0"/>
        <w:widowControl w:val="0"/>
        <w:kinsoku/>
        <w:wordWrap/>
        <w:topLinePunct w:val="0"/>
        <w:bidi w:val="0"/>
        <w:adjustRightInd/>
        <w:snapToGrid/>
        <w:spacing w:line="560" w:lineRule="exact"/>
        <w:ind w:firstLine="643"/>
        <w:textAlignment w:val="auto"/>
        <w:rPr>
          <w:rFonts w:hint="eastAsia" w:cs="仿宋_GB2312"/>
          <w:color w:val="auto"/>
          <w:kern w:val="2"/>
          <w:sz w:val="32"/>
          <w:szCs w:val="22"/>
          <w:lang w:val="en-US" w:eastAsia="zh-CN" w:bidi="ar-SA"/>
        </w:rPr>
      </w:pPr>
      <w:r>
        <w:rPr>
          <w:rFonts w:hint="eastAsia" w:cs="仿宋_GB2312"/>
          <w:color w:val="auto"/>
          <w:kern w:val="2"/>
          <w:sz w:val="32"/>
          <w:szCs w:val="22"/>
          <w:lang w:val="en-US" w:eastAsia="zh-CN" w:bidi="ar-SA"/>
        </w:rPr>
        <w:t>汽车起重机过载保护装置被解除后，超载吊运钢质檩条导致汽车起重机倾翻，</w:t>
      </w:r>
      <w:r>
        <w:rPr>
          <w:rFonts w:hint="eastAsia" w:cs="仿宋_GB2312"/>
          <w:color w:val="auto"/>
          <w:sz w:val="32"/>
          <w:szCs w:val="32"/>
          <w:lang w:val="en-US" w:eastAsia="zh-CN"/>
        </w:rPr>
        <w:t>主钩头不受控制击打到作业人员</w:t>
      </w:r>
      <w:r>
        <w:rPr>
          <w:rFonts w:hint="eastAsia" w:cs="仿宋_GB2312"/>
          <w:color w:val="auto"/>
          <w:kern w:val="2"/>
          <w:sz w:val="32"/>
          <w:szCs w:val="22"/>
          <w:lang w:val="en-US" w:eastAsia="zh-CN" w:bidi="ar-SA"/>
        </w:rPr>
        <w:t>。</w:t>
      </w:r>
    </w:p>
    <w:p>
      <w:pPr>
        <w:keepNext w:val="0"/>
        <w:keepLines w:val="0"/>
        <w:pageBreakBefore w:val="0"/>
        <w:widowControl w:val="0"/>
        <w:kinsoku/>
        <w:wordWrap/>
        <w:topLinePunct w:val="0"/>
        <w:bidi w:val="0"/>
        <w:adjustRightInd/>
        <w:snapToGrid/>
        <w:spacing w:line="560" w:lineRule="exact"/>
        <w:ind w:firstLine="643"/>
        <w:textAlignment w:val="auto"/>
        <w:rPr>
          <w:rFonts w:hint="eastAsia" w:ascii="仿宋_GB2312" w:hAnsi="仿宋_GB2312" w:eastAsia="仿宋_GB2312" w:cs="仿宋_GB2312"/>
          <w:color w:val="auto"/>
          <w:szCs w:val="32"/>
          <w:lang w:eastAsia="zh-CN"/>
        </w:rPr>
      </w:pPr>
      <w:r>
        <w:rPr>
          <w:rFonts w:hint="eastAsia"/>
          <w:b/>
          <w:bCs/>
          <w:color w:val="auto"/>
        </w:rPr>
        <w:t>2.间接原因</w:t>
      </w:r>
    </w:p>
    <w:p>
      <w:pPr>
        <w:keepNext w:val="0"/>
        <w:keepLines w:val="0"/>
        <w:pageBreakBefore w:val="0"/>
        <w:widowControl w:val="0"/>
        <w:kinsoku/>
        <w:wordWrap/>
        <w:topLinePunct w:val="0"/>
        <w:bidi w:val="0"/>
        <w:adjustRightInd/>
        <w:snapToGrid/>
        <w:spacing w:line="560" w:lineRule="exact"/>
        <w:ind w:firstLine="643"/>
        <w:textAlignment w:val="auto"/>
        <w:rPr>
          <w:rFonts w:hint="eastAsia" w:cs="仿宋_GB2312"/>
          <w:color w:val="auto"/>
          <w:lang w:val="en-US" w:eastAsia="zh-CN"/>
        </w:rPr>
      </w:pPr>
      <w:r>
        <w:rPr>
          <w:rFonts w:hint="eastAsia" w:cs="仿宋_GB2312"/>
          <w:color w:val="auto"/>
          <w:lang w:val="en-US" w:eastAsia="zh-CN"/>
        </w:rPr>
        <w:t>1.上海永攀公司未落实安全生产主体责任。对作业人员的安全教育培训不到位，未能确保作业人员严格遵守吊装作业规程；对吊装作业风险辨识不足，作业现场安全监管缺失；未能检查本单位的安全生产工作，及时消除汽车起重机超载作业存在的安全隐患。</w:t>
      </w:r>
    </w:p>
    <w:p>
      <w:pPr>
        <w:keepNext w:val="0"/>
        <w:keepLines w:val="0"/>
        <w:pageBreakBefore w:val="0"/>
        <w:widowControl w:val="0"/>
        <w:kinsoku/>
        <w:wordWrap/>
        <w:topLinePunct w:val="0"/>
        <w:bidi w:val="0"/>
        <w:adjustRightInd/>
        <w:snapToGrid/>
        <w:spacing w:line="560" w:lineRule="exact"/>
        <w:ind w:firstLine="643"/>
        <w:textAlignment w:val="auto"/>
        <w:rPr>
          <w:rFonts w:hint="eastAsia" w:cs="仿宋_GB2312"/>
          <w:color w:val="auto"/>
          <w:lang w:val="en-US" w:eastAsia="zh-CN"/>
        </w:rPr>
      </w:pPr>
      <w:r>
        <w:rPr>
          <w:rFonts w:hint="eastAsia" w:cs="仿宋_GB2312"/>
          <w:color w:val="auto"/>
          <w:lang w:val="en-US" w:eastAsia="zh-CN"/>
        </w:rPr>
        <w:t>2.河南润广公司安全生产主体责任落实不到位。对吊装作业风险辨识不足，盲目指挥吊装作业；作业现场安全监护不到位，未能制止汽车起重机超载吊装作业现象。</w:t>
      </w:r>
    </w:p>
    <w:p>
      <w:pPr>
        <w:keepNext w:val="0"/>
        <w:keepLines w:val="0"/>
        <w:pageBreakBefore w:val="0"/>
        <w:widowControl w:val="0"/>
        <w:kinsoku/>
        <w:wordWrap/>
        <w:topLinePunct w:val="0"/>
        <w:bidi w:val="0"/>
        <w:adjustRightInd/>
        <w:snapToGrid/>
        <w:spacing w:line="560" w:lineRule="exact"/>
        <w:ind w:firstLine="643"/>
        <w:textAlignment w:val="auto"/>
        <w:rPr>
          <w:rFonts w:hint="default" w:cs="仿宋_GB2312"/>
          <w:color w:val="auto"/>
          <w:lang w:val="en-US" w:eastAsia="zh-CN"/>
        </w:rPr>
      </w:pPr>
      <w:r>
        <w:rPr>
          <w:rFonts w:hint="eastAsia" w:cs="仿宋_GB2312"/>
          <w:color w:val="auto"/>
          <w:lang w:val="en-US" w:eastAsia="zh-CN"/>
        </w:rPr>
        <w:t>3.中建钢构公司安全生产主体责任落实不到位。对劳务分包、设备租赁单位管理不力，未能督促其开展吊装作业的风险辨识和隐患排查工作；作业现场安全监管不到位，未能及时发现并消除生产安全事故隐患。</w:t>
      </w:r>
    </w:p>
    <w:p>
      <w:pPr>
        <w:keepNext w:val="0"/>
        <w:keepLines w:val="0"/>
        <w:pageBreakBefore w:val="0"/>
        <w:widowControl w:val="0"/>
        <w:kinsoku/>
        <w:wordWrap/>
        <w:topLinePunct w:val="0"/>
        <w:bidi w:val="0"/>
        <w:adjustRightInd/>
        <w:snapToGrid/>
        <w:spacing w:line="560" w:lineRule="exact"/>
        <w:ind w:firstLine="640"/>
        <w:textAlignment w:val="auto"/>
        <w:rPr>
          <w:rFonts w:hint="eastAsia" w:ascii="楷体_GB2312" w:hAnsi="楷体_GB2312" w:eastAsia="楷体_GB2312" w:cs="楷体_GB2312"/>
          <w:b/>
          <w:bCs w:val="0"/>
          <w:color w:val="auto"/>
          <w:szCs w:val="32"/>
        </w:rPr>
      </w:pPr>
      <w:r>
        <w:rPr>
          <w:rFonts w:hint="eastAsia" w:ascii="楷体_GB2312" w:hAnsi="楷体_GB2312" w:eastAsia="楷体_GB2312" w:cs="楷体_GB2312"/>
          <w:b/>
          <w:bCs w:val="0"/>
          <w:color w:val="auto"/>
          <w:szCs w:val="32"/>
        </w:rPr>
        <w:t>（二）事故性质</w:t>
      </w:r>
    </w:p>
    <w:p>
      <w:pPr>
        <w:keepNext w:val="0"/>
        <w:keepLines w:val="0"/>
        <w:pageBreakBefore w:val="0"/>
        <w:widowControl w:val="0"/>
        <w:kinsoku/>
        <w:wordWrap/>
        <w:topLinePunct w:val="0"/>
        <w:bidi w:val="0"/>
        <w:adjustRightInd/>
        <w:snapToGrid/>
        <w:spacing w:line="560" w:lineRule="exact"/>
        <w:ind w:firstLine="640"/>
        <w:textAlignment w:val="auto"/>
        <w:rPr>
          <w:rFonts w:hint="eastAsia"/>
          <w:color w:val="auto"/>
        </w:rPr>
      </w:pPr>
      <w:r>
        <w:rPr>
          <w:rFonts w:hint="eastAsia" w:ascii="仿宋_GB2312" w:hAnsi="仿宋_GB2312" w:eastAsia="仿宋_GB2312" w:cs="仿宋_GB2312"/>
          <w:color w:val="auto"/>
        </w:rPr>
        <w:t>经事故调查组调查认定，</w:t>
      </w:r>
      <w:r>
        <w:rPr>
          <w:rFonts w:hint="eastAsia" w:cs="仿宋_GB2312"/>
          <w:color w:val="auto"/>
          <w:lang w:eastAsia="zh-CN"/>
        </w:rPr>
        <w:t>该事故系一般</w:t>
      </w:r>
      <w:r>
        <w:rPr>
          <w:rFonts w:hint="eastAsia" w:ascii="仿宋_GB2312" w:hAnsi="仿宋_GB2312" w:eastAsia="仿宋_GB2312" w:cs="仿宋_GB2312"/>
          <w:color w:val="auto"/>
        </w:rPr>
        <w:t>生产安全责任事故。</w:t>
      </w:r>
    </w:p>
    <w:p>
      <w:pPr>
        <w:keepNext w:val="0"/>
        <w:keepLines w:val="0"/>
        <w:pageBreakBefore w:val="0"/>
        <w:widowControl w:val="0"/>
        <w:kinsoku/>
        <w:wordWrap/>
        <w:topLinePunct w:val="0"/>
        <w:bidi w:val="0"/>
        <w:adjustRightInd/>
        <w:snapToGrid/>
        <w:spacing w:line="560" w:lineRule="exact"/>
        <w:ind w:firstLine="643"/>
        <w:textAlignment w:val="auto"/>
        <w:rPr>
          <w:rFonts w:ascii="楷体_GB2312" w:hAnsi="Times New Roman" w:eastAsia="楷体_GB2312"/>
          <w:b w:val="0"/>
          <w:bCs w:val="0"/>
          <w:color w:val="auto"/>
          <w:szCs w:val="32"/>
        </w:rPr>
      </w:pPr>
      <w:r>
        <w:rPr>
          <w:rFonts w:hint="eastAsia" w:ascii="黑体" w:hAnsi="黑体" w:eastAsia="黑体" w:cs="黑体"/>
          <w:b w:val="0"/>
          <w:bCs w:val="0"/>
          <w:color w:val="auto"/>
          <w:lang w:eastAsia="zh-CN"/>
        </w:rPr>
        <w:t>五</w:t>
      </w:r>
      <w:r>
        <w:rPr>
          <w:rFonts w:hint="eastAsia" w:ascii="黑体" w:hAnsi="黑体" w:eastAsia="黑体" w:cs="黑体"/>
          <w:b w:val="0"/>
          <w:bCs w:val="0"/>
          <w:color w:val="auto"/>
        </w:rPr>
        <w:t>、责任认定及处理建议</w:t>
      </w:r>
    </w:p>
    <w:p>
      <w:pPr>
        <w:keepNext w:val="0"/>
        <w:keepLines w:val="0"/>
        <w:pageBreakBefore w:val="0"/>
        <w:widowControl w:val="0"/>
        <w:kinsoku/>
        <w:wordWrap/>
        <w:topLinePunct w:val="0"/>
        <w:bidi w:val="0"/>
        <w:adjustRightInd/>
        <w:snapToGrid/>
        <w:spacing w:line="560" w:lineRule="exact"/>
        <w:ind w:firstLine="643"/>
        <w:textAlignment w:val="auto"/>
        <w:rPr>
          <w:b/>
          <w:bCs w:val="0"/>
          <w:i w:val="0"/>
          <w:iCs w:val="0"/>
          <w:color w:val="auto"/>
          <w:szCs w:val="32"/>
        </w:rPr>
      </w:pPr>
      <w:r>
        <w:rPr>
          <w:rFonts w:hint="eastAsia" w:ascii="楷体_GB2312" w:eastAsia="楷体_GB2312"/>
          <w:b/>
          <w:bCs w:val="0"/>
          <w:i w:val="0"/>
          <w:iCs w:val="0"/>
          <w:color w:val="auto"/>
          <w:szCs w:val="32"/>
        </w:rPr>
        <w:t>（</w:t>
      </w:r>
      <w:r>
        <w:rPr>
          <w:rFonts w:hint="eastAsia" w:ascii="楷体_GB2312" w:eastAsia="楷体_GB2312"/>
          <w:b/>
          <w:bCs w:val="0"/>
          <w:i w:val="0"/>
          <w:iCs w:val="0"/>
          <w:color w:val="auto"/>
          <w:szCs w:val="32"/>
          <w:lang w:eastAsia="zh-CN"/>
        </w:rPr>
        <w:t>一</w:t>
      </w:r>
      <w:r>
        <w:rPr>
          <w:rFonts w:hint="eastAsia" w:ascii="楷体_GB2312" w:eastAsia="楷体_GB2312"/>
          <w:b/>
          <w:bCs w:val="0"/>
          <w:i w:val="0"/>
          <w:iCs w:val="0"/>
          <w:color w:val="auto"/>
          <w:szCs w:val="32"/>
        </w:rPr>
        <w:t>）责任单位</w:t>
      </w:r>
      <w:r>
        <w:rPr>
          <w:rFonts w:hint="eastAsia" w:ascii="楷体_GB2312" w:eastAsia="楷体_GB2312"/>
          <w:b/>
          <w:bCs w:val="0"/>
          <w:i w:val="0"/>
          <w:iCs w:val="0"/>
          <w:color w:val="auto"/>
          <w:szCs w:val="32"/>
          <w:lang w:eastAsia="zh-CN"/>
        </w:rPr>
        <w:t>的</w:t>
      </w:r>
      <w:r>
        <w:rPr>
          <w:rFonts w:hint="eastAsia" w:ascii="楷体_GB2312" w:eastAsia="楷体_GB2312"/>
          <w:b/>
          <w:bCs w:val="0"/>
          <w:i w:val="0"/>
          <w:iCs w:val="0"/>
          <w:color w:val="auto"/>
          <w:szCs w:val="32"/>
        </w:rPr>
        <w:t>认定</w:t>
      </w:r>
      <w:r>
        <w:rPr>
          <w:rFonts w:hint="eastAsia" w:ascii="楷体_GB2312" w:eastAsia="楷体_GB2312"/>
          <w:b/>
          <w:bCs w:val="0"/>
          <w:i w:val="0"/>
          <w:iCs w:val="0"/>
          <w:color w:val="auto"/>
          <w:szCs w:val="32"/>
          <w:lang w:eastAsia="zh-CN"/>
        </w:rPr>
        <w:t>及</w:t>
      </w:r>
      <w:r>
        <w:rPr>
          <w:rFonts w:hint="eastAsia" w:ascii="楷体_GB2312" w:eastAsia="楷体_GB2312"/>
          <w:b/>
          <w:bCs w:val="0"/>
          <w:i w:val="0"/>
          <w:iCs w:val="0"/>
          <w:color w:val="auto"/>
          <w:szCs w:val="32"/>
        </w:rPr>
        <w:t>处理</w:t>
      </w:r>
    </w:p>
    <w:p>
      <w:pPr>
        <w:keepNext w:val="0"/>
        <w:keepLines w:val="0"/>
        <w:pageBreakBefore w:val="0"/>
        <w:widowControl w:val="0"/>
        <w:kinsoku/>
        <w:wordWrap/>
        <w:topLinePunct w:val="0"/>
        <w:bidi w:val="0"/>
        <w:adjustRightInd/>
        <w:snapToGrid/>
        <w:spacing w:line="560" w:lineRule="exact"/>
        <w:ind w:firstLine="640"/>
        <w:textAlignment w:val="auto"/>
        <w:rPr>
          <w:rFonts w:hint="eastAsia" w:cs="仿宋_GB2312"/>
          <w:color w:val="auto"/>
          <w:lang w:val="en-US" w:eastAsia="zh-CN"/>
        </w:rPr>
      </w:pPr>
      <w:r>
        <w:rPr>
          <w:rFonts w:hint="eastAsia" w:cs="仿宋_GB2312"/>
          <w:color w:val="auto"/>
          <w:lang w:val="en-US" w:eastAsia="zh-CN"/>
        </w:rPr>
        <w:t>1.上海永攀公司未落实安全生产主体责任。对作业人员的安全教育培训不到位，未能确保作业人员严格遵守吊装作业规程；对吊装作业风险辨识不足，作业现场安全监管缺失；未能检查本单位的安全生产工作，及时消除汽车起重机超载作业存在的安全隐患。</w:t>
      </w:r>
    </w:p>
    <w:p>
      <w:pPr>
        <w:keepNext w:val="0"/>
        <w:keepLines w:val="0"/>
        <w:pageBreakBefore w:val="0"/>
        <w:widowControl w:val="0"/>
        <w:kinsoku/>
        <w:wordWrap/>
        <w:topLinePunct w:val="0"/>
        <w:bidi w:val="0"/>
        <w:adjustRightInd/>
        <w:snapToGrid/>
        <w:spacing w:line="560" w:lineRule="exact"/>
        <w:ind w:firstLine="640"/>
        <w:textAlignment w:val="auto"/>
        <w:rPr>
          <w:rFonts w:hint="eastAsia" w:ascii="楷体_GB2312" w:hAnsi="Times New Roman" w:eastAsia="楷体_GB2312"/>
          <w:b/>
          <w:bCs w:val="0"/>
          <w:color w:val="auto"/>
          <w:szCs w:val="32"/>
        </w:rPr>
      </w:pPr>
      <w:r>
        <w:rPr>
          <w:rFonts w:hint="eastAsia" w:ascii="仿宋_GB2312" w:hAnsi="仿宋_GB2312" w:eastAsia="仿宋_GB2312" w:cs="仿宋_GB2312"/>
          <w:color w:val="auto"/>
          <w:szCs w:val="32"/>
        </w:rPr>
        <w:t>建议区</w:t>
      </w:r>
      <w:r>
        <w:rPr>
          <w:rFonts w:hint="eastAsia" w:cs="仿宋_GB2312"/>
          <w:color w:val="auto"/>
          <w:szCs w:val="32"/>
          <w:lang w:eastAsia="zh-CN"/>
        </w:rPr>
        <w:t>应急局</w:t>
      </w:r>
      <w:r>
        <w:rPr>
          <w:rFonts w:hint="eastAsia" w:ascii="仿宋_GB2312" w:hAnsi="仿宋_GB2312" w:eastAsia="仿宋_GB2312" w:cs="仿宋_GB2312"/>
          <w:color w:val="auto"/>
          <w:szCs w:val="32"/>
        </w:rPr>
        <w:t>依据相关法律法规对</w:t>
      </w:r>
      <w:r>
        <w:rPr>
          <w:rFonts w:hint="eastAsia" w:cs="仿宋_GB2312"/>
          <w:color w:val="auto"/>
          <w:lang w:val="en-US" w:eastAsia="zh-CN"/>
        </w:rPr>
        <w:t>上海永攀公司</w:t>
      </w:r>
      <w:r>
        <w:rPr>
          <w:rFonts w:hint="eastAsia" w:ascii="仿宋_GB2312" w:hAnsi="仿宋_GB2312" w:eastAsia="仿宋_GB2312" w:cs="仿宋_GB2312"/>
          <w:color w:val="auto"/>
          <w:szCs w:val="32"/>
        </w:rPr>
        <w:t>给予行政处罚。</w:t>
      </w:r>
    </w:p>
    <w:p>
      <w:pPr>
        <w:keepNext w:val="0"/>
        <w:keepLines w:val="0"/>
        <w:pageBreakBefore w:val="0"/>
        <w:widowControl w:val="0"/>
        <w:kinsoku/>
        <w:wordWrap/>
        <w:topLinePunct w:val="0"/>
        <w:bidi w:val="0"/>
        <w:adjustRightInd/>
        <w:snapToGrid/>
        <w:spacing w:line="560" w:lineRule="exact"/>
        <w:ind w:firstLine="643"/>
        <w:textAlignment w:val="auto"/>
        <w:rPr>
          <w:rFonts w:ascii="楷体_GB2312" w:hAnsi="Times New Roman" w:eastAsia="楷体_GB2312"/>
          <w:b/>
          <w:bCs w:val="0"/>
          <w:color w:val="auto"/>
          <w:szCs w:val="32"/>
        </w:rPr>
      </w:pPr>
      <w:r>
        <w:rPr>
          <w:rFonts w:hint="eastAsia" w:ascii="楷体_GB2312" w:hAnsi="Times New Roman" w:eastAsia="楷体_GB2312"/>
          <w:b/>
          <w:bCs w:val="0"/>
          <w:color w:val="auto"/>
          <w:szCs w:val="32"/>
        </w:rPr>
        <w:t>（</w:t>
      </w:r>
      <w:r>
        <w:rPr>
          <w:rFonts w:hint="eastAsia" w:ascii="楷体_GB2312" w:hAnsi="Times New Roman" w:eastAsia="楷体_GB2312"/>
          <w:b/>
          <w:bCs w:val="0"/>
          <w:color w:val="auto"/>
          <w:szCs w:val="32"/>
          <w:lang w:eastAsia="zh-CN"/>
        </w:rPr>
        <w:t>二</w:t>
      </w:r>
      <w:r>
        <w:rPr>
          <w:rFonts w:hint="eastAsia" w:ascii="楷体_GB2312" w:hAnsi="Times New Roman" w:eastAsia="楷体_GB2312"/>
          <w:b/>
          <w:bCs w:val="0"/>
          <w:color w:val="auto"/>
          <w:szCs w:val="32"/>
        </w:rPr>
        <w:t>）责任人员的认定及处理</w:t>
      </w:r>
    </w:p>
    <w:p>
      <w:pPr>
        <w:keepNext w:val="0"/>
        <w:keepLines w:val="0"/>
        <w:pageBreakBefore w:val="0"/>
        <w:widowControl w:val="0"/>
        <w:kinsoku/>
        <w:wordWrap/>
        <w:topLinePunct w:val="0"/>
        <w:bidi w:val="0"/>
        <w:adjustRightInd/>
        <w:snapToGrid/>
        <w:spacing w:line="560" w:lineRule="exact"/>
        <w:ind w:firstLine="640"/>
        <w:textAlignment w:val="auto"/>
        <w:rPr>
          <w:rFonts w:hint="eastAsia" w:cs="仿宋_GB2312"/>
          <w:color w:val="auto"/>
          <w:lang w:val="en-US" w:eastAsia="zh-CN"/>
        </w:rPr>
      </w:pPr>
      <w:r>
        <w:rPr>
          <w:rFonts w:hint="eastAsia" w:cs="仿宋_GB2312"/>
          <w:color w:val="auto"/>
          <w:lang w:val="en-US" w:eastAsia="zh-CN"/>
        </w:rPr>
        <w:t>1.徐明鹏，上海永攀公司汽车起重机司机。未遵守汽车起重机吊装作业规程，吊装作业风险辨识不足，在汽车起重机过载保护开关解除的情况下超载吊运钢质檩条。对事故发生负有责任。</w:t>
      </w:r>
    </w:p>
    <w:p>
      <w:pPr>
        <w:keepNext w:val="0"/>
        <w:keepLines w:val="0"/>
        <w:pageBreakBefore w:val="0"/>
        <w:widowControl w:val="0"/>
        <w:kinsoku/>
        <w:wordWrap/>
        <w:topLinePunct w:val="0"/>
        <w:bidi w:val="0"/>
        <w:adjustRightInd/>
        <w:snapToGrid/>
        <w:spacing w:line="560" w:lineRule="exact"/>
        <w:ind w:firstLine="640"/>
        <w:textAlignment w:val="auto"/>
        <w:rPr>
          <w:rFonts w:hint="default" w:cs="仿宋_GB2312"/>
          <w:color w:val="auto"/>
          <w:lang w:val="en-US" w:eastAsia="zh-CN"/>
        </w:rPr>
      </w:pPr>
      <w:r>
        <w:rPr>
          <w:rFonts w:hint="eastAsia" w:cs="仿宋_GB2312"/>
          <w:color w:val="auto"/>
          <w:lang w:val="en-US" w:eastAsia="zh-CN"/>
        </w:rPr>
        <w:t>2.杜高祥，上海永攀公司项目经理。对汽车起重机司机的安全教育培训不到位，日常安全生产检查流于形式，未能排查并消除汽车起重机存在的安全隐患。</w:t>
      </w:r>
      <w:r>
        <w:rPr>
          <w:rFonts w:hint="eastAsia" w:ascii="仿宋_GB2312" w:hAnsi="仿宋_GB2312" w:eastAsia="仿宋_GB2312" w:cs="仿宋_GB2312"/>
          <w:color w:val="auto"/>
          <w:lang w:eastAsia="zh-CN"/>
        </w:rPr>
        <w:t>对事故发生负有责任。</w:t>
      </w:r>
    </w:p>
    <w:p>
      <w:pPr>
        <w:keepNext w:val="0"/>
        <w:keepLines w:val="0"/>
        <w:pageBreakBefore w:val="0"/>
        <w:widowControl w:val="0"/>
        <w:kinsoku/>
        <w:wordWrap/>
        <w:topLinePunct w:val="0"/>
        <w:bidi w:val="0"/>
        <w:adjustRightInd/>
        <w:snapToGrid/>
        <w:spacing w:line="560" w:lineRule="exact"/>
        <w:ind w:firstLine="640"/>
        <w:textAlignment w:val="auto"/>
        <w:rPr>
          <w:rFonts w:hint="eastAsia" w:cs="仿宋_GB2312"/>
          <w:color w:val="auto"/>
          <w:lang w:val="en-US" w:eastAsia="zh-CN"/>
        </w:rPr>
      </w:pPr>
      <w:r>
        <w:rPr>
          <w:rFonts w:hint="eastAsia" w:cs="仿宋_GB2312"/>
          <w:color w:val="auto"/>
          <w:lang w:val="en-US" w:eastAsia="zh-CN"/>
        </w:rPr>
        <w:t>建议上海永攀公司对上述事故责任人员及其他相关人员按照企业规定给予处理。</w:t>
      </w:r>
    </w:p>
    <w:p>
      <w:pPr>
        <w:keepNext w:val="0"/>
        <w:keepLines w:val="0"/>
        <w:pageBreakBefore w:val="0"/>
        <w:widowControl w:val="0"/>
        <w:kinsoku/>
        <w:wordWrap/>
        <w:topLinePunct w:val="0"/>
        <w:bidi w:val="0"/>
        <w:adjustRightInd/>
        <w:snapToGrid/>
        <w:spacing w:line="560" w:lineRule="exact"/>
        <w:ind w:firstLine="640"/>
        <w:textAlignment w:val="auto"/>
        <w:rPr>
          <w:rFonts w:hint="eastAsia" w:cs="仿宋_GB2312"/>
          <w:color w:val="auto"/>
          <w:lang w:val="en-US" w:eastAsia="zh-CN"/>
        </w:rPr>
      </w:pPr>
      <w:r>
        <w:rPr>
          <w:rFonts w:hint="eastAsia" w:cs="仿宋_GB2312"/>
          <w:color w:val="auto"/>
          <w:lang w:val="en-US" w:eastAsia="zh-CN"/>
        </w:rPr>
        <w:t>3</w:t>
      </w:r>
      <w:r>
        <w:rPr>
          <w:rFonts w:hint="eastAsia" w:ascii="仿宋_GB2312" w:hAnsi="仿宋_GB2312" w:eastAsia="仿宋_GB2312" w:cs="仿宋_GB2312"/>
          <w:color w:val="auto"/>
          <w:lang w:val="en-US" w:eastAsia="zh-CN"/>
        </w:rPr>
        <w:t>.</w:t>
      </w:r>
      <w:r>
        <w:rPr>
          <w:rFonts w:hint="eastAsia" w:cs="仿宋_GB2312"/>
          <w:color w:val="auto"/>
          <w:lang w:val="en-US" w:eastAsia="zh-CN"/>
        </w:rPr>
        <w:t>王世国</w:t>
      </w:r>
      <w:r>
        <w:rPr>
          <w:rFonts w:hint="eastAsia" w:cs="仿宋_GB2312"/>
          <w:color w:val="auto"/>
          <w:lang w:eastAsia="zh-CN"/>
        </w:rPr>
        <w:t>，河南润广公司起重工</w:t>
      </w:r>
      <w:r>
        <w:rPr>
          <w:rFonts w:hint="eastAsia" w:ascii="仿宋_GB2312" w:hAnsi="仿宋_GB2312" w:eastAsia="仿宋_GB2312" w:cs="仿宋_GB2312"/>
          <w:color w:val="auto"/>
          <w:lang w:eastAsia="zh-CN"/>
        </w:rPr>
        <w:t>。</w:t>
      </w:r>
      <w:r>
        <w:rPr>
          <w:rFonts w:hint="eastAsia" w:cs="仿宋_GB2312"/>
          <w:color w:val="auto"/>
          <w:lang w:val="en-US" w:eastAsia="zh-CN"/>
        </w:rPr>
        <w:t>吊装作业风险辨识不足，盲目指挥汽车起重机吊运钢质檩条。对事故发生负有责任。</w:t>
      </w:r>
    </w:p>
    <w:p>
      <w:pPr>
        <w:keepNext w:val="0"/>
        <w:keepLines w:val="0"/>
        <w:pageBreakBefore w:val="0"/>
        <w:widowControl w:val="0"/>
        <w:kinsoku/>
        <w:wordWrap/>
        <w:topLinePunct w:val="0"/>
        <w:bidi w:val="0"/>
        <w:adjustRightInd/>
        <w:snapToGrid/>
        <w:spacing w:line="560" w:lineRule="exact"/>
        <w:ind w:firstLine="643"/>
        <w:jc w:val="both"/>
        <w:textAlignment w:val="auto"/>
        <w:rPr>
          <w:rFonts w:hint="default" w:ascii="仿宋_GB2312" w:hAnsi="仿宋_GB2312" w:eastAsia="仿宋_GB2312" w:cs="仿宋_GB2312"/>
          <w:color w:val="auto"/>
          <w:lang w:val="en-US" w:eastAsia="zh-CN"/>
        </w:rPr>
      </w:pPr>
      <w:r>
        <w:rPr>
          <w:rFonts w:hint="eastAsia" w:cs="仿宋_GB2312"/>
          <w:color w:val="auto"/>
          <w:lang w:val="en-US" w:eastAsia="zh-CN"/>
        </w:rPr>
        <w:t>4.王守富，河南润广公司生产经理。安全生产履职不力，对作业现场安全监管不到位，吊装作业风险辨识不足，未有效组织开展事故隐患排查工作和安全技术交底工作。对事故发生负有责任。</w:t>
      </w:r>
    </w:p>
    <w:p>
      <w:pPr>
        <w:keepNext w:val="0"/>
        <w:keepLines w:val="0"/>
        <w:pageBreakBefore w:val="0"/>
        <w:widowControl w:val="0"/>
        <w:kinsoku/>
        <w:wordWrap/>
        <w:topLinePunct w:val="0"/>
        <w:bidi w:val="0"/>
        <w:adjustRightInd/>
        <w:snapToGrid/>
        <w:spacing w:line="560" w:lineRule="exact"/>
        <w:ind w:firstLine="640"/>
        <w:textAlignment w:val="auto"/>
        <w:rPr>
          <w:rFonts w:hint="eastAsia" w:cs="仿宋_GB2312"/>
          <w:color w:val="auto"/>
          <w:lang w:val="en-US" w:eastAsia="zh-CN"/>
        </w:rPr>
      </w:pPr>
      <w:r>
        <w:rPr>
          <w:rFonts w:hint="eastAsia" w:cs="仿宋_GB2312"/>
          <w:color w:val="auto"/>
          <w:lang w:val="en-US" w:eastAsia="zh-CN"/>
        </w:rPr>
        <w:t>建议河南润广公司对上述事故责任人员及其他相关人员按照企业规定给予处理。</w:t>
      </w:r>
    </w:p>
    <w:p>
      <w:pPr>
        <w:keepNext w:val="0"/>
        <w:keepLines w:val="0"/>
        <w:pageBreakBefore w:val="0"/>
        <w:widowControl w:val="0"/>
        <w:kinsoku/>
        <w:wordWrap/>
        <w:topLinePunct w:val="0"/>
        <w:bidi w:val="0"/>
        <w:adjustRightInd/>
        <w:snapToGrid/>
        <w:spacing w:line="560" w:lineRule="exact"/>
        <w:ind w:firstLine="643"/>
        <w:jc w:val="both"/>
        <w:textAlignment w:val="auto"/>
        <w:rPr>
          <w:rFonts w:hint="default" w:cs="仿宋_GB2312"/>
          <w:color w:val="auto"/>
          <w:lang w:val="en-US" w:eastAsia="zh-CN"/>
        </w:rPr>
      </w:pPr>
      <w:r>
        <w:rPr>
          <w:rFonts w:hint="eastAsia" w:cs="仿宋_GB2312"/>
          <w:color w:val="auto"/>
          <w:lang w:val="en-US" w:eastAsia="zh-CN"/>
        </w:rPr>
        <w:t>5.蒋苏建，中建钢构公司安全总监。安全生产履职不力，对作业人员安全交底流于形式，吊装作业风险辨识不足，未能制止盲目指挥、超载吊装等作业行为。</w:t>
      </w:r>
    </w:p>
    <w:p>
      <w:pPr>
        <w:keepNext w:val="0"/>
        <w:keepLines w:val="0"/>
        <w:pageBreakBefore w:val="0"/>
        <w:widowControl w:val="0"/>
        <w:kinsoku/>
        <w:wordWrap/>
        <w:topLinePunct w:val="0"/>
        <w:bidi w:val="0"/>
        <w:adjustRightInd/>
        <w:snapToGrid/>
        <w:spacing w:line="560" w:lineRule="exact"/>
        <w:ind w:firstLine="643"/>
        <w:jc w:val="both"/>
        <w:textAlignment w:val="auto"/>
        <w:rPr>
          <w:rFonts w:hint="eastAsia" w:ascii="仿宋_GB2312" w:hAnsi="仿宋_GB2312" w:eastAsia="仿宋_GB2312" w:cs="仿宋_GB2312"/>
          <w:color w:val="auto"/>
          <w:lang w:val="en-US" w:eastAsia="zh-CN"/>
        </w:rPr>
      </w:pPr>
      <w:r>
        <w:rPr>
          <w:rFonts w:hint="eastAsia" w:cs="仿宋_GB2312"/>
          <w:color w:val="auto"/>
          <w:lang w:val="en-US" w:eastAsia="zh-CN"/>
        </w:rPr>
        <w:t>6.朱巍，中建钢构公司项目经理。安全生产履职不力，对作业人员安全教育不到位，对现场管理人员履职不力情况失管、失察；吊装作业风险辨识不足，消除生产安全事故隐患不力。对事故发生负有责任。</w:t>
      </w:r>
    </w:p>
    <w:p>
      <w:pPr>
        <w:keepNext w:val="0"/>
        <w:keepLines w:val="0"/>
        <w:pageBreakBefore w:val="0"/>
        <w:widowControl w:val="0"/>
        <w:kinsoku/>
        <w:wordWrap/>
        <w:topLinePunct w:val="0"/>
        <w:bidi w:val="0"/>
        <w:adjustRightInd/>
        <w:snapToGrid/>
        <w:spacing w:line="560" w:lineRule="exact"/>
        <w:ind w:firstLine="640"/>
        <w:textAlignment w:val="auto"/>
        <w:rPr>
          <w:rFonts w:hint="eastAsia" w:cs="仿宋_GB2312"/>
          <w:color w:val="auto"/>
          <w:lang w:val="en-US" w:eastAsia="zh-CN"/>
        </w:rPr>
      </w:pPr>
      <w:r>
        <w:rPr>
          <w:rFonts w:hint="eastAsia" w:cs="仿宋_GB2312"/>
          <w:color w:val="auto"/>
          <w:lang w:val="en-US" w:eastAsia="zh-CN"/>
        </w:rPr>
        <w:t>建议中建钢构公司对上述事故责任人员及其他相关人员按照企业规定给予处理。</w:t>
      </w:r>
    </w:p>
    <w:p>
      <w:pPr>
        <w:keepNext w:val="0"/>
        <w:keepLines w:val="0"/>
        <w:pageBreakBefore w:val="0"/>
        <w:widowControl w:val="0"/>
        <w:kinsoku/>
        <w:wordWrap/>
        <w:topLinePunct w:val="0"/>
        <w:bidi w:val="0"/>
        <w:adjustRightInd/>
        <w:snapToGrid/>
        <w:spacing w:line="560" w:lineRule="exact"/>
        <w:ind w:firstLine="643"/>
        <w:textAlignment w:val="auto"/>
        <w:rPr>
          <w:rFonts w:hint="eastAsia" w:ascii="黑体" w:eastAsia="黑体"/>
          <w:b w:val="0"/>
          <w:bCs/>
          <w:color w:val="auto"/>
          <w:szCs w:val="32"/>
          <w:lang w:eastAsia="zh-CN"/>
        </w:rPr>
      </w:pPr>
      <w:r>
        <w:rPr>
          <w:rFonts w:hint="eastAsia" w:ascii="黑体" w:eastAsia="黑体"/>
          <w:b w:val="0"/>
          <w:bCs/>
          <w:color w:val="auto"/>
          <w:szCs w:val="32"/>
          <w:lang w:eastAsia="zh-CN"/>
        </w:rPr>
        <w:t>六</w:t>
      </w:r>
      <w:r>
        <w:rPr>
          <w:rFonts w:hint="eastAsia" w:ascii="黑体" w:eastAsia="黑体"/>
          <w:b w:val="0"/>
          <w:bCs/>
          <w:color w:val="auto"/>
          <w:szCs w:val="32"/>
        </w:rPr>
        <w:t>、事故</w:t>
      </w:r>
      <w:r>
        <w:rPr>
          <w:rFonts w:hint="eastAsia" w:ascii="黑体" w:eastAsia="黑体"/>
          <w:b w:val="0"/>
          <w:bCs/>
          <w:color w:val="auto"/>
          <w:szCs w:val="32"/>
          <w:lang w:eastAsia="zh-CN"/>
        </w:rPr>
        <w:t>教训</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针对“</w:t>
      </w:r>
      <w:r>
        <w:rPr>
          <w:rFonts w:hint="eastAsia" w:cs="仿宋_GB2312"/>
          <w:color w:val="auto"/>
          <w:szCs w:val="32"/>
          <w:lang w:val="en-US" w:eastAsia="zh-CN"/>
        </w:rPr>
        <w:t>2·20</w:t>
      </w:r>
      <w:r>
        <w:rPr>
          <w:rFonts w:hint="eastAsia" w:ascii="仿宋_GB2312" w:hAnsi="仿宋_GB2312" w:eastAsia="仿宋_GB2312" w:cs="仿宋_GB2312"/>
          <w:color w:val="auto"/>
          <w:szCs w:val="32"/>
        </w:rPr>
        <w:t>”事故暴露出的问题，相关企业思想上要高度重视，深刻吸取事故教训，加强风险防控，抓好源头治理和事故预防，坚决</w:t>
      </w:r>
      <w:r>
        <w:rPr>
          <w:rFonts w:hint="eastAsia" w:cs="仿宋_GB2312"/>
          <w:color w:val="auto"/>
          <w:szCs w:val="32"/>
          <w:lang w:eastAsia="zh-CN"/>
        </w:rPr>
        <w:t>杜绝</w:t>
      </w:r>
      <w:r>
        <w:rPr>
          <w:rFonts w:hint="eastAsia" w:ascii="仿宋_GB2312" w:hAnsi="仿宋_GB2312" w:eastAsia="仿宋_GB2312" w:cs="仿宋_GB2312"/>
          <w:color w:val="auto"/>
          <w:szCs w:val="32"/>
        </w:rPr>
        <w:t>类似事故发生。</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outlineLvl w:val="9"/>
        <w:rPr>
          <w:rFonts w:hint="eastAsia" w:ascii="楷体_GB2312" w:hAnsi="楷体_GB2312" w:eastAsia="楷体_GB2312" w:cs="楷体_GB2312"/>
          <w:b/>
          <w:bCs/>
          <w:color w:val="auto"/>
          <w:szCs w:val="32"/>
        </w:rPr>
      </w:pPr>
      <w:r>
        <w:rPr>
          <w:rFonts w:hint="eastAsia" w:ascii="楷体_GB2312" w:hAnsi="楷体_GB2312" w:eastAsia="楷体_GB2312" w:cs="楷体_GB2312"/>
          <w:b/>
          <w:bCs/>
          <w:color w:val="auto"/>
          <w:szCs w:val="32"/>
        </w:rPr>
        <w:t>（一）吸取事故教训，落实企业主体责任</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b w:val="0"/>
          <w:bCs w:val="0"/>
          <w:color w:val="auto"/>
          <w:szCs w:val="32"/>
        </w:rPr>
      </w:pPr>
      <w:r>
        <w:rPr>
          <w:rFonts w:hint="eastAsia" w:cs="仿宋_GB2312"/>
          <w:b w:val="0"/>
          <w:bCs w:val="0"/>
          <w:color w:val="auto"/>
          <w:szCs w:val="32"/>
          <w:lang w:eastAsia="zh-CN"/>
        </w:rPr>
        <w:t>相关单位</w:t>
      </w:r>
      <w:r>
        <w:rPr>
          <w:rFonts w:hint="eastAsia" w:ascii="仿宋_GB2312" w:hAnsi="仿宋_GB2312" w:eastAsia="仿宋_GB2312" w:cs="仿宋_GB2312"/>
          <w:b w:val="0"/>
          <w:bCs w:val="0"/>
          <w:color w:val="auto"/>
          <w:szCs w:val="32"/>
        </w:rPr>
        <w:t>要增强安全生产工作的紧迫感和责任感，充分认识并深刻吸取事故带来的教训，认真组织并开展在建项目安全检查；针对事故所暴露出来的</w:t>
      </w:r>
      <w:r>
        <w:rPr>
          <w:rFonts w:hint="eastAsia" w:cs="仿宋_GB2312"/>
          <w:b w:val="0"/>
          <w:bCs w:val="0"/>
          <w:color w:val="auto"/>
          <w:szCs w:val="32"/>
          <w:lang w:eastAsia="zh-CN"/>
        </w:rPr>
        <w:t>施工现场监管不力</w:t>
      </w:r>
      <w:r>
        <w:rPr>
          <w:rFonts w:hint="eastAsia" w:ascii="仿宋_GB2312" w:hAnsi="仿宋_GB2312" w:eastAsia="仿宋_GB2312" w:cs="仿宋_GB2312"/>
          <w:b w:val="0"/>
          <w:bCs w:val="0"/>
          <w:color w:val="auto"/>
          <w:szCs w:val="32"/>
        </w:rPr>
        <w:t>的情况，要督促本公司及各项目管理单位明确各级、各类人员安全生产工作职责，落实安全生产责任制，切实履行安全生产主体责任。</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outlineLvl w:val="9"/>
        <w:rPr>
          <w:rFonts w:hint="eastAsia" w:ascii="楷体_GB2312" w:hAnsi="楷体_GB2312" w:eastAsia="楷体_GB2312" w:cs="楷体_GB2312"/>
          <w:b/>
          <w:bCs/>
          <w:color w:val="auto"/>
          <w:szCs w:val="32"/>
        </w:rPr>
      </w:pPr>
      <w:r>
        <w:rPr>
          <w:rFonts w:hint="eastAsia" w:ascii="楷体_GB2312" w:hAnsi="楷体_GB2312" w:eastAsia="楷体_GB2312" w:cs="楷体_GB2312"/>
          <w:b/>
          <w:bCs/>
          <w:color w:val="auto"/>
          <w:szCs w:val="32"/>
        </w:rPr>
        <w:t>（二）完善规章制度，强化现场安全管控</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b w:val="0"/>
          <w:bCs w:val="0"/>
          <w:color w:val="auto"/>
          <w:szCs w:val="32"/>
        </w:rPr>
      </w:pPr>
      <w:r>
        <w:rPr>
          <w:rFonts w:hint="eastAsia" w:cs="仿宋_GB2312"/>
          <w:b w:val="0"/>
          <w:bCs w:val="0"/>
          <w:color w:val="auto"/>
          <w:szCs w:val="32"/>
          <w:lang w:eastAsia="zh-CN"/>
        </w:rPr>
        <w:t>相关单位</w:t>
      </w:r>
      <w:r>
        <w:rPr>
          <w:rFonts w:hint="eastAsia" w:ascii="仿宋_GB2312" w:hAnsi="仿宋_GB2312" w:eastAsia="仿宋_GB2312" w:cs="仿宋_GB2312"/>
          <w:b w:val="0"/>
          <w:bCs w:val="0"/>
          <w:color w:val="auto"/>
          <w:szCs w:val="32"/>
        </w:rPr>
        <w:t>要完善规章制度，从制度层面强化对作业现场用人管理及</w:t>
      </w:r>
      <w:r>
        <w:rPr>
          <w:rFonts w:hint="eastAsia" w:cs="仿宋_GB2312"/>
          <w:b w:val="0"/>
          <w:bCs w:val="0"/>
          <w:color w:val="auto"/>
          <w:szCs w:val="32"/>
          <w:lang w:eastAsia="zh-CN"/>
        </w:rPr>
        <w:t>吊装</w:t>
      </w:r>
      <w:r>
        <w:rPr>
          <w:rFonts w:hint="eastAsia" w:ascii="仿宋_GB2312" w:hAnsi="仿宋_GB2312" w:eastAsia="仿宋_GB2312" w:cs="仿宋_GB2312"/>
          <w:b w:val="0"/>
          <w:bCs w:val="0"/>
          <w:color w:val="auto"/>
          <w:szCs w:val="32"/>
        </w:rPr>
        <w:t>作业安全管控，</w:t>
      </w:r>
      <w:r>
        <w:rPr>
          <w:rFonts w:hint="eastAsia" w:cs="仿宋_GB2312"/>
          <w:b w:val="0"/>
          <w:bCs w:val="0"/>
          <w:color w:val="auto"/>
          <w:szCs w:val="32"/>
          <w:lang w:eastAsia="zh-CN"/>
        </w:rPr>
        <w:t>明确汽车起重机起升高度、幅度、力矩、安全装置等</w:t>
      </w:r>
      <w:r>
        <w:rPr>
          <w:rFonts w:hint="eastAsia" w:ascii="仿宋_GB2312" w:hAnsi="仿宋_GB2312" w:eastAsia="仿宋_GB2312" w:cs="仿宋_GB2312"/>
          <w:b w:val="0"/>
          <w:bCs w:val="0"/>
          <w:color w:val="0000FF"/>
          <w:szCs w:val="32"/>
        </w:rPr>
        <w:t>，</w:t>
      </w:r>
      <w:r>
        <w:rPr>
          <w:rFonts w:hint="eastAsia" w:ascii="仿宋_GB2312" w:hAnsi="仿宋_GB2312" w:eastAsia="仿宋_GB2312" w:cs="仿宋_GB2312"/>
          <w:b w:val="0"/>
          <w:bCs w:val="0"/>
          <w:color w:val="auto"/>
          <w:szCs w:val="32"/>
        </w:rPr>
        <w:t>在此基础上将</w:t>
      </w:r>
      <w:r>
        <w:rPr>
          <w:rFonts w:hint="eastAsia" w:cs="仿宋_GB2312"/>
          <w:b w:val="0"/>
          <w:bCs w:val="0"/>
          <w:color w:val="auto"/>
          <w:szCs w:val="32"/>
          <w:lang w:eastAsia="zh-CN"/>
        </w:rPr>
        <w:t>吊装</w:t>
      </w:r>
      <w:r>
        <w:rPr>
          <w:rFonts w:hint="eastAsia" w:ascii="仿宋_GB2312" w:hAnsi="仿宋_GB2312" w:eastAsia="仿宋_GB2312" w:cs="仿宋_GB2312"/>
          <w:b w:val="0"/>
          <w:bCs w:val="0"/>
          <w:color w:val="auto"/>
          <w:szCs w:val="32"/>
        </w:rPr>
        <w:t>作业的教育培训落到实处。要认真开展施工项目中事故隐患排查治理，安排专业人员对接、负责施工现场安全管理工作，确保安全管控及防范措施切实落到实处，及时有效化解事故风险隐患。</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outlineLvl w:val="9"/>
        <w:rPr>
          <w:rFonts w:hint="eastAsia" w:ascii="楷体_GB2312" w:hAnsi="楷体_GB2312" w:eastAsia="楷体_GB2312" w:cs="楷体_GB2312"/>
          <w:b/>
          <w:bCs/>
          <w:color w:val="auto"/>
          <w:szCs w:val="32"/>
        </w:rPr>
      </w:pPr>
      <w:r>
        <w:rPr>
          <w:rFonts w:hint="eastAsia" w:ascii="楷体_GB2312" w:hAnsi="楷体_GB2312" w:eastAsia="楷体_GB2312" w:cs="楷体_GB2312"/>
          <w:b/>
          <w:bCs/>
          <w:color w:val="auto"/>
          <w:szCs w:val="32"/>
        </w:rPr>
        <w:t>（三）狠抓制度落实，提升本质安全水平</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default" w:eastAsia="仿宋_GB2312"/>
          <w:b w:val="0"/>
          <w:bCs w:val="0"/>
          <w:color w:val="FFFFFF" w:themeColor="background1"/>
          <w:szCs w:val="32"/>
          <w:shd w:val="clear" w:color="auto" w:fill="auto"/>
          <w:lang w:val="en-US" w:eastAsia="zh-CN"/>
          <w14:textFill>
            <w14:solidFill>
              <w14:schemeClr w14:val="bg1"/>
            </w14:solidFill>
          </w14:textFill>
        </w:rPr>
      </w:pPr>
      <w:r>
        <w:rPr>
          <w:rFonts w:hint="eastAsia" w:cs="仿宋_GB2312"/>
          <w:b w:val="0"/>
          <w:bCs w:val="0"/>
          <w:color w:val="auto"/>
          <w:szCs w:val="32"/>
          <w:lang w:eastAsia="zh-CN"/>
        </w:rPr>
        <w:t>相关单位</w:t>
      </w:r>
      <w:r>
        <w:rPr>
          <w:rFonts w:hint="eastAsia" w:ascii="仿宋_GB2312" w:hAnsi="仿宋_GB2312" w:eastAsia="仿宋_GB2312" w:cs="仿宋_GB2312"/>
          <w:b w:val="0"/>
          <w:bCs w:val="0"/>
          <w:color w:val="auto"/>
          <w:szCs w:val="32"/>
        </w:rPr>
        <w:t>要从本质安全角度狠抓制度落实，提升本质安全水平。要根据施工项目特殊作业环境、具体用工等实际情况完善工作方案的编制，尤其要配齐、配强管理人员，督促从业人员落实消除风险隐患的各项措施，加强安全生产统一协调和管理，确保施工作业处于受控状态，有效防范、遏制各类事故发生。</w:t>
      </w:r>
      <w:r>
        <w:rPr>
          <w:rFonts w:hint="eastAsia"/>
          <w:b w:val="0"/>
          <w:bCs w:val="0"/>
          <w:color w:val="FFFFFF" w:themeColor="background1"/>
          <w:szCs w:val="32"/>
          <w:shd w:val="clear" w:color="auto" w:fill="auto"/>
          <w:lang w:val="en-US" w:eastAsia="zh-CN"/>
          <w14:textFill>
            <w14:solidFill>
              <w14:schemeClr w14:val="bg1"/>
            </w14:solidFill>
          </w14:textFill>
        </w:rPr>
        <w:t>.</w:t>
      </w:r>
      <w:r>
        <w:rPr>
          <w:rFonts w:hint="eastAsia"/>
          <w:b w:val="0"/>
          <w:bCs w:val="0"/>
          <w:color w:val="FFFFFF" w:themeColor="background1"/>
          <w:szCs w:val="32"/>
          <w:shd w:val="clear" w:color="auto" w:fill="auto"/>
          <w14:textFill>
            <w14:solidFill>
              <w14:schemeClr w14:val="bg1"/>
            </w14:solidFill>
          </w14:textFill>
        </w:rPr>
        <w:t>事故调查组名单</w:t>
      </w:r>
    </w:p>
    <w:p>
      <w:pPr>
        <w:keepNext w:val="0"/>
        <w:keepLines w:val="0"/>
        <w:pageBreakBefore w:val="0"/>
        <w:widowControl w:val="0"/>
        <w:kinsoku/>
        <w:wordWrap/>
        <w:topLinePunct w:val="0"/>
        <w:bidi w:val="0"/>
        <w:adjustRightInd/>
        <w:snapToGrid/>
        <w:spacing w:line="560" w:lineRule="exact"/>
        <w:ind w:firstLine="1600" w:firstLineChars="500"/>
        <w:textAlignment w:val="auto"/>
        <w:rPr>
          <w:rFonts w:hint="eastAsia"/>
          <w:b w:val="0"/>
          <w:bCs w:val="0"/>
          <w:color w:val="auto"/>
          <w:szCs w:val="32"/>
          <w:shd w:val="clear" w:color="auto" w:fill="auto"/>
          <w:lang w:eastAsia="zh-CN"/>
        </w:rPr>
      </w:pPr>
      <w:r>
        <w:rPr>
          <w:rFonts w:hint="eastAsia"/>
          <w:b w:val="0"/>
          <w:bCs w:val="0"/>
          <w:color w:val="FFFFFF" w:themeColor="background1"/>
          <w:szCs w:val="32"/>
          <w:shd w:val="clear" w:color="auto" w:fill="auto"/>
          <w:lang w:val="en-US" w:eastAsia="zh-CN"/>
          <w14:textFill>
            <w14:solidFill>
              <w14:schemeClr w14:val="bg1"/>
            </w14:solidFill>
          </w14:textFill>
        </w:rPr>
        <w:t>4</w:t>
      </w:r>
      <w:r>
        <w:rPr>
          <w:rFonts w:hint="eastAsia"/>
          <w:b w:val="0"/>
          <w:bCs w:val="0"/>
          <w:color w:val="FFFFFF" w:themeColor="background1"/>
          <w:szCs w:val="32"/>
          <w:shd w:val="clear" w:color="auto" w:fill="auto"/>
          <w14:textFill>
            <w14:solidFill>
              <w14:schemeClr w14:val="bg1"/>
            </w14:solidFill>
          </w14:textFill>
        </w:rPr>
        <w:t>.</w:t>
      </w:r>
      <w:r>
        <w:rPr>
          <w:rFonts w:hint="eastAsia"/>
          <w:b w:val="0"/>
          <w:bCs w:val="0"/>
          <w:color w:val="FFFFFF" w:themeColor="background1"/>
          <w:szCs w:val="32"/>
          <w:shd w:val="clear" w:color="auto" w:fill="auto"/>
          <w:lang w:eastAsia="zh-CN"/>
          <w14:textFill>
            <w14:solidFill>
              <w14:schemeClr w14:val="bg1"/>
            </w14:solidFill>
          </w14:textFill>
        </w:rPr>
        <w:t>证据卷页</w:t>
      </w:r>
    </w:p>
    <w:p>
      <w:pPr>
        <w:keepNext w:val="0"/>
        <w:keepLines w:val="0"/>
        <w:pageBreakBefore w:val="0"/>
        <w:widowControl w:val="0"/>
        <w:kinsoku/>
        <w:wordWrap/>
        <w:topLinePunct w:val="0"/>
        <w:bidi w:val="0"/>
        <w:adjustRightInd/>
        <w:snapToGrid/>
        <w:spacing w:line="560" w:lineRule="exact"/>
        <w:ind w:left="0" w:leftChars="0" w:firstLine="0" w:firstLineChars="0"/>
        <w:jc w:val="both"/>
        <w:textAlignment w:val="auto"/>
        <w:rPr>
          <w:rFonts w:hint="eastAsia"/>
          <w:color w:val="auto"/>
          <w:lang w:val="en-US" w:eastAsia="zh-CN"/>
        </w:rPr>
      </w:pPr>
    </w:p>
    <w:p>
      <w:pPr>
        <w:keepNext w:val="0"/>
        <w:keepLines w:val="0"/>
        <w:pageBreakBefore w:val="0"/>
        <w:widowControl w:val="0"/>
        <w:kinsoku/>
        <w:wordWrap/>
        <w:topLinePunct w:val="0"/>
        <w:bidi w:val="0"/>
        <w:adjustRightInd/>
        <w:snapToGrid/>
        <w:spacing w:line="560" w:lineRule="exact"/>
        <w:jc w:val="both"/>
        <w:textAlignment w:val="auto"/>
        <w:rPr>
          <w:rFonts w:hint="eastAsia"/>
          <w:color w:val="auto"/>
          <w:lang w:val="en-US" w:eastAsia="zh-CN"/>
        </w:rPr>
      </w:pPr>
    </w:p>
    <w:p>
      <w:pPr>
        <w:keepNext w:val="0"/>
        <w:keepLines w:val="0"/>
        <w:pageBreakBefore w:val="0"/>
        <w:widowControl w:val="0"/>
        <w:kinsoku/>
        <w:wordWrap/>
        <w:topLinePunct w:val="0"/>
        <w:bidi w:val="0"/>
        <w:adjustRightInd/>
        <w:snapToGrid/>
        <w:spacing w:line="560" w:lineRule="exact"/>
        <w:ind w:firstLine="3520" w:firstLineChars="1100"/>
        <w:jc w:val="both"/>
        <w:textAlignment w:val="auto"/>
        <w:rPr>
          <w:rFonts w:hint="eastAsia"/>
          <w:color w:val="auto"/>
          <w:lang w:eastAsia="zh-CN"/>
        </w:rPr>
      </w:pPr>
      <w:r>
        <w:rPr>
          <w:rFonts w:hint="eastAsia"/>
          <w:color w:val="auto"/>
          <w:lang w:val="en-US" w:eastAsia="zh-CN"/>
        </w:rPr>
        <w:t xml:space="preserve">           </w:t>
      </w:r>
      <w:r>
        <w:rPr>
          <w:rFonts w:hint="eastAsia"/>
          <w:color w:val="auto"/>
          <w:lang w:eastAsia="zh-CN"/>
        </w:rPr>
        <w:t>“2·20”起重伤害一般</w:t>
      </w:r>
    </w:p>
    <w:p>
      <w:pPr>
        <w:keepNext w:val="0"/>
        <w:keepLines w:val="0"/>
        <w:pageBreakBefore w:val="0"/>
        <w:widowControl w:val="0"/>
        <w:kinsoku/>
        <w:wordWrap/>
        <w:topLinePunct w:val="0"/>
        <w:bidi w:val="0"/>
        <w:adjustRightInd/>
        <w:snapToGrid/>
        <w:spacing w:line="560" w:lineRule="exact"/>
        <w:ind w:firstLine="640"/>
        <w:jc w:val="right"/>
        <w:textAlignment w:val="auto"/>
        <w:rPr>
          <w:rFonts w:hint="eastAsia" w:eastAsia="仿宋_GB2312"/>
          <w:color w:val="auto"/>
          <w:lang w:val="en-US" w:eastAsia="zh-CN"/>
        </w:rPr>
      </w:pPr>
      <w:r>
        <w:rPr>
          <w:rFonts w:hint="eastAsia"/>
          <w:color w:val="auto"/>
          <w:lang w:eastAsia="zh-CN"/>
        </w:rPr>
        <w:t>生产安全责任</w:t>
      </w:r>
      <w:r>
        <w:rPr>
          <w:rFonts w:hint="eastAsia"/>
          <w:color w:val="auto"/>
        </w:rPr>
        <w:t>事故调查</w:t>
      </w:r>
      <w:r>
        <w:rPr>
          <w:rFonts w:hint="eastAsia"/>
          <w:color w:val="auto"/>
          <w:lang w:eastAsia="zh-CN"/>
        </w:rPr>
        <w:t>组</w:t>
      </w:r>
    </w:p>
    <w:p>
      <w:pPr>
        <w:keepNext w:val="0"/>
        <w:keepLines w:val="0"/>
        <w:pageBreakBefore w:val="0"/>
        <w:widowControl w:val="0"/>
        <w:kinsoku/>
        <w:wordWrap/>
        <w:topLinePunct w:val="0"/>
        <w:bidi w:val="0"/>
        <w:adjustRightInd/>
        <w:snapToGrid/>
        <w:spacing w:line="560" w:lineRule="exact"/>
        <w:ind w:firstLine="640"/>
        <w:jc w:val="center"/>
        <w:textAlignment w:val="auto"/>
        <w:rPr>
          <w:color w:val="auto"/>
        </w:rPr>
      </w:pPr>
      <w:r>
        <w:rPr>
          <w:rFonts w:hint="eastAsia"/>
          <w:color w:val="auto"/>
          <w:lang w:val="en-US" w:eastAsia="zh-CN"/>
        </w:rPr>
        <w:t xml:space="preserve">                             2</w:t>
      </w:r>
      <w:r>
        <w:rPr>
          <w:rFonts w:hint="eastAsia"/>
          <w:color w:val="auto"/>
        </w:rPr>
        <w:t>02</w:t>
      </w:r>
      <w:r>
        <w:rPr>
          <w:rFonts w:hint="eastAsia"/>
          <w:color w:val="auto"/>
          <w:lang w:val="en-US" w:eastAsia="zh-CN"/>
        </w:rPr>
        <w:t>3</w:t>
      </w:r>
      <w:r>
        <w:rPr>
          <w:rFonts w:hint="eastAsia"/>
          <w:color w:val="auto"/>
        </w:rPr>
        <w:t>年</w:t>
      </w:r>
      <w:r>
        <w:rPr>
          <w:rFonts w:hint="eastAsia"/>
          <w:color w:val="auto"/>
          <w:lang w:val="en-US" w:eastAsia="zh-CN"/>
        </w:rPr>
        <w:t>3</w:t>
      </w:r>
      <w:r>
        <w:rPr>
          <w:rFonts w:hint="eastAsia"/>
          <w:color w:val="auto"/>
        </w:rPr>
        <w:t>月</w:t>
      </w:r>
      <w:r>
        <w:rPr>
          <w:rFonts w:hint="eastAsia"/>
          <w:color w:val="auto"/>
          <w:lang w:val="en-US" w:eastAsia="zh-CN"/>
        </w:rPr>
        <w:t>9</w:t>
      </w:r>
      <w:r>
        <w:rPr>
          <w:rFonts w:hint="eastAsia"/>
          <w:color w:val="auto"/>
        </w:rPr>
        <w:t>日</w:t>
      </w:r>
    </w:p>
    <w:p>
      <w:pPr>
        <w:keepNext w:val="0"/>
        <w:keepLines w:val="0"/>
        <w:pageBreakBefore w:val="0"/>
        <w:kinsoku/>
        <w:wordWrap/>
        <w:topLinePunct w:val="0"/>
        <w:bidi w:val="0"/>
        <w:adjustRightInd/>
        <w:snapToGrid/>
        <w:spacing w:line="560" w:lineRule="exact"/>
        <w:ind w:left="0" w:leftChars="0" w:firstLine="0" w:firstLineChars="0"/>
        <w:textAlignment w:val="auto"/>
        <w:rPr>
          <w:rFonts w:hint="eastAsia"/>
          <w:color w:val="auto"/>
          <w:szCs w:val="32"/>
          <w:lang w:val="en-US" w:eastAsia="zh-CN"/>
        </w:rPr>
      </w:pPr>
    </w:p>
    <w:sectPr>
      <w:headerReference r:id="rId3" w:type="default"/>
      <w:footerReference r:id="rId4" w:type="default"/>
      <w:pgSz w:w="11906" w:h="16838"/>
      <w:pgMar w:top="2098" w:right="1474" w:bottom="1984" w:left="1587" w:header="851" w:footer="1417"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ind w:left="0" w:leftChars="0" w:firstLine="0" w:firstLineChars="0"/>
                            <w:rPr>
                              <w:rFonts w:hint="eastAsia" w:eastAsia="仿宋_GB2312"/>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F45UV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3F45UVAgAAFQQAAA4AAAAAAAAA&#10;AQAgAAAAHwEAAGRycy9lMm9Eb2MueG1sUEsFBgAAAAAGAAYAWQEAAKYFAAAAAA==&#10;">
              <v:fill on="f" focussize="0,0"/>
              <v:stroke on="f" weight="0.5pt"/>
              <v:imagedata o:title=""/>
              <o:lock v:ext="edit" aspectratio="f"/>
              <v:textbox inset="0mm,0mm,0mm,0mm" style="mso-fit-shape-to-text:t;">
                <w:txbxContent>
                  <w:p>
                    <w:pPr>
                      <w:pStyle w:val="6"/>
                      <w:ind w:left="0" w:leftChars="0" w:firstLine="0" w:firstLineChars="0"/>
                      <w:rPr>
                        <w:rFonts w:hint="eastAsia" w:eastAsia="仿宋_GB2312"/>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0" w:leftChars="0" w:firstLine="0" w:firstLineChars="0"/>
      <w:rPr>
        <w:rFonts w:hint="default" w:eastAsia="仿宋_GB2312"/>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kMTM0YThkZDhiNjg4NzBiMmM5MzA0YTA3OTM2YjIifQ=="/>
  </w:docVars>
  <w:rsids>
    <w:rsidRoot w:val="08394A96"/>
    <w:rsid w:val="001E6581"/>
    <w:rsid w:val="00207DBD"/>
    <w:rsid w:val="0049226C"/>
    <w:rsid w:val="007314C1"/>
    <w:rsid w:val="00A93302"/>
    <w:rsid w:val="010C567A"/>
    <w:rsid w:val="011226ED"/>
    <w:rsid w:val="01771A41"/>
    <w:rsid w:val="01830647"/>
    <w:rsid w:val="018D389E"/>
    <w:rsid w:val="01B74116"/>
    <w:rsid w:val="01C2525E"/>
    <w:rsid w:val="01DF2774"/>
    <w:rsid w:val="0259058E"/>
    <w:rsid w:val="02B83AFE"/>
    <w:rsid w:val="02D72F6F"/>
    <w:rsid w:val="03295466"/>
    <w:rsid w:val="04122BA0"/>
    <w:rsid w:val="04595D8C"/>
    <w:rsid w:val="047A3A16"/>
    <w:rsid w:val="04C06F23"/>
    <w:rsid w:val="04D444DF"/>
    <w:rsid w:val="04EF3F3E"/>
    <w:rsid w:val="04FF1065"/>
    <w:rsid w:val="05164547"/>
    <w:rsid w:val="051F2B0F"/>
    <w:rsid w:val="05202323"/>
    <w:rsid w:val="052A6AF7"/>
    <w:rsid w:val="05562427"/>
    <w:rsid w:val="055F3381"/>
    <w:rsid w:val="056767C7"/>
    <w:rsid w:val="056C1FB2"/>
    <w:rsid w:val="05F2718C"/>
    <w:rsid w:val="060A79CF"/>
    <w:rsid w:val="066C7634"/>
    <w:rsid w:val="068B4A0B"/>
    <w:rsid w:val="069E1C05"/>
    <w:rsid w:val="06AE4D26"/>
    <w:rsid w:val="06B254BA"/>
    <w:rsid w:val="075C40BE"/>
    <w:rsid w:val="07A84BAB"/>
    <w:rsid w:val="07C038D8"/>
    <w:rsid w:val="07DE3D84"/>
    <w:rsid w:val="08394A96"/>
    <w:rsid w:val="084A0A5F"/>
    <w:rsid w:val="08760498"/>
    <w:rsid w:val="08D760A0"/>
    <w:rsid w:val="096F1B34"/>
    <w:rsid w:val="0A386D0D"/>
    <w:rsid w:val="0A4A5BA0"/>
    <w:rsid w:val="0A701968"/>
    <w:rsid w:val="0ABE5AC7"/>
    <w:rsid w:val="0AE13339"/>
    <w:rsid w:val="0AEB2DBD"/>
    <w:rsid w:val="0BC80A10"/>
    <w:rsid w:val="0BC972EA"/>
    <w:rsid w:val="0BDC6ED2"/>
    <w:rsid w:val="0BEF3EAD"/>
    <w:rsid w:val="0BF60FEC"/>
    <w:rsid w:val="0C1B005C"/>
    <w:rsid w:val="0C3F1258"/>
    <w:rsid w:val="0C5E6434"/>
    <w:rsid w:val="0C92168D"/>
    <w:rsid w:val="0D4A73F2"/>
    <w:rsid w:val="0D8C1C48"/>
    <w:rsid w:val="0DB0180F"/>
    <w:rsid w:val="0DD96523"/>
    <w:rsid w:val="0E12185E"/>
    <w:rsid w:val="0E16697F"/>
    <w:rsid w:val="0E4527EE"/>
    <w:rsid w:val="0E6439E2"/>
    <w:rsid w:val="0E6809A0"/>
    <w:rsid w:val="0E6D4D18"/>
    <w:rsid w:val="0E774951"/>
    <w:rsid w:val="0E8A7A57"/>
    <w:rsid w:val="0E955A49"/>
    <w:rsid w:val="0EEE6398"/>
    <w:rsid w:val="0EF552FA"/>
    <w:rsid w:val="0F0774AA"/>
    <w:rsid w:val="0F483F47"/>
    <w:rsid w:val="0F4B2CD4"/>
    <w:rsid w:val="0F6E5F63"/>
    <w:rsid w:val="0FDF296D"/>
    <w:rsid w:val="1012768E"/>
    <w:rsid w:val="10231408"/>
    <w:rsid w:val="102C266A"/>
    <w:rsid w:val="106529B7"/>
    <w:rsid w:val="10EA331B"/>
    <w:rsid w:val="112F2FC2"/>
    <w:rsid w:val="11445DCB"/>
    <w:rsid w:val="11DC5055"/>
    <w:rsid w:val="11F83CFB"/>
    <w:rsid w:val="12302A83"/>
    <w:rsid w:val="1261337D"/>
    <w:rsid w:val="12A31505"/>
    <w:rsid w:val="12CD1F8E"/>
    <w:rsid w:val="13467A64"/>
    <w:rsid w:val="135F6EF8"/>
    <w:rsid w:val="139E664A"/>
    <w:rsid w:val="13B848EF"/>
    <w:rsid w:val="13FA2395"/>
    <w:rsid w:val="13FC3AB3"/>
    <w:rsid w:val="142D7659"/>
    <w:rsid w:val="149524C7"/>
    <w:rsid w:val="1511730C"/>
    <w:rsid w:val="154F49F1"/>
    <w:rsid w:val="155342C4"/>
    <w:rsid w:val="15612035"/>
    <w:rsid w:val="15AC7340"/>
    <w:rsid w:val="15E71DAD"/>
    <w:rsid w:val="15F06302"/>
    <w:rsid w:val="16191622"/>
    <w:rsid w:val="16240AFD"/>
    <w:rsid w:val="16371C2E"/>
    <w:rsid w:val="16560D2A"/>
    <w:rsid w:val="16B301FC"/>
    <w:rsid w:val="16DD6508"/>
    <w:rsid w:val="17BA144C"/>
    <w:rsid w:val="17D227EF"/>
    <w:rsid w:val="17FB415F"/>
    <w:rsid w:val="17FF2173"/>
    <w:rsid w:val="185902E9"/>
    <w:rsid w:val="18647E56"/>
    <w:rsid w:val="18677FA4"/>
    <w:rsid w:val="18CA7AB4"/>
    <w:rsid w:val="18EC6F4B"/>
    <w:rsid w:val="18FB5274"/>
    <w:rsid w:val="19331BEA"/>
    <w:rsid w:val="193B58ED"/>
    <w:rsid w:val="19701DCB"/>
    <w:rsid w:val="197743FF"/>
    <w:rsid w:val="198F0EF1"/>
    <w:rsid w:val="19B212E5"/>
    <w:rsid w:val="19E62E5D"/>
    <w:rsid w:val="1A15387E"/>
    <w:rsid w:val="1A432CAC"/>
    <w:rsid w:val="1A7F1359"/>
    <w:rsid w:val="1A9A2720"/>
    <w:rsid w:val="1AD71F34"/>
    <w:rsid w:val="1B826952"/>
    <w:rsid w:val="1BFE34C8"/>
    <w:rsid w:val="1C122471"/>
    <w:rsid w:val="1C393E65"/>
    <w:rsid w:val="1C39522C"/>
    <w:rsid w:val="1C3B4042"/>
    <w:rsid w:val="1C544EB7"/>
    <w:rsid w:val="1CB84EAD"/>
    <w:rsid w:val="1CC54EDC"/>
    <w:rsid w:val="1CE804A1"/>
    <w:rsid w:val="1CF73758"/>
    <w:rsid w:val="1D4622ED"/>
    <w:rsid w:val="1D684334"/>
    <w:rsid w:val="1DA23F57"/>
    <w:rsid w:val="1DCA11AB"/>
    <w:rsid w:val="1E2E4278"/>
    <w:rsid w:val="1E64014C"/>
    <w:rsid w:val="1E902D3E"/>
    <w:rsid w:val="1F571467"/>
    <w:rsid w:val="1FF73C9B"/>
    <w:rsid w:val="1FFE7559"/>
    <w:rsid w:val="207E6980"/>
    <w:rsid w:val="20CF77A0"/>
    <w:rsid w:val="20E3764F"/>
    <w:rsid w:val="21056583"/>
    <w:rsid w:val="211307A1"/>
    <w:rsid w:val="213B6BE4"/>
    <w:rsid w:val="21454BB1"/>
    <w:rsid w:val="215A5E94"/>
    <w:rsid w:val="215D3ACC"/>
    <w:rsid w:val="217B4653"/>
    <w:rsid w:val="217D35AF"/>
    <w:rsid w:val="21C42081"/>
    <w:rsid w:val="21FF5559"/>
    <w:rsid w:val="2241494C"/>
    <w:rsid w:val="226D24DB"/>
    <w:rsid w:val="227B5080"/>
    <w:rsid w:val="22927E57"/>
    <w:rsid w:val="22B7600A"/>
    <w:rsid w:val="22C3285F"/>
    <w:rsid w:val="22F773F7"/>
    <w:rsid w:val="230509C7"/>
    <w:rsid w:val="232A2776"/>
    <w:rsid w:val="232B7AAD"/>
    <w:rsid w:val="234822C0"/>
    <w:rsid w:val="235D2FC3"/>
    <w:rsid w:val="237F562E"/>
    <w:rsid w:val="240A64ED"/>
    <w:rsid w:val="245C50AD"/>
    <w:rsid w:val="24DA2759"/>
    <w:rsid w:val="24E04B79"/>
    <w:rsid w:val="24E43046"/>
    <w:rsid w:val="25655E09"/>
    <w:rsid w:val="256A561D"/>
    <w:rsid w:val="256D1FB9"/>
    <w:rsid w:val="25734088"/>
    <w:rsid w:val="25983E32"/>
    <w:rsid w:val="25990FAA"/>
    <w:rsid w:val="25A914E2"/>
    <w:rsid w:val="25A95F13"/>
    <w:rsid w:val="25DF5500"/>
    <w:rsid w:val="25F16C05"/>
    <w:rsid w:val="263B65B4"/>
    <w:rsid w:val="265D37A3"/>
    <w:rsid w:val="26750342"/>
    <w:rsid w:val="268E49FD"/>
    <w:rsid w:val="26C27358"/>
    <w:rsid w:val="26D81B8C"/>
    <w:rsid w:val="26F10723"/>
    <w:rsid w:val="27176387"/>
    <w:rsid w:val="275333BB"/>
    <w:rsid w:val="2767486B"/>
    <w:rsid w:val="279A0DC2"/>
    <w:rsid w:val="27AE4DB2"/>
    <w:rsid w:val="27AE55B0"/>
    <w:rsid w:val="27C30FD3"/>
    <w:rsid w:val="287C097F"/>
    <w:rsid w:val="28806D1F"/>
    <w:rsid w:val="28837EFC"/>
    <w:rsid w:val="28AD287B"/>
    <w:rsid w:val="28EC6997"/>
    <w:rsid w:val="292629C6"/>
    <w:rsid w:val="29516C69"/>
    <w:rsid w:val="29E84946"/>
    <w:rsid w:val="2A1C26AD"/>
    <w:rsid w:val="2A231338"/>
    <w:rsid w:val="2A240ECF"/>
    <w:rsid w:val="2A97034A"/>
    <w:rsid w:val="2AA97CD8"/>
    <w:rsid w:val="2ABD7F41"/>
    <w:rsid w:val="2AF073D3"/>
    <w:rsid w:val="2B1F6981"/>
    <w:rsid w:val="2BBC4675"/>
    <w:rsid w:val="2BCF1C43"/>
    <w:rsid w:val="2C6C1282"/>
    <w:rsid w:val="2CB86203"/>
    <w:rsid w:val="2CCE1726"/>
    <w:rsid w:val="2CEB4EE3"/>
    <w:rsid w:val="2CFE1D37"/>
    <w:rsid w:val="2D231864"/>
    <w:rsid w:val="2D3817DB"/>
    <w:rsid w:val="2D4A74C0"/>
    <w:rsid w:val="2DB91A59"/>
    <w:rsid w:val="2DDF4AC3"/>
    <w:rsid w:val="2E0925BF"/>
    <w:rsid w:val="2E375E3E"/>
    <w:rsid w:val="2E39216F"/>
    <w:rsid w:val="2E766897"/>
    <w:rsid w:val="2E9200ED"/>
    <w:rsid w:val="2EF1593A"/>
    <w:rsid w:val="2F0F053D"/>
    <w:rsid w:val="2F480470"/>
    <w:rsid w:val="2FB12825"/>
    <w:rsid w:val="3003387F"/>
    <w:rsid w:val="303B1C44"/>
    <w:rsid w:val="3055724C"/>
    <w:rsid w:val="30AB6F28"/>
    <w:rsid w:val="30B02582"/>
    <w:rsid w:val="30BE4B0D"/>
    <w:rsid w:val="30E10B9D"/>
    <w:rsid w:val="31397A0E"/>
    <w:rsid w:val="31484722"/>
    <w:rsid w:val="314A409B"/>
    <w:rsid w:val="31716123"/>
    <w:rsid w:val="31B20428"/>
    <w:rsid w:val="31DD2D04"/>
    <w:rsid w:val="32227C4E"/>
    <w:rsid w:val="32243257"/>
    <w:rsid w:val="324204CE"/>
    <w:rsid w:val="324B5C0F"/>
    <w:rsid w:val="32581962"/>
    <w:rsid w:val="325F6CCD"/>
    <w:rsid w:val="328E00C9"/>
    <w:rsid w:val="32A508BD"/>
    <w:rsid w:val="32A645C2"/>
    <w:rsid w:val="32AE5C7F"/>
    <w:rsid w:val="32AF396F"/>
    <w:rsid w:val="33626FE7"/>
    <w:rsid w:val="33684F36"/>
    <w:rsid w:val="343C286A"/>
    <w:rsid w:val="34421CFE"/>
    <w:rsid w:val="34902F7E"/>
    <w:rsid w:val="34B225E3"/>
    <w:rsid w:val="34CB4B93"/>
    <w:rsid w:val="357351A7"/>
    <w:rsid w:val="35D138CF"/>
    <w:rsid w:val="3609171C"/>
    <w:rsid w:val="360C3FAA"/>
    <w:rsid w:val="365746B1"/>
    <w:rsid w:val="36AA4CF1"/>
    <w:rsid w:val="36CC42C2"/>
    <w:rsid w:val="37301974"/>
    <w:rsid w:val="374E7FC7"/>
    <w:rsid w:val="377C28E9"/>
    <w:rsid w:val="378B1F07"/>
    <w:rsid w:val="37E942E6"/>
    <w:rsid w:val="37F0281C"/>
    <w:rsid w:val="38083125"/>
    <w:rsid w:val="38571B5E"/>
    <w:rsid w:val="38811B06"/>
    <w:rsid w:val="389A021F"/>
    <w:rsid w:val="38D01C56"/>
    <w:rsid w:val="38D5339A"/>
    <w:rsid w:val="39652DA3"/>
    <w:rsid w:val="3A23084E"/>
    <w:rsid w:val="3AA57D8C"/>
    <w:rsid w:val="3AB725E2"/>
    <w:rsid w:val="3AF5219D"/>
    <w:rsid w:val="3AF606FF"/>
    <w:rsid w:val="3B263BC9"/>
    <w:rsid w:val="3B7B52CD"/>
    <w:rsid w:val="3B8261F4"/>
    <w:rsid w:val="3B8A14A5"/>
    <w:rsid w:val="3BEB6FF6"/>
    <w:rsid w:val="3BF859D3"/>
    <w:rsid w:val="3C073BFD"/>
    <w:rsid w:val="3C334736"/>
    <w:rsid w:val="3C382D2A"/>
    <w:rsid w:val="3C3B083E"/>
    <w:rsid w:val="3C4B1C5F"/>
    <w:rsid w:val="3C7054A5"/>
    <w:rsid w:val="3CA306CE"/>
    <w:rsid w:val="3CA91149"/>
    <w:rsid w:val="3CB44857"/>
    <w:rsid w:val="3CD87AF5"/>
    <w:rsid w:val="3CF30DED"/>
    <w:rsid w:val="3D6B6495"/>
    <w:rsid w:val="3D921871"/>
    <w:rsid w:val="3E13550C"/>
    <w:rsid w:val="3E552E87"/>
    <w:rsid w:val="3EA326B9"/>
    <w:rsid w:val="3EB42221"/>
    <w:rsid w:val="3EC24028"/>
    <w:rsid w:val="3F170723"/>
    <w:rsid w:val="3F207E48"/>
    <w:rsid w:val="3F253210"/>
    <w:rsid w:val="3F45063D"/>
    <w:rsid w:val="3F6A65CB"/>
    <w:rsid w:val="3FB96C66"/>
    <w:rsid w:val="4051555F"/>
    <w:rsid w:val="40F960C2"/>
    <w:rsid w:val="413C5641"/>
    <w:rsid w:val="41516112"/>
    <w:rsid w:val="419D4E3F"/>
    <w:rsid w:val="41B52322"/>
    <w:rsid w:val="41C2594C"/>
    <w:rsid w:val="41CF57ED"/>
    <w:rsid w:val="41F15D28"/>
    <w:rsid w:val="41FA72C7"/>
    <w:rsid w:val="4286790A"/>
    <w:rsid w:val="42BD2ADD"/>
    <w:rsid w:val="43036EDB"/>
    <w:rsid w:val="432F1139"/>
    <w:rsid w:val="43332C57"/>
    <w:rsid w:val="43634ACC"/>
    <w:rsid w:val="43930F64"/>
    <w:rsid w:val="43CA1E2B"/>
    <w:rsid w:val="43FC7871"/>
    <w:rsid w:val="440E7A6A"/>
    <w:rsid w:val="44A52D54"/>
    <w:rsid w:val="44A871CD"/>
    <w:rsid w:val="44E64495"/>
    <w:rsid w:val="44F70F51"/>
    <w:rsid w:val="456A13F8"/>
    <w:rsid w:val="45802D6A"/>
    <w:rsid w:val="45970801"/>
    <w:rsid w:val="45C331DC"/>
    <w:rsid w:val="45F937D7"/>
    <w:rsid w:val="463A0A34"/>
    <w:rsid w:val="464B5637"/>
    <w:rsid w:val="46C638D5"/>
    <w:rsid w:val="46F0291B"/>
    <w:rsid w:val="472A4804"/>
    <w:rsid w:val="474B0E66"/>
    <w:rsid w:val="48132C9E"/>
    <w:rsid w:val="4826035A"/>
    <w:rsid w:val="483C7D15"/>
    <w:rsid w:val="487D66B7"/>
    <w:rsid w:val="489F51AB"/>
    <w:rsid w:val="48FE032C"/>
    <w:rsid w:val="495413D8"/>
    <w:rsid w:val="498C53B3"/>
    <w:rsid w:val="49FC2A97"/>
    <w:rsid w:val="49FF75AD"/>
    <w:rsid w:val="4AB85A8A"/>
    <w:rsid w:val="4AF0020A"/>
    <w:rsid w:val="4AF37BEB"/>
    <w:rsid w:val="4B070BAC"/>
    <w:rsid w:val="4B353E44"/>
    <w:rsid w:val="4B3D031D"/>
    <w:rsid w:val="4B4D346F"/>
    <w:rsid w:val="4B686C5F"/>
    <w:rsid w:val="4B694C21"/>
    <w:rsid w:val="4BD04E73"/>
    <w:rsid w:val="4BD33DF2"/>
    <w:rsid w:val="4BFB1AC9"/>
    <w:rsid w:val="4C211051"/>
    <w:rsid w:val="4C283254"/>
    <w:rsid w:val="4C3228B2"/>
    <w:rsid w:val="4C3A25EE"/>
    <w:rsid w:val="4C4006B7"/>
    <w:rsid w:val="4C6D6D1C"/>
    <w:rsid w:val="4CA37D04"/>
    <w:rsid w:val="4CB3172E"/>
    <w:rsid w:val="4CBF5D24"/>
    <w:rsid w:val="4D0E01B0"/>
    <w:rsid w:val="4D204C34"/>
    <w:rsid w:val="4D416B5A"/>
    <w:rsid w:val="4D5F6D05"/>
    <w:rsid w:val="4D6A39E3"/>
    <w:rsid w:val="4D8763A3"/>
    <w:rsid w:val="4DC17B00"/>
    <w:rsid w:val="4DD35B7A"/>
    <w:rsid w:val="4E6830AB"/>
    <w:rsid w:val="4E811B53"/>
    <w:rsid w:val="4EC44733"/>
    <w:rsid w:val="4F1B6090"/>
    <w:rsid w:val="4F3469F3"/>
    <w:rsid w:val="4F3D339C"/>
    <w:rsid w:val="4F696AFA"/>
    <w:rsid w:val="4FC84C02"/>
    <w:rsid w:val="4FEF71F9"/>
    <w:rsid w:val="501202F2"/>
    <w:rsid w:val="50992D33"/>
    <w:rsid w:val="50AF6EB7"/>
    <w:rsid w:val="50BF6936"/>
    <w:rsid w:val="50F45A29"/>
    <w:rsid w:val="51714F75"/>
    <w:rsid w:val="51A533F6"/>
    <w:rsid w:val="51B569AD"/>
    <w:rsid w:val="524F2ECD"/>
    <w:rsid w:val="525015BD"/>
    <w:rsid w:val="525D3B4A"/>
    <w:rsid w:val="527965E4"/>
    <w:rsid w:val="527B51BC"/>
    <w:rsid w:val="527C41BF"/>
    <w:rsid w:val="52F2211C"/>
    <w:rsid w:val="53386391"/>
    <w:rsid w:val="534E1E12"/>
    <w:rsid w:val="53835579"/>
    <w:rsid w:val="538D7D10"/>
    <w:rsid w:val="53DD6EF6"/>
    <w:rsid w:val="5479271D"/>
    <w:rsid w:val="54820734"/>
    <w:rsid w:val="54901AF5"/>
    <w:rsid w:val="54CA72EA"/>
    <w:rsid w:val="55415D6E"/>
    <w:rsid w:val="554E3311"/>
    <w:rsid w:val="55666D6E"/>
    <w:rsid w:val="5592275E"/>
    <w:rsid w:val="55F46F77"/>
    <w:rsid w:val="56B9355A"/>
    <w:rsid w:val="56BC4C71"/>
    <w:rsid w:val="57083367"/>
    <w:rsid w:val="574249AC"/>
    <w:rsid w:val="57A93F00"/>
    <w:rsid w:val="57DF4677"/>
    <w:rsid w:val="57E440E6"/>
    <w:rsid w:val="582329F8"/>
    <w:rsid w:val="582D26E5"/>
    <w:rsid w:val="583C589B"/>
    <w:rsid w:val="58625F0C"/>
    <w:rsid w:val="586E0173"/>
    <w:rsid w:val="589A6E1C"/>
    <w:rsid w:val="58A550DC"/>
    <w:rsid w:val="58AC4645"/>
    <w:rsid w:val="58AD06FA"/>
    <w:rsid w:val="58BD28DE"/>
    <w:rsid w:val="58C63661"/>
    <w:rsid w:val="58D22C73"/>
    <w:rsid w:val="58D5220A"/>
    <w:rsid w:val="58FD7D40"/>
    <w:rsid w:val="592477B9"/>
    <w:rsid w:val="596F425D"/>
    <w:rsid w:val="5977224D"/>
    <w:rsid w:val="598840E7"/>
    <w:rsid w:val="59E25B75"/>
    <w:rsid w:val="59F0476D"/>
    <w:rsid w:val="5A55383A"/>
    <w:rsid w:val="5A6728F7"/>
    <w:rsid w:val="5A842632"/>
    <w:rsid w:val="5AC40CA0"/>
    <w:rsid w:val="5AE13258"/>
    <w:rsid w:val="5AF4677B"/>
    <w:rsid w:val="5B6C7F08"/>
    <w:rsid w:val="5BC278A6"/>
    <w:rsid w:val="5BFD736A"/>
    <w:rsid w:val="5C571A74"/>
    <w:rsid w:val="5CFC1629"/>
    <w:rsid w:val="5CFD580A"/>
    <w:rsid w:val="5D441EDD"/>
    <w:rsid w:val="5D5B4F1E"/>
    <w:rsid w:val="5D7D5097"/>
    <w:rsid w:val="5D8F7640"/>
    <w:rsid w:val="5DD16434"/>
    <w:rsid w:val="5E150370"/>
    <w:rsid w:val="5E1A7EAA"/>
    <w:rsid w:val="5E342028"/>
    <w:rsid w:val="5E3D4A1F"/>
    <w:rsid w:val="5E7E422D"/>
    <w:rsid w:val="5E806114"/>
    <w:rsid w:val="5E8769F3"/>
    <w:rsid w:val="5E924ADC"/>
    <w:rsid w:val="5E975541"/>
    <w:rsid w:val="5EBF2D30"/>
    <w:rsid w:val="5ECF6C27"/>
    <w:rsid w:val="5F095BB7"/>
    <w:rsid w:val="5F167CC2"/>
    <w:rsid w:val="5F944FE0"/>
    <w:rsid w:val="5F9F5E32"/>
    <w:rsid w:val="60292D4B"/>
    <w:rsid w:val="610A200F"/>
    <w:rsid w:val="61552376"/>
    <w:rsid w:val="6177471C"/>
    <w:rsid w:val="6179674C"/>
    <w:rsid w:val="61873285"/>
    <w:rsid w:val="61A003CB"/>
    <w:rsid w:val="61AC18AD"/>
    <w:rsid w:val="61CC0794"/>
    <w:rsid w:val="61F7116C"/>
    <w:rsid w:val="623F25B5"/>
    <w:rsid w:val="6248711B"/>
    <w:rsid w:val="62776F87"/>
    <w:rsid w:val="62D1249C"/>
    <w:rsid w:val="62E4229C"/>
    <w:rsid w:val="62ED0EB8"/>
    <w:rsid w:val="63011847"/>
    <w:rsid w:val="63040874"/>
    <w:rsid w:val="630C67F9"/>
    <w:rsid w:val="633D5AF8"/>
    <w:rsid w:val="636B7316"/>
    <w:rsid w:val="63B17DDC"/>
    <w:rsid w:val="63B65C4B"/>
    <w:rsid w:val="63F66932"/>
    <w:rsid w:val="640814AB"/>
    <w:rsid w:val="6419701E"/>
    <w:rsid w:val="64782029"/>
    <w:rsid w:val="64A67D3B"/>
    <w:rsid w:val="64E07185"/>
    <w:rsid w:val="65482A39"/>
    <w:rsid w:val="657C7C9C"/>
    <w:rsid w:val="659D634F"/>
    <w:rsid w:val="659E1D09"/>
    <w:rsid w:val="65CE180F"/>
    <w:rsid w:val="6604204D"/>
    <w:rsid w:val="66103BBE"/>
    <w:rsid w:val="661160C3"/>
    <w:rsid w:val="661A7DD9"/>
    <w:rsid w:val="664D33BD"/>
    <w:rsid w:val="66A3558D"/>
    <w:rsid w:val="6712113A"/>
    <w:rsid w:val="673460C8"/>
    <w:rsid w:val="679F5BBC"/>
    <w:rsid w:val="67B746E8"/>
    <w:rsid w:val="67DC3CDE"/>
    <w:rsid w:val="683E5C68"/>
    <w:rsid w:val="684915B9"/>
    <w:rsid w:val="68A24D72"/>
    <w:rsid w:val="68AA315D"/>
    <w:rsid w:val="68D36FD6"/>
    <w:rsid w:val="68DB3760"/>
    <w:rsid w:val="693C10B1"/>
    <w:rsid w:val="694B3A1B"/>
    <w:rsid w:val="6996349F"/>
    <w:rsid w:val="69AB22ED"/>
    <w:rsid w:val="69E462C5"/>
    <w:rsid w:val="6A152F5D"/>
    <w:rsid w:val="6A286F66"/>
    <w:rsid w:val="6A3B2A9E"/>
    <w:rsid w:val="6A5D5E5C"/>
    <w:rsid w:val="6A8B4B50"/>
    <w:rsid w:val="6A943494"/>
    <w:rsid w:val="6AC4161F"/>
    <w:rsid w:val="6AD6008A"/>
    <w:rsid w:val="6AF762D4"/>
    <w:rsid w:val="6B2A1810"/>
    <w:rsid w:val="6B432F8A"/>
    <w:rsid w:val="6BA915BA"/>
    <w:rsid w:val="6C2B57A3"/>
    <w:rsid w:val="6C7D4E22"/>
    <w:rsid w:val="6CB440B2"/>
    <w:rsid w:val="6CBC2D03"/>
    <w:rsid w:val="6CDA76E7"/>
    <w:rsid w:val="6CE046E2"/>
    <w:rsid w:val="6D040631"/>
    <w:rsid w:val="6D267FE2"/>
    <w:rsid w:val="6D2738CE"/>
    <w:rsid w:val="6D274DD2"/>
    <w:rsid w:val="6D34722A"/>
    <w:rsid w:val="6D620367"/>
    <w:rsid w:val="6D8E5C95"/>
    <w:rsid w:val="6D9F43B9"/>
    <w:rsid w:val="6DA53050"/>
    <w:rsid w:val="6DE15A50"/>
    <w:rsid w:val="6E1F4585"/>
    <w:rsid w:val="6E6A59F3"/>
    <w:rsid w:val="6E7D0A7D"/>
    <w:rsid w:val="6EBB6F47"/>
    <w:rsid w:val="6F2F0685"/>
    <w:rsid w:val="6F337072"/>
    <w:rsid w:val="70982403"/>
    <w:rsid w:val="709D5435"/>
    <w:rsid w:val="70E9167B"/>
    <w:rsid w:val="711C1FED"/>
    <w:rsid w:val="71B07818"/>
    <w:rsid w:val="71F4261F"/>
    <w:rsid w:val="725C2A40"/>
    <w:rsid w:val="72BB1748"/>
    <w:rsid w:val="72FF24CB"/>
    <w:rsid w:val="734A6525"/>
    <w:rsid w:val="73546671"/>
    <w:rsid w:val="73934A1F"/>
    <w:rsid w:val="73A02464"/>
    <w:rsid w:val="73C470CC"/>
    <w:rsid w:val="74415023"/>
    <w:rsid w:val="74457313"/>
    <w:rsid w:val="745B3A55"/>
    <w:rsid w:val="74753403"/>
    <w:rsid w:val="748656B2"/>
    <w:rsid w:val="74F0131C"/>
    <w:rsid w:val="74F87733"/>
    <w:rsid w:val="75115393"/>
    <w:rsid w:val="752E3F64"/>
    <w:rsid w:val="756D71A8"/>
    <w:rsid w:val="76225DA0"/>
    <w:rsid w:val="764149D0"/>
    <w:rsid w:val="76782D71"/>
    <w:rsid w:val="76E8537C"/>
    <w:rsid w:val="7766520C"/>
    <w:rsid w:val="77851882"/>
    <w:rsid w:val="77A06791"/>
    <w:rsid w:val="77A5619C"/>
    <w:rsid w:val="77F929F7"/>
    <w:rsid w:val="780131BF"/>
    <w:rsid w:val="780F3611"/>
    <w:rsid w:val="787B0961"/>
    <w:rsid w:val="789B77BD"/>
    <w:rsid w:val="78AB0A3F"/>
    <w:rsid w:val="78C65D8E"/>
    <w:rsid w:val="78F2288B"/>
    <w:rsid w:val="78FB4EBC"/>
    <w:rsid w:val="791351F0"/>
    <w:rsid w:val="792C1D98"/>
    <w:rsid w:val="795C33BE"/>
    <w:rsid w:val="79683F8F"/>
    <w:rsid w:val="79A40804"/>
    <w:rsid w:val="79A42111"/>
    <w:rsid w:val="79EE3A2B"/>
    <w:rsid w:val="79F156F9"/>
    <w:rsid w:val="7A14416D"/>
    <w:rsid w:val="7A476BDD"/>
    <w:rsid w:val="7A4B23CE"/>
    <w:rsid w:val="7A4D247D"/>
    <w:rsid w:val="7A6B785D"/>
    <w:rsid w:val="7A911451"/>
    <w:rsid w:val="7AA2473D"/>
    <w:rsid w:val="7AB841B5"/>
    <w:rsid w:val="7ACE5C60"/>
    <w:rsid w:val="7B830929"/>
    <w:rsid w:val="7BA232D6"/>
    <w:rsid w:val="7BA257E6"/>
    <w:rsid w:val="7BC213FE"/>
    <w:rsid w:val="7BF41E15"/>
    <w:rsid w:val="7C7610CA"/>
    <w:rsid w:val="7C8E6638"/>
    <w:rsid w:val="7CA036D8"/>
    <w:rsid w:val="7CD04988"/>
    <w:rsid w:val="7D516406"/>
    <w:rsid w:val="7D9E3A61"/>
    <w:rsid w:val="7DA52167"/>
    <w:rsid w:val="7DAF3CA6"/>
    <w:rsid w:val="7DE2231D"/>
    <w:rsid w:val="7E005D4F"/>
    <w:rsid w:val="7E040796"/>
    <w:rsid w:val="7E1270E2"/>
    <w:rsid w:val="7F0322CC"/>
    <w:rsid w:val="7F3C3C58"/>
    <w:rsid w:val="7F543508"/>
    <w:rsid w:val="7F6723C3"/>
    <w:rsid w:val="7F9419EF"/>
    <w:rsid w:val="7FB757EB"/>
    <w:rsid w:val="7FC44B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overflowPunct w:val="0"/>
      <w:spacing w:line="560" w:lineRule="exact"/>
      <w:ind w:firstLine="880" w:firstLineChars="200"/>
      <w:jc w:val="both"/>
    </w:pPr>
    <w:rPr>
      <w:rFonts w:ascii="仿宋_GB2312" w:hAnsi="仿宋_GB2312" w:eastAsia="仿宋_GB2312" w:cs="Times New Roman"/>
      <w:kern w:val="2"/>
      <w:sz w:val="32"/>
      <w:szCs w:val="22"/>
      <w:lang w:val="en-US" w:eastAsia="zh-CN" w:bidi="ar-SA"/>
    </w:rPr>
  </w:style>
  <w:style w:type="character" w:default="1" w:styleId="9">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next w:val="1"/>
    <w:qFormat/>
    <w:uiPriority w:val="0"/>
    <w:pPr>
      <w:spacing w:after="0"/>
      <w:ind w:firstLine="420" w:firstLineChars="200"/>
    </w:pPr>
    <w:rPr>
      <w:rFonts w:ascii="Calibri" w:hAnsi="Calibri" w:cs="Times New Roman"/>
    </w:rPr>
  </w:style>
  <w:style w:type="paragraph" w:styleId="3">
    <w:name w:val="Body Text Indent"/>
    <w:basedOn w:val="1"/>
    <w:next w:val="4"/>
    <w:qFormat/>
    <w:uiPriority w:val="0"/>
    <w:pPr>
      <w:spacing w:line="600" w:lineRule="exact"/>
      <w:ind w:firstLine="630"/>
    </w:pPr>
    <w:rPr>
      <w:rFonts w:ascii="仿宋_GB2312" w:eastAsia="仿宋_GB2312"/>
      <w:sz w:val="32"/>
    </w:rPr>
  </w:style>
  <w:style w:type="paragraph" w:styleId="4">
    <w:name w:val="Normal Indent"/>
    <w:basedOn w:val="1"/>
    <w:next w:val="1"/>
    <w:qFormat/>
    <w:uiPriority w:val="0"/>
    <w:pPr>
      <w:ind w:firstLine="420" w:firstLineChars="200"/>
    </w:pPr>
    <w:rPr>
      <w:rFonts w:eastAsia="仿宋"/>
      <w:sz w:val="32"/>
    </w:rPr>
  </w:style>
  <w:style w:type="paragraph" w:styleId="5">
    <w:name w:val="Date"/>
    <w:basedOn w:val="1"/>
    <w:next w:val="1"/>
    <w:qFormat/>
    <w:uiPriority w:val="0"/>
    <w:rPr>
      <w:rFonts w:ascii="仿宋_GB2312" w:eastAsia="仿宋_GB2312"/>
      <w:sz w:val="28"/>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1"/>
    <w:qFormat/>
    <w:uiPriority w:val="0"/>
    <w:pPr>
      <w:snapToGrid w:val="0"/>
      <w:jc w:val="left"/>
    </w:pPr>
    <w:rPr>
      <w:sz w:val="18"/>
    </w:rPr>
  </w:style>
  <w:style w:type="character" w:styleId="10">
    <w:name w:val="footnote reference"/>
    <w:basedOn w:val="9"/>
    <w:qFormat/>
    <w:uiPriority w:val="0"/>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3">
    <w:name w:val="Default"/>
    <w:qFormat/>
    <w:uiPriority w:val="99"/>
    <w:pPr>
      <w:widowControl w:val="0"/>
      <w:autoSpaceDE w:val="0"/>
      <w:autoSpaceDN w:val="0"/>
      <w:adjustRightInd w:val="0"/>
    </w:pPr>
    <w:rPr>
      <w:rFonts w:ascii="黑体" w:hAnsi="Calibri"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3373</Words>
  <Characters>3523</Characters>
  <Lines>0</Lines>
  <Paragraphs>0</Paragraphs>
  <TotalTime>3</TotalTime>
  <ScaleCrop>false</ScaleCrop>
  <LinksUpToDate>false</LinksUpToDate>
  <CharactersWithSpaces>3680</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2022-07-26T01:15:00Z</dcterms:created>
  <dc:creator>Administrator</dc:creator>
  <cp:lastModifiedBy>Administrator</cp:lastModifiedBy>
  <cp:lastPrinted>2022-11-02T00:32:00Z</cp:lastPrinted>
  <dcterms:modified xsi:type="dcterms:W3CDTF">2023-04-13T07:34:06Z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y fmtid="{D5CDD505-2E9C-101B-9397-08002B2CF9AE}" pid="3" name="ICV">
    <vt:lpwstr>1037DA2BF9294055847B61351D900C27</vt:lpwstr>
  </property>
</Properties>
</file>