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topLinePunct w:val="0"/>
        <w:autoSpaceDE/>
        <w:autoSpaceDN/>
        <w:bidi w:val="0"/>
        <w:adjustRightInd/>
        <w:snapToGrid/>
        <w:spacing w:line="560" w:lineRule="exact"/>
        <w:ind w:firstLine="0" w:firstLineChars="0"/>
        <w:jc w:val="left"/>
        <w:textAlignment w:val="auto"/>
        <w:rPr>
          <w:rFonts w:hint="eastAsia" w:ascii="黑体" w:hAnsi="黑体" w:eastAsia="黑体" w:cs="黑体"/>
          <w:color w:val="auto"/>
          <w:sz w:val="32"/>
          <w:szCs w:val="32"/>
          <w:shd w:val="clear" w:color="auto" w:fill="FFFFFF"/>
          <w:lang w:eastAsia="zh-CN"/>
        </w:rPr>
      </w:pPr>
      <w:r>
        <w:rPr>
          <w:rFonts w:hint="eastAsia" w:ascii="黑体" w:hAnsi="黑体" w:eastAsia="黑体" w:cs="黑体"/>
          <w:color w:val="auto"/>
          <w:sz w:val="32"/>
          <w:szCs w:val="32"/>
          <w:shd w:val="clear" w:color="auto" w:fill="FFFFFF"/>
          <w:lang w:eastAsia="zh-CN"/>
        </w:rPr>
        <w:t>附件</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lang w:eastAsia="zh-CN"/>
        </w:rPr>
      </w:pPr>
      <w:r>
        <w:rPr>
          <w:rFonts w:hint="eastAsia" w:ascii="方正小标宋简体" w:hAnsi="Arial" w:eastAsia="方正小标宋简体" w:cs="Arial"/>
          <w:color w:val="auto"/>
          <w:sz w:val="44"/>
          <w:szCs w:val="21"/>
          <w:shd w:val="clear" w:color="auto" w:fill="FFFFFF"/>
          <w:lang w:eastAsia="zh-CN"/>
        </w:rPr>
        <w:t>关于“</w:t>
      </w:r>
      <w:r>
        <w:rPr>
          <w:rFonts w:hint="eastAsia" w:ascii="方正小标宋简体" w:hAnsi="Arial" w:eastAsia="方正小标宋简体" w:cs="Arial"/>
          <w:color w:val="auto"/>
          <w:sz w:val="44"/>
          <w:szCs w:val="21"/>
          <w:shd w:val="clear" w:color="auto" w:fill="FFFFFF"/>
          <w:lang w:val="en-US" w:eastAsia="zh-CN"/>
        </w:rPr>
        <w:t>3·31</w:t>
      </w:r>
      <w:r>
        <w:rPr>
          <w:rFonts w:hint="eastAsia" w:ascii="方正小标宋简体" w:hAnsi="Arial" w:eastAsia="方正小标宋简体" w:cs="Arial"/>
          <w:color w:val="auto"/>
          <w:sz w:val="44"/>
          <w:szCs w:val="21"/>
          <w:shd w:val="clear" w:color="auto" w:fill="FFFFFF"/>
          <w:lang w:eastAsia="zh-CN"/>
        </w:rPr>
        <w:t>”高处坠落一般生产安全</w:t>
      </w:r>
    </w:p>
    <w:p>
      <w:pPr>
        <w:keepNext w:val="0"/>
        <w:keepLines w:val="0"/>
        <w:pageBreakBefore w:val="0"/>
        <w:widowControl w:val="0"/>
        <w:kinsoku/>
        <w:wordWrap/>
        <w:topLinePunct w:val="0"/>
        <w:autoSpaceDE/>
        <w:autoSpaceDN/>
        <w:bidi w:val="0"/>
        <w:adjustRightInd/>
        <w:snapToGrid/>
        <w:spacing w:line="560" w:lineRule="exact"/>
        <w:ind w:firstLine="0" w:firstLineChars="0"/>
        <w:jc w:val="center"/>
        <w:textAlignment w:val="auto"/>
        <w:rPr>
          <w:rFonts w:hint="eastAsia" w:ascii="方正小标宋简体" w:hAnsi="Arial" w:eastAsia="方正小标宋简体" w:cs="Arial"/>
          <w:color w:val="auto"/>
          <w:sz w:val="44"/>
          <w:szCs w:val="21"/>
          <w:shd w:val="clear" w:color="auto" w:fill="FFFFFF"/>
        </w:rPr>
      </w:pPr>
      <w:r>
        <w:rPr>
          <w:rFonts w:hint="eastAsia" w:ascii="方正小标宋简体" w:hAnsi="Arial" w:eastAsia="方正小标宋简体" w:cs="Arial"/>
          <w:color w:val="auto"/>
          <w:sz w:val="44"/>
          <w:szCs w:val="21"/>
          <w:shd w:val="clear" w:color="auto" w:fill="FFFFFF"/>
          <w:lang w:eastAsia="zh-CN"/>
        </w:rPr>
        <w:t>责任事故的调查报告</w:t>
      </w:r>
    </w:p>
    <w:p>
      <w:pPr>
        <w:keepNext w:val="0"/>
        <w:keepLines w:val="0"/>
        <w:pageBreakBefore w:val="0"/>
        <w:widowControl w:val="0"/>
        <w:kinsoku/>
        <w:wordWrap/>
        <w:topLinePunct w:val="0"/>
        <w:autoSpaceDE/>
        <w:autoSpaceDN/>
        <w:bidi w:val="0"/>
        <w:adjustRightInd/>
        <w:snapToGrid/>
        <w:spacing w:line="560" w:lineRule="exact"/>
        <w:textAlignment w:val="auto"/>
        <w:rPr>
          <w:color w:val="auto"/>
        </w:rPr>
      </w:pP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rPr>
      </w:pPr>
      <w:r>
        <w:rPr>
          <w:rFonts w:hint="eastAsia" w:ascii="仿宋_GB2312" w:hAnsi="仿宋_GB2312" w:eastAsia="仿宋_GB2312" w:cs="仿宋_GB2312"/>
        </w:rPr>
        <w:t>2023年3月31日1</w:t>
      </w:r>
      <w:r>
        <w:rPr>
          <w:rFonts w:hint="eastAsia" w:cs="仿宋_GB2312"/>
          <w:lang w:val="en-US" w:eastAsia="zh-CN"/>
        </w:rPr>
        <w:t>7</w:t>
      </w:r>
      <w:r>
        <w:rPr>
          <w:rFonts w:hint="eastAsia" w:ascii="仿宋_GB2312" w:hAnsi="仿宋_GB2312" w:eastAsia="仿宋_GB2312" w:cs="仿宋_GB2312"/>
        </w:rPr>
        <w:t>时</w:t>
      </w:r>
      <w:r>
        <w:rPr>
          <w:rFonts w:hint="eastAsia" w:cs="仿宋_GB2312"/>
          <w:lang w:val="en-US" w:eastAsia="zh-CN"/>
        </w:rPr>
        <w:t>58</w:t>
      </w:r>
      <w:r>
        <w:rPr>
          <w:rFonts w:hint="eastAsia" w:ascii="仿宋_GB2312" w:hAnsi="仿宋_GB2312" w:eastAsia="仿宋_GB2312" w:cs="仿宋_GB2312"/>
        </w:rPr>
        <w:t>分左右，位于崇明区长兴镇凤凰公路潘圆公路口的</w:t>
      </w:r>
      <w:r>
        <w:rPr>
          <w:rFonts w:hint="eastAsia" w:cs="仿宋_GB2312"/>
          <w:lang w:eastAsia="zh-CN"/>
        </w:rPr>
        <w:t>长兴岛凤凰镇</w:t>
      </w:r>
      <w:r>
        <w:rPr>
          <w:rFonts w:hint="eastAsia" w:cs="仿宋_GB2312"/>
          <w:lang w:val="en-US" w:eastAsia="zh-CN"/>
        </w:rPr>
        <w:t>CX01单元09-03地块住宅项目（以下简称</w:t>
      </w:r>
      <w:r>
        <w:rPr>
          <w:rFonts w:hint="eastAsia" w:ascii="仿宋_GB2312" w:hAnsi="仿宋_GB2312" w:eastAsia="仿宋_GB2312" w:cs="仿宋_GB2312"/>
        </w:rPr>
        <w:t>泰禾</w:t>
      </w:r>
      <w:r>
        <w:rPr>
          <w:rFonts w:hint="eastAsia" w:cs="仿宋_GB2312"/>
          <w:lang w:val="en-US" w:eastAsia="zh-CN"/>
        </w:rPr>
        <w:t>大城小院项目）</w:t>
      </w:r>
      <w:r>
        <w:rPr>
          <w:rFonts w:hint="eastAsia" w:ascii="仿宋_GB2312" w:hAnsi="仿宋_GB2312" w:eastAsia="仿宋_GB2312" w:cs="仿宋_GB2312"/>
        </w:rPr>
        <w:t>施工现场，国兴天成</w:t>
      </w:r>
      <w:r>
        <w:rPr>
          <w:rFonts w:hint="eastAsia" w:cs="仿宋_GB2312"/>
          <w:lang w:eastAsia="zh-CN"/>
        </w:rPr>
        <w:t>建设</w:t>
      </w:r>
      <w:r>
        <w:rPr>
          <w:rFonts w:hint="eastAsia" w:ascii="仿宋_GB2312" w:hAnsi="仿宋_GB2312" w:eastAsia="仿宋_GB2312" w:cs="仿宋_GB2312"/>
        </w:rPr>
        <w:t>有限公司发生一起高处坠落亡人事故（以下简称“3·</w:t>
      </w:r>
      <w:r>
        <w:rPr>
          <w:rFonts w:hint="eastAsia" w:cs="仿宋_GB2312"/>
          <w:lang w:val="en-US" w:eastAsia="zh-CN"/>
        </w:rPr>
        <w:t>31</w:t>
      </w:r>
      <w:r>
        <w:rPr>
          <w:rFonts w:hint="eastAsia" w:ascii="仿宋_GB2312" w:hAnsi="仿宋_GB2312" w:eastAsia="仿宋_GB2312" w:cs="仿宋_GB2312"/>
        </w:rPr>
        <w:t>”事故）。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color w:val="auto"/>
          <w:szCs w:val="32"/>
        </w:rPr>
      </w:pPr>
      <w:r>
        <w:rPr>
          <w:rFonts w:hint="eastAsia"/>
          <w:color w:val="auto"/>
          <w:szCs w:val="32"/>
        </w:rPr>
        <w:t>根据《中华人民共和国安全生产法》和《生产安全事故报告和调查处理条例》(国务院令第493号)及《上海市〈生产安全事故报告和调查处理条例〉的若干规定》（沪府规〔2018〕7号）,受上海市崇明区人民政府委托，成立由上海市崇明区应急管理局（以下简称区应急局）牵头，</w:t>
      </w:r>
      <w:r>
        <w:rPr>
          <w:rFonts w:hint="eastAsia"/>
          <w:color w:val="auto"/>
          <w:szCs w:val="32"/>
          <w:lang w:eastAsia="zh-CN"/>
        </w:rPr>
        <w:t>上海市长兴岛开发建设管理委员会、</w:t>
      </w:r>
      <w:r>
        <w:rPr>
          <w:rFonts w:hint="eastAsia"/>
          <w:color w:val="auto"/>
          <w:szCs w:val="32"/>
        </w:rPr>
        <w:t>上海市公安局崇明分局、上海市崇明区总工会、</w:t>
      </w:r>
      <w:r>
        <w:rPr>
          <w:rFonts w:hint="eastAsia"/>
          <w:color w:val="auto"/>
          <w:szCs w:val="32"/>
          <w:lang w:eastAsia="zh-CN"/>
        </w:rPr>
        <w:t>上海市崇明区建设和管理委员会、上海市崇明区长兴镇人民政府</w:t>
      </w:r>
      <w:r>
        <w:rPr>
          <w:rFonts w:hint="eastAsia"/>
          <w:color w:val="auto"/>
          <w:szCs w:val="32"/>
        </w:rPr>
        <w:t>等单位组成的“</w:t>
      </w:r>
      <w:r>
        <w:rPr>
          <w:rFonts w:hint="eastAsia"/>
          <w:color w:val="auto"/>
          <w:szCs w:val="32"/>
          <w:lang w:val="en-US" w:eastAsia="zh-CN"/>
        </w:rPr>
        <w:t>3·31</w:t>
      </w:r>
      <w:r>
        <w:rPr>
          <w:rFonts w:hint="eastAsia"/>
          <w:color w:val="auto"/>
          <w:szCs w:val="32"/>
        </w:rPr>
        <w:t>”事故调查组（以下简称事故调查组），并邀请中共上海市崇明区纪律检查委员会（上海市崇明区监察委员会）监督，开展事故调查工作。现将调查主要情况报告如下：</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一、基本情况</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lang w:eastAsia="zh-CN"/>
        </w:rPr>
        <w:t>（一）涉事单位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仿宋_GB2312"/>
          <w:color w:val="auto"/>
          <w:sz w:val="32"/>
          <w:szCs w:val="32"/>
          <w:lang w:val="en-US" w:eastAsia="zh-CN"/>
        </w:rPr>
      </w:pPr>
      <w:r>
        <w:rPr>
          <w:rFonts w:hint="eastAsia" w:cs="仿宋_GB2312"/>
          <w:color w:val="auto"/>
          <w:sz w:val="32"/>
          <w:szCs w:val="32"/>
          <w:lang w:val="en-US" w:eastAsia="zh-CN"/>
        </w:rPr>
        <w:t>1.上海禾柃房地产开发有限公司（以下简称禾柃公司）；法定代表人：丁芯星；住所：上海市崇明区长兴镇潘园公路1800号3号楼4894室。该公司为泰禾大城小院项目的建设单位。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cs="仿宋_GB2312"/>
          <w:color w:val="auto"/>
          <w:sz w:val="32"/>
          <w:szCs w:val="32"/>
          <w:lang w:val="en-US" w:eastAsia="zh-CN"/>
        </w:rPr>
      </w:pPr>
      <w:r>
        <w:rPr>
          <w:rFonts w:hint="eastAsia" w:cs="仿宋_GB2312"/>
          <w:color w:val="auto"/>
          <w:sz w:val="32"/>
          <w:szCs w:val="32"/>
          <w:lang w:val="en-US" w:eastAsia="zh-CN"/>
        </w:rPr>
        <w:t>2.中城建设有限责任公司（以下简称中城公司）；法定代表人：林礼钦；住所：福建省闽清县梅城镇南北大街122号。该公司为泰禾大城小院项目的总包单位。</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9"/>
        <w:rPr>
          <w:rFonts w:hint="default" w:eastAsia="仿宋_GB2312" w:cs="仿宋_GB2312"/>
          <w:color w:val="auto"/>
          <w:sz w:val="32"/>
          <w:szCs w:val="32"/>
          <w:lang w:val="en-US" w:eastAsia="zh-CN"/>
        </w:rPr>
      </w:pPr>
      <w:r>
        <w:rPr>
          <w:rFonts w:hint="eastAsia" w:cs="仿宋_GB2312"/>
          <w:color w:val="auto"/>
          <w:sz w:val="32"/>
          <w:szCs w:val="32"/>
          <w:lang w:val="en-US" w:eastAsia="zh-CN"/>
        </w:rPr>
        <w:t>3.国兴天成建设有限公司（以下简称国兴公司）；法定代表人：吴献忠；住所：上海市奉贤区大叶公路8188号8幢。该公司为泰禾大城小院项目的劳务分包单位。</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9"/>
        <w:rPr>
          <w:rFonts w:hint="eastAsia" w:ascii="楷体_GB2312" w:hAnsi="楷体_GB2312" w:eastAsia="楷体_GB2312" w:cs="楷体_GB2312"/>
          <w:b/>
          <w:bCs w:val="0"/>
          <w:color w:val="auto"/>
          <w:szCs w:val="32"/>
          <w:lang w:eastAsia="zh-CN"/>
        </w:rPr>
      </w:pPr>
      <w:r>
        <w:rPr>
          <w:rFonts w:hint="eastAsia" w:ascii="楷体_GB2312" w:hAnsi="楷体_GB2312" w:eastAsia="楷体_GB2312" w:cs="楷体_GB2312"/>
          <w:b/>
          <w:bCs w:val="0"/>
          <w:color w:val="auto"/>
          <w:szCs w:val="32"/>
          <w:lang w:eastAsia="zh-CN"/>
        </w:rPr>
        <w:t>（二）合同签署情况</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val="0"/>
          <w:bCs/>
          <w:color w:val="auto"/>
          <w:szCs w:val="32"/>
          <w:lang w:val="en-US" w:eastAsia="zh-CN"/>
        </w:rPr>
      </w:pPr>
      <w:r>
        <w:rPr>
          <w:rFonts w:hint="eastAsia" w:cs="仿宋_GB2312"/>
          <w:b w:val="0"/>
          <w:bCs/>
          <w:color w:val="auto"/>
          <w:szCs w:val="32"/>
          <w:lang w:val="en-US" w:eastAsia="zh-CN"/>
        </w:rPr>
        <w:t>1</w:t>
      </w:r>
      <w:r>
        <w:rPr>
          <w:rFonts w:hint="eastAsia" w:ascii="仿宋_GB2312" w:hAnsi="仿宋_GB2312" w:eastAsia="仿宋_GB2312" w:cs="仿宋_GB2312"/>
          <w:b w:val="0"/>
          <w:bCs/>
          <w:color w:val="auto"/>
          <w:szCs w:val="32"/>
          <w:lang w:val="en-US" w:eastAsia="zh-CN"/>
        </w:rPr>
        <w:t>.</w:t>
      </w:r>
      <w:r>
        <w:rPr>
          <w:rFonts w:hint="eastAsia" w:cs="仿宋_GB2312"/>
          <w:b w:val="0"/>
          <w:bCs/>
          <w:color w:val="auto"/>
          <w:szCs w:val="32"/>
          <w:lang w:val="en-US" w:eastAsia="zh-CN"/>
        </w:rPr>
        <w:t>2017年2月，禾柃公司与中城公司签订《合同文件》，合同约定禾柃公司将泰禾大城小院</w:t>
      </w:r>
      <w:r>
        <w:rPr>
          <w:rFonts w:hint="eastAsia" w:cs="仿宋_GB2312"/>
          <w:color w:val="auto"/>
          <w:sz w:val="32"/>
          <w:szCs w:val="32"/>
          <w:lang w:val="en-US" w:eastAsia="zh-CN"/>
        </w:rPr>
        <w:t>项目</w:t>
      </w:r>
      <w:r>
        <w:rPr>
          <w:rFonts w:hint="eastAsia" w:cs="仿宋_GB2312"/>
          <w:b w:val="0"/>
          <w:bCs/>
          <w:color w:val="auto"/>
          <w:szCs w:val="32"/>
          <w:lang w:val="en-US" w:eastAsia="zh-CN"/>
        </w:rPr>
        <w:t>发包给中城公司。</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b w:val="0"/>
          <w:bCs/>
          <w:color w:val="auto"/>
          <w:szCs w:val="32"/>
          <w:lang w:val="en-US" w:eastAsia="zh-CN"/>
        </w:rPr>
      </w:pPr>
      <w:r>
        <w:rPr>
          <w:rFonts w:hint="eastAsia" w:cs="仿宋_GB2312"/>
          <w:color w:val="auto"/>
          <w:szCs w:val="32"/>
          <w:lang w:val="en-US" w:eastAsia="zh-CN"/>
        </w:rPr>
        <w:t>2.2022年8月30日，</w:t>
      </w:r>
      <w:r>
        <w:rPr>
          <w:rFonts w:hint="eastAsia" w:cs="仿宋_GB2312"/>
          <w:color w:val="auto"/>
          <w:sz w:val="32"/>
          <w:szCs w:val="32"/>
          <w:lang w:val="en-US" w:eastAsia="zh-CN"/>
        </w:rPr>
        <w:t>中城公司与国兴公司签订《劳务分包合同》,合同约定中城公司将泰禾大城小院项目二标段，7#、26#-60#的劳务作业发包给过国兴公司。</w:t>
      </w:r>
    </w:p>
    <w:p>
      <w:pPr>
        <w:pStyle w:val="8"/>
        <w:keepNext w:val="0"/>
        <w:keepLines w:val="0"/>
        <w:pageBreakBefore w:val="0"/>
        <w:widowControl w:val="0"/>
        <w:kinsoku/>
        <w:wordWrap/>
        <w:topLinePunct w:val="0"/>
        <w:autoSpaceDE/>
        <w:autoSpaceDN/>
        <w:bidi w:val="0"/>
        <w:adjustRightInd/>
        <w:spacing w:line="560" w:lineRule="exact"/>
        <w:textAlignment w:val="auto"/>
        <w:rPr>
          <w:rFonts w:hint="default" w:ascii="仿宋_GB2312" w:hAnsi="仿宋_GB2312" w:eastAsia="仿宋_GB2312" w:cs="仿宋_GB2312"/>
          <w:lang w:val="en-US" w:eastAsia="zh-CN"/>
        </w:rPr>
      </w:pPr>
      <w:r>
        <w:rPr>
          <w:rFonts w:hint="eastAsia" w:ascii="仿宋_GB2312" w:hAnsi="仿宋_GB2312" w:cs="仿宋_GB2312"/>
          <w:b w:val="0"/>
          <w:bCs/>
          <w:color w:val="auto"/>
          <w:szCs w:val="32"/>
          <w:lang w:val="en-US" w:eastAsia="zh-CN"/>
        </w:rPr>
        <w:t>3.2023年3月17日，国兴公司与熊某某签订《劳动合同》，合同期限为2023年2月21日起至工程完成结束时止。</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ascii="黑体" w:eastAsia="黑体"/>
          <w:b w:val="0"/>
          <w:bCs/>
          <w:color w:val="auto"/>
          <w:szCs w:val="32"/>
        </w:rPr>
      </w:pPr>
      <w:r>
        <w:rPr>
          <w:rFonts w:hint="eastAsia" w:ascii="黑体" w:eastAsia="黑体"/>
          <w:b w:val="0"/>
          <w:bCs/>
          <w:color w:val="auto"/>
          <w:szCs w:val="32"/>
          <w:lang w:eastAsia="zh-CN"/>
        </w:rPr>
        <w:t>二</w:t>
      </w:r>
      <w:r>
        <w:rPr>
          <w:rFonts w:hint="eastAsia" w:ascii="黑体" w:eastAsia="黑体"/>
          <w:b w:val="0"/>
          <w:bCs/>
          <w:color w:val="auto"/>
          <w:szCs w:val="32"/>
        </w:rPr>
        <w:t>、</w:t>
      </w:r>
      <w:r>
        <w:rPr>
          <w:rFonts w:hint="eastAsia" w:ascii="黑体" w:eastAsia="黑体"/>
          <w:b w:val="0"/>
          <w:bCs/>
          <w:color w:val="auto"/>
          <w:szCs w:val="32"/>
          <w:lang w:eastAsia="zh-CN"/>
        </w:rPr>
        <w:t>事故</w:t>
      </w:r>
      <w:r>
        <w:rPr>
          <w:rFonts w:hint="eastAsia" w:ascii="黑体" w:eastAsia="黑体"/>
          <w:b w:val="0"/>
          <w:bCs/>
          <w:color w:val="auto"/>
          <w:szCs w:val="32"/>
        </w:rPr>
        <w:t>经过</w:t>
      </w:r>
    </w:p>
    <w:p>
      <w:pPr>
        <w:keepNext w:val="0"/>
        <w:keepLines w:val="0"/>
        <w:pageBreakBefore w:val="0"/>
        <w:widowControl w:val="0"/>
        <w:kinsoku/>
        <w:wordWrap/>
        <w:overflowPunct w:val="0"/>
        <w:topLinePunct w:val="0"/>
        <w:autoSpaceDE/>
        <w:autoSpaceDN/>
        <w:bidi w:val="0"/>
        <w:adjustRightInd/>
        <w:snapToGrid w:val="0"/>
        <w:spacing w:line="560" w:lineRule="exact"/>
        <w:ind w:firstLine="643"/>
        <w:jc w:val="both"/>
        <w:textAlignment w:val="auto"/>
        <w:outlineLvl w:val="9"/>
        <w:rPr>
          <w:rFonts w:hint="eastAsia" w:cs="仿宋_GB2312"/>
          <w:color w:val="auto"/>
          <w:kern w:val="2"/>
          <w:sz w:val="32"/>
          <w:szCs w:val="32"/>
          <w:u w:val="none"/>
          <w:lang w:val="en-US" w:eastAsia="zh-CN" w:bidi="ar-SA"/>
        </w:rPr>
      </w:pPr>
      <w:r>
        <w:rPr>
          <w:rFonts w:hint="eastAsia" w:cs="仿宋_GB2312"/>
          <w:color w:val="auto"/>
          <w:kern w:val="2"/>
          <w:sz w:val="32"/>
          <w:szCs w:val="32"/>
          <w:u w:val="none"/>
          <w:lang w:val="en-US" w:eastAsia="zh-CN" w:bidi="ar-SA"/>
        </w:rPr>
        <w:t>2023年3月31日，国兴公司班组长刘功启安排辅助工熊某某（死者）、张保明、脚手架工刘红明三人配合11#塔吊装卸泰禾大城小院项目内28#楼的脚手架钢管。</w:t>
      </w:r>
    </w:p>
    <w:p>
      <w:pPr>
        <w:pStyle w:val="8"/>
        <w:keepNext w:val="0"/>
        <w:keepLines w:val="0"/>
        <w:pageBreakBefore w:val="0"/>
        <w:widowControl w:val="0"/>
        <w:kinsoku/>
        <w:wordWrap/>
        <w:overflowPunct w:val="0"/>
        <w:topLinePunct w:val="0"/>
        <w:autoSpaceDE/>
        <w:autoSpaceDN/>
        <w:bidi w:val="0"/>
        <w:adjustRightInd/>
        <w:snapToGrid w:val="0"/>
        <w:spacing w:line="560" w:lineRule="exact"/>
        <w:ind w:firstLine="640"/>
        <w:textAlignment w:val="auto"/>
        <w:rPr>
          <w:rFonts w:hint="eastAsia" w:ascii="仿宋_GB2312" w:hAnsi="仿宋_GB2312" w:cs="仿宋_GB2312"/>
          <w:lang w:val="en-US" w:eastAsia="zh-CN"/>
        </w:rPr>
      </w:pPr>
      <w:r>
        <w:rPr>
          <w:rFonts w:hint="eastAsia" w:ascii="仿宋_GB2312" w:hAnsi="仿宋_GB2312" w:cs="仿宋_GB2312"/>
          <w:lang w:val="en-US" w:eastAsia="zh-CN"/>
        </w:rPr>
        <w:t>17时50分左右，刘功启、张保明、刘红明将放置在34#楼东侧地面的脚手架钢管捆扎好后，国兴公司信号工杨立春通过对讲机指挥塔吊司机魏刚起钩，魏刚操作塔吊起重臂沿着34#楼、28#楼东侧的走道将脚手架钢管吊运至28#楼四层电梯前室。</w:t>
      </w:r>
    </w:p>
    <w:p>
      <w:pPr>
        <w:pStyle w:val="8"/>
        <w:keepNext w:val="0"/>
        <w:keepLines w:val="0"/>
        <w:pageBreakBefore w:val="0"/>
        <w:widowControl w:val="0"/>
        <w:kinsoku/>
        <w:wordWrap/>
        <w:overflowPunct w:val="0"/>
        <w:topLinePunct w:val="0"/>
        <w:autoSpaceDE/>
        <w:autoSpaceDN/>
        <w:bidi w:val="0"/>
        <w:adjustRightInd/>
        <w:snapToGrid w:val="0"/>
        <w:spacing w:line="560" w:lineRule="exact"/>
        <w:ind w:firstLine="640"/>
        <w:textAlignment w:val="auto"/>
        <w:rPr>
          <w:rFonts w:hint="eastAsia" w:ascii="仿宋_GB2312" w:hAnsi="仿宋_GB2312" w:cs="仿宋_GB2312"/>
          <w:lang w:val="en-US" w:eastAsia="zh-CN"/>
        </w:rPr>
      </w:pPr>
      <w:r>
        <w:rPr>
          <w:rFonts w:hint="eastAsia" w:ascii="仿宋_GB2312" w:hAnsi="仿宋_GB2312" w:cs="仿宋_GB2312"/>
          <w:lang w:val="en-US" w:eastAsia="zh-CN"/>
        </w:rPr>
        <w:t>17时58分左右，当脚手架钢管即将到达至28#楼电梯前室上空时，在28#楼四层电梯前室负责接脚手架钢管的熊某某从电梯井摔落至一层混凝土地面，附近国兴公司安全员助理谢世臣、刘功启、张保明、刘红明听到声响，魏刚听到对讲机喊停后将脚手架钢管悬停在28#楼电梯前室上空，谢世臣等人经寻找发现了摔至28#楼电梯井底的熊某某。</w:t>
      </w:r>
    </w:p>
    <w:p>
      <w:pPr>
        <w:rPr>
          <w:rFonts w:hint="default"/>
          <w:lang w:val="en-US" w:eastAsia="zh-CN"/>
        </w:rPr>
      </w:pPr>
      <w:r>
        <w:rPr>
          <w:rFonts w:hint="eastAsia"/>
          <w:lang w:val="en-US" w:eastAsia="zh-CN"/>
        </w:rPr>
        <w:t>事故发生后，刘功启拨打了120，18时20分左右，120将熊某某送至崇明区长兴镇社区卫生服务中心抢救，19时09分，熊某某经抢救无效死亡，死亡原因为高空坠落伤。</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黑体" w:eastAsia="黑体"/>
          <w:b w:val="0"/>
          <w:bCs/>
          <w:color w:val="auto"/>
          <w:szCs w:val="32"/>
        </w:rPr>
      </w:pPr>
      <w:r>
        <w:rPr>
          <w:rFonts w:hint="eastAsia" w:ascii="黑体" w:eastAsia="黑体"/>
          <w:b w:val="0"/>
          <w:bCs/>
          <w:color w:val="auto"/>
          <w:szCs w:val="32"/>
        </w:rPr>
        <w:t>三、人员伤亡和经济损失</w:t>
      </w:r>
    </w:p>
    <w:p>
      <w:pPr>
        <w:keepNext w:val="0"/>
        <w:keepLines w:val="0"/>
        <w:pageBreakBefore w:val="0"/>
        <w:widowControl w:val="0"/>
        <w:kinsoku/>
        <w:wordWrap/>
        <w:overflowPunct w:val="0"/>
        <w:topLinePunct w:val="0"/>
        <w:autoSpaceDE/>
        <w:autoSpaceDN/>
        <w:bidi w:val="0"/>
        <w:adjustRightInd/>
        <w:snapToGrid/>
        <w:spacing w:line="560" w:lineRule="exact"/>
        <w:ind w:firstLine="643"/>
        <w:textAlignment w:val="auto"/>
        <w:outlineLvl w:val="9"/>
        <w:rPr>
          <w:rFonts w:ascii="楷体_GB2312" w:eastAsia="楷体_GB2312"/>
          <w:b/>
          <w:bCs w:val="0"/>
          <w:color w:val="auto"/>
          <w:szCs w:val="32"/>
        </w:rPr>
      </w:pPr>
      <w:r>
        <w:rPr>
          <w:rFonts w:hint="eastAsia" w:ascii="楷体_GB2312" w:eastAsia="楷体_GB2312"/>
          <w:b/>
          <w:bCs w:val="0"/>
          <w:color w:val="auto"/>
          <w:szCs w:val="32"/>
        </w:rPr>
        <w:t>（一）伤亡情况</w:t>
      </w:r>
    </w:p>
    <w:p>
      <w:pPr>
        <w:keepNext w:val="0"/>
        <w:keepLines w:val="0"/>
        <w:pageBreakBefore w:val="0"/>
        <w:widowControl w:val="0"/>
        <w:kinsoku/>
        <w:wordWrap/>
        <w:overflowPunct w:val="0"/>
        <w:topLinePunct w:val="0"/>
        <w:autoSpaceDE/>
        <w:autoSpaceDN/>
        <w:bidi w:val="0"/>
        <w:adjustRightInd/>
        <w:snapToGrid/>
        <w:spacing w:line="560" w:lineRule="exact"/>
        <w:ind w:firstLine="640"/>
        <w:textAlignment w:val="auto"/>
        <w:outlineLvl w:val="9"/>
        <w:rPr>
          <w:rFonts w:hint="eastAsia" w:ascii="仿宋_GB2312" w:hAnsi="仿宋_GB2312" w:eastAsia="仿宋_GB2312" w:cs="仿宋_GB2312"/>
          <w:color w:val="auto"/>
          <w:szCs w:val="32"/>
          <w:lang w:eastAsia="zh-CN"/>
        </w:rPr>
      </w:pPr>
      <w:r>
        <w:rPr>
          <w:rFonts w:hint="eastAsia" w:ascii="仿宋_GB2312" w:hAnsi="仿宋_GB2312" w:eastAsia="仿宋_GB2312" w:cs="仿宋_GB2312"/>
          <w:color w:val="auto"/>
          <w:szCs w:val="32"/>
        </w:rPr>
        <w:t>本起事故造成1人死亡</w:t>
      </w:r>
      <w:r>
        <w:rPr>
          <w:rFonts w:hint="eastAsia" w:ascii="仿宋_GB2312" w:hAnsi="仿宋_GB2312" w:eastAsia="仿宋_GB2312" w:cs="仿宋_GB2312"/>
          <w:color w:val="auto"/>
          <w:szCs w:val="32"/>
          <w:lang w:eastAsia="zh-CN"/>
        </w:rPr>
        <w:t>。</w:t>
      </w:r>
      <w:r>
        <w:rPr>
          <w:rFonts w:hint="eastAsia" w:ascii="仿宋_GB2312" w:hAnsi="仿宋_GB2312" w:eastAsia="仿宋_GB2312" w:cs="仿宋_GB2312"/>
          <w:color w:val="auto"/>
          <w:szCs w:val="32"/>
        </w:rPr>
        <w:t>死者：</w:t>
      </w:r>
      <w:r>
        <w:rPr>
          <w:rFonts w:hint="eastAsia" w:cs="仿宋_GB2312"/>
          <w:color w:val="auto"/>
          <w:szCs w:val="32"/>
          <w:lang w:eastAsia="zh-CN"/>
        </w:rPr>
        <w:t>熊某某</w:t>
      </w:r>
      <w:r>
        <w:rPr>
          <w:rFonts w:hint="eastAsia" w:ascii="仿宋_GB2312" w:hAnsi="仿宋_GB2312" w:eastAsia="仿宋_GB2312" w:cs="仿宋_GB2312"/>
          <w:color w:val="auto"/>
          <w:szCs w:val="32"/>
          <w:lang w:eastAsia="zh-CN"/>
        </w:rPr>
        <w:t>；性别：</w:t>
      </w:r>
      <w:r>
        <w:rPr>
          <w:rFonts w:hint="eastAsia" w:ascii="仿宋_GB2312" w:hAnsi="仿宋_GB2312" w:eastAsia="仿宋_GB2312" w:cs="仿宋_GB2312"/>
          <w:color w:val="auto"/>
          <w:szCs w:val="32"/>
        </w:rPr>
        <w:t>男</w:t>
      </w:r>
      <w:r>
        <w:rPr>
          <w:rFonts w:hint="eastAsia" w:ascii="仿宋_GB2312" w:hAnsi="仿宋_GB2312" w:eastAsia="仿宋_GB2312" w:cs="仿宋_GB2312"/>
          <w:color w:val="auto"/>
          <w:szCs w:val="32"/>
          <w:lang w:eastAsia="zh-CN"/>
        </w:rPr>
        <w:t>；籍贯：</w:t>
      </w:r>
      <w:r>
        <w:rPr>
          <w:rFonts w:hint="eastAsia" w:cs="仿宋_GB2312"/>
          <w:color w:val="auto"/>
          <w:szCs w:val="32"/>
          <w:lang w:eastAsia="zh-CN"/>
        </w:rPr>
        <w:t>湖北罗田</w:t>
      </w:r>
      <w:r>
        <w:rPr>
          <w:rFonts w:hint="eastAsia" w:ascii="仿宋_GB2312" w:hAnsi="仿宋_GB2312" w:eastAsia="仿宋_GB2312" w:cs="仿宋_GB2312"/>
          <w:color w:val="auto"/>
          <w:szCs w:val="32"/>
          <w:lang w:eastAsia="zh-CN"/>
        </w:rPr>
        <w:t>；文化程度：</w:t>
      </w:r>
      <w:r>
        <w:rPr>
          <w:rFonts w:hint="eastAsia" w:cs="仿宋_GB2312"/>
          <w:color w:val="auto"/>
          <w:szCs w:val="32"/>
          <w:lang w:eastAsia="zh-CN"/>
        </w:rPr>
        <w:t>初中</w:t>
      </w:r>
      <w:r>
        <w:rPr>
          <w:rFonts w:hint="eastAsia" w:ascii="仿宋_GB2312" w:hAnsi="仿宋_GB2312" w:eastAsia="仿宋_GB2312" w:cs="仿宋_GB2312"/>
          <w:color w:val="auto"/>
          <w:szCs w:val="32"/>
          <w:lang w:eastAsia="zh-CN"/>
        </w:rPr>
        <w:t>；出生年月：</w:t>
      </w:r>
      <w:r>
        <w:rPr>
          <w:rFonts w:hint="eastAsia" w:cs="仿宋_GB2312"/>
          <w:color w:val="auto"/>
          <w:szCs w:val="32"/>
          <w:lang w:val="en-US" w:eastAsia="zh-CN"/>
        </w:rPr>
        <w:t>1971</w:t>
      </w:r>
      <w:r>
        <w:rPr>
          <w:rFonts w:hint="eastAsia" w:ascii="仿宋_GB2312" w:hAnsi="仿宋_GB2312" w:eastAsia="仿宋_GB2312" w:cs="仿宋_GB2312"/>
          <w:color w:val="auto"/>
          <w:szCs w:val="32"/>
          <w:lang w:val="en-US" w:eastAsia="zh-CN"/>
        </w:rPr>
        <w:t>年</w:t>
      </w:r>
      <w:r>
        <w:rPr>
          <w:rFonts w:hint="eastAsia" w:cs="仿宋_GB2312"/>
          <w:color w:val="auto"/>
          <w:szCs w:val="32"/>
          <w:lang w:val="en-US" w:eastAsia="zh-CN"/>
        </w:rPr>
        <w:t>11</w:t>
      </w:r>
      <w:r>
        <w:rPr>
          <w:rFonts w:hint="eastAsia" w:ascii="仿宋_GB2312" w:hAnsi="仿宋_GB2312" w:eastAsia="仿宋_GB2312" w:cs="仿宋_GB2312"/>
          <w:color w:val="auto"/>
          <w:szCs w:val="32"/>
          <w:lang w:val="en-US" w:eastAsia="zh-CN"/>
        </w:rPr>
        <w:t>月</w:t>
      </w:r>
      <w:r>
        <w:rPr>
          <w:rFonts w:hint="eastAsia" w:cs="仿宋_GB2312"/>
          <w:color w:val="auto"/>
          <w:szCs w:val="32"/>
          <w:lang w:val="en-US" w:eastAsia="zh-CN"/>
        </w:rPr>
        <w:t>19</w:t>
      </w:r>
      <w:r>
        <w:rPr>
          <w:rFonts w:hint="eastAsia" w:ascii="仿宋_GB2312" w:hAnsi="仿宋_GB2312" w:eastAsia="仿宋_GB2312" w:cs="仿宋_GB2312"/>
          <w:color w:val="auto"/>
          <w:szCs w:val="32"/>
          <w:lang w:val="en-US" w:eastAsia="zh-CN"/>
        </w:rPr>
        <w:t>日；</w:t>
      </w:r>
      <w:r>
        <w:rPr>
          <w:rFonts w:hint="eastAsia" w:cs="仿宋_GB2312"/>
          <w:color w:val="auto"/>
          <w:szCs w:val="32"/>
          <w:lang w:val="en-US" w:eastAsia="zh-CN"/>
        </w:rPr>
        <w:t>户籍地址：湖北省罗田县XX镇XX村XX组XX号</w:t>
      </w:r>
      <w:r>
        <w:rPr>
          <w:rFonts w:hint="eastAsia" w:ascii="仿宋_GB2312" w:hAnsi="仿宋_GB2312" w:eastAsia="仿宋_GB2312" w:cs="仿宋_GB2312"/>
          <w:color w:val="auto"/>
          <w:szCs w:val="32"/>
          <w:lang w:val="en-US" w:eastAsia="zh-CN"/>
        </w:rPr>
        <w:t>；</w:t>
      </w:r>
      <w:r>
        <w:rPr>
          <w:rFonts w:hint="eastAsia" w:ascii="仿宋_GB2312" w:hAnsi="仿宋_GB2312" w:eastAsia="仿宋_GB2312" w:cs="仿宋_GB2312"/>
          <w:color w:val="auto"/>
          <w:szCs w:val="32"/>
        </w:rPr>
        <w:t>身份证号：</w:t>
      </w:r>
      <w:r>
        <w:rPr>
          <w:rFonts w:hint="eastAsia" w:cs="仿宋_GB2312"/>
          <w:color w:val="auto"/>
          <w:szCs w:val="32"/>
          <w:lang w:val="en-US" w:eastAsia="zh-CN"/>
        </w:rPr>
        <w:t>4211231971111XXXXX</w:t>
      </w:r>
      <w:r>
        <w:rPr>
          <w:rFonts w:hint="eastAsia" w:ascii="仿宋_GB2312" w:hAnsi="仿宋_GB2312" w:eastAsia="仿宋_GB2312" w:cs="仿宋_GB2312"/>
          <w:color w:val="auto"/>
          <w:szCs w:val="32"/>
        </w:rPr>
        <w:t>。</w:t>
      </w:r>
      <w:bookmarkStart w:id="0" w:name="_GoBack"/>
      <w:bookmarkEnd w:id="0"/>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eastAsia="楷体_GB2312"/>
          <w:b/>
          <w:bCs w:val="0"/>
          <w:color w:val="auto"/>
          <w:szCs w:val="32"/>
        </w:rPr>
      </w:pPr>
      <w:r>
        <w:rPr>
          <w:rFonts w:hint="eastAsia" w:ascii="楷体_GB2312" w:eastAsia="楷体_GB2312"/>
          <w:b/>
          <w:bCs w:val="0"/>
          <w:color w:val="auto"/>
          <w:szCs w:val="32"/>
        </w:rPr>
        <w:t>（二）经济损失</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color w:val="auto"/>
          <w:szCs w:val="32"/>
        </w:rPr>
      </w:pPr>
      <w:r>
        <w:rPr>
          <w:rFonts w:hint="eastAsia"/>
          <w:color w:val="auto"/>
          <w:szCs w:val="32"/>
        </w:rPr>
        <w:t>本起事故造成直接经济损失约人民币</w:t>
      </w:r>
      <w:r>
        <w:rPr>
          <w:rFonts w:hint="eastAsia"/>
          <w:color w:val="auto"/>
          <w:szCs w:val="32"/>
          <w:lang w:val="en-US" w:eastAsia="zh-CN"/>
        </w:rPr>
        <w:t>138</w:t>
      </w:r>
      <w:r>
        <w:rPr>
          <w:rFonts w:hint="eastAsia"/>
          <w:color w:val="auto"/>
          <w:szCs w:val="32"/>
        </w:rPr>
        <w:t>万元。</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黑体" w:hAnsi="黑体" w:eastAsia="黑体" w:cs="黑体"/>
          <w:b w:val="0"/>
          <w:bCs w:val="0"/>
          <w:color w:val="auto"/>
        </w:rPr>
      </w:pPr>
      <w:r>
        <w:rPr>
          <w:rFonts w:hint="eastAsia" w:ascii="黑体" w:eastAsia="黑体"/>
          <w:b w:val="0"/>
          <w:bCs/>
          <w:color w:val="auto"/>
          <w:szCs w:val="32"/>
        </w:rPr>
        <w:t>四</w:t>
      </w:r>
      <w:r>
        <w:rPr>
          <w:rFonts w:hint="eastAsia" w:ascii="黑体" w:eastAsia="黑体"/>
          <w:b w:val="0"/>
          <w:bCs/>
          <w:color w:val="auto"/>
          <w:szCs w:val="32"/>
          <w:lang w:eastAsia="zh-CN"/>
        </w:rPr>
        <w:t>、</w:t>
      </w:r>
      <w:r>
        <w:rPr>
          <w:rFonts w:hint="eastAsia" w:ascii="黑体" w:hAnsi="黑体" w:eastAsia="黑体" w:cs="黑体"/>
          <w:b w:val="0"/>
          <w:bCs w:val="0"/>
          <w:color w:val="auto"/>
          <w:lang w:eastAsia="zh-CN"/>
        </w:rPr>
        <w:t>事故</w:t>
      </w:r>
      <w:r>
        <w:rPr>
          <w:rFonts w:hint="eastAsia" w:ascii="黑体" w:hAnsi="黑体" w:eastAsia="黑体" w:cs="黑体"/>
          <w:b w:val="0"/>
          <w:bCs w:val="0"/>
          <w:color w:val="auto"/>
        </w:rPr>
        <w:t>原因</w:t>
      </w:r>
      <w:r>
        <w:rPr>
          <w:rFonts w:hint="eastAsia" w:ascii="黑体" w:hAnsi="黑体" w:eastAsia="黑体" w:cs="黑体"/>
          <w:b w:val="0"/>
          <w:bCs w:val="0"/>
          <w:color w:val="auto"/>
          <w:lang w:eastAsia="zh-CN"/>
        </w:rPr>
        <w:t>及</w:t>
      </w:r>
      <w:r>
        <w:rPr>
          <w:rFonts w:hint="eastAsia" w:ascii="黑体" w:hAnsi="黑体" w:eastAsia="黑体" w:cs="黑体"/>
          <w:b w:val="0"/>
          <w:bCs w:val="0"/>
          <w:color w:val="auto"/>
        </w:rPr>
        <w:t>性质</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（一）</w:t>
      </w:r>
      <w:r>
        <w:rPr>
          <w:rFonts w:hint="eastAsia" w:ascii="楷体_GB2312" w:hAnsi="Times New Roman" w:eastAsia="楷体_GB2312"/>
          <w:b/>
          <w:bCs w:val="0"/>
          <w:color w:val="auto"/>
          <w:szCs w:val="32"/>
          <w:lang w:eastAsia="zh-CN"/>
        </w:rPr>
        <w:t>事故</w:t>
      </w:r>
      <w:r>
        <w:rPr>
          <w:rFonts w:hint="eastAsia" w:ascii="楷体_GB2312" w:hAnsi="Times New Roman" w:eastAsia="楷体_GB2312"/>
          <w:b/>
          <w:bCs w:val="0"/>
          <w:color w:val="auto"/>
          <w:szCs w:val="32"/>
        </w:rPr>
        <w:t>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color w:val="auto"/>
          <w:szCs w:val="32"/>
        </w:rPr>
      </w:pPr>
      <w:r>
        <w:rPr>
          <w:rFonts w:hint="eastAsia"/>
          <w:b/>
          <w:color w:val="auto"/>
          <w:szCs w:val="32"/>
        </w:rPr>
        <w:t>1.直接原因</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default" w:cs="仿宋_GB2312"/>
          <w:color w:val="auto"/>
          <w:kern w:val="2"/>
          <w:sz w:val="32"/>
          <w:szCs w:val="22"/>
          <w:lang w:val="en-US" w:eastAsia="zh-CN" w:bidi="ar-SA"/>
        </w:rPr>
      </w:pPr>
      <w:r>
        <w:rPr>
          <w:rFonts w:hint="eastAsia" w:cs="仿宋_GB2312"/>
          <w:color w:val="auto"/>
          <w:kern w:val="2"/>
          <w:sz w:val="32"/>
          <w:szCs w:val="22"/>
          <w:lang w:val="en-US" w:eastAsia="zh-CN" w:bidi="ar-SA"/>
        </w:rPr>
        <w:t>作业人员在未佩戴安全防护装备的情况下进行高处临边作业，不慎从无防护措施的的电梯井摔落至地面。</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仿宋_GB2312" w:hAnsi="仿宋_GB2312" w:eastAsia="仿宋_GB2312" w:cs="仿宋_GB2312"/>
          <w:color w:val="auto"/>
          <w:szCs w:val="32"/>
          <w:lang w:eastAsia="zh-CN"/>
        </w:rPr>
      </w:pPr>
      <w:r>
        <w:rPr>
          <w:rFonts w:hint="eastAsia"/>
          <w:b/>
          <w:bCs/>
          <w:color w:val="auto"/>
        </w:rPr>
        <w:t>2.间接原因</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仿宋_GB2312" w:hAnsi="仿宋_GB2312" w:eastAsia="仿宋_GB2312" w:cs="仿宋_GB2312"/>
          <w:lang w:eastAsia="zh-CN"/>
        </w:rPr>
      </w:pPr>
      <w:r>
        <w:rPr>
          <w:rFonts w:hint="eastAsia" w:ascii="仿宋_GB2312" w:hAnsi="仿宋_GB2312" w:eastAsia="仿宋_GB2312" w:cs="仿宋_GB2312"/>
        </w:rPr>
        <w:t>（1）</w:t>
      </w:r>
      <w:r>
        <w:rPr>
          <w:rFonts w:hint="eastAsia" w:cs="仿宋_GB2312"/>
          <w:lang w:eastAsia="zh-CN"/>
        </w:rPr>
        <w:t>国兴</w:t>
      </w:r>
      <w:r>
        <w:rPr>
          <w:rFonts w:hint="eastAsia" w:ascii="仿宋_GB2312" w:hAnsi="仿宋_GB2312" w:eastAsia="仿宋_GB2312" w:cs="仿宋_GB2312"/>
        </w:rPr>
        <w:t>公司未落实安全生产主体责任。</w:t>
      </w:r>
      <w:r>
        <w:rPr>
          <w:rFonts w:hint="eastAsia" w:cs="仿宋_GB2312"/>
          <w:lang w:eastAsia="zh-CN"/>
        </w:rPr>
        <w:t>对高处临边作业风险辨识不足，未能及时消除生产安全事故隐患；作业现场安全监管不力，未确保作业人员落实安全防护措施；对作业人员的安全教育、安全交底流于形式，未督促作业人员严格执行本单位的安全规章制度和安全操作规程。</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lang w:eastAsia="zh-CN"/>
        </w:rPr>
      </w:pPr>
      <w:r>
        <w:rPr>
          <w:rFonts w:hint="eastAsia" w:cs="仿宋_GB2312"/>
          <w:lang w:eastAsia="zh-CN"/>
        </w:rPr>
        <w:t>（</w:t>
      </w:r>
      <w:r>
        <w:rPr>
          <w:rFonts w:hint="eastAsia" w:cs="仿宋_GB2312"/>
          <w:lang w:val="en-US" w:eastAsia="zh-CN"/>
        </w:rPr>
        <w:t>2</w:t>
      </w:r>
      <w:r>
        <w:rPr>
          <w:rFonts w:hint="eastAsia" w:cs="仿宋_GB2312"/>
          <w:lang w:eastAsia="zh-CN"/>
        </w:rPr>
        <w:t>）</w:t>
      </w:r>
      <w:r>
        <w:rPr>
          <w:rFonts w:hint="eastAsia" w:ascii="仿宋_GB2312" w:hAnsi="仿宋_GB2312" w:eastAsia="仿宋_GB2312" w:cs="仿宋_GB2312"/>
        </w:rPr>
        <w:t>中城公司未尽到总包方安全生产主体责任</w:t>
      </w:r>
      <w:r>
        <w:rPr>
          <w:rFonts w:hint="eastAsia" w:cs="仿宋_GB2312"/>
          <w:lang w:eastAsia="zh-CN"/>
        </w:rPr>
        <w:t>。对高处临边作业风险辨识不足，对</w:t>
      </w:r>
      <w:r>
        <w:rPr>
          <w:rFonts w:hint="eastAsia" w:ascii="仿宋_GB2312" w:hAnsi="仿宋_GB2312" w:eastAsia="仿宋_GB2312" w:cs="仿宋_GB2312"/>
        </w:rPr>
        <w:t>分包单位安全生产工作统一协调和管理</w:t>
      </w:r>
      <w:r>
        <w:rPr>
          <w:rFonts w:hint="eastAsia" w:cs="仿宋_GB2312"/>
          <w:lang w:eastAsia="zh-CN"/>
        </w:rPr>
        <w:t>不力；未能督促分包单位对作业人员进行有效的安全教育和安全交底。</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楷体_GB2312" w:eastAsia="楷体_GB2312" w:cs="楷体_GB2312"/>
          <w:b/>
          <w:bCs w:val="0"/>
          <w:color w:val="auto"/>
          <w:szCs w:val="32"/>
        </w:rPr>
      </w:pPr>
      <w:r>
        <w:rPr>
          <w:rFonts w:hint="eastAsia" w:ascii="楷体_GB2312" w:hAnsi="楷体_GB2312" w:eastAsia="楷体_GB2312" w:cs="楷体_GB2312"/>
          <w:b/>
          <w:bCs w:val="0"/>
          <w:color w:val="auto"/>
          <w:szCs w:val="32"/>
        </w:rPr>
        <w:t>（二）事故性质</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olor w:val="auto"/>
        </w:rPr>
      </w:pPr>
      <w:r>
        <w:rPr>
          <w:rFonts w:hint="eastAsia" w:ascii="仿宋_GB2312" w:hAnsi="仿宋_GB2312" w:eastAsia="仿宋_GB2312" w:cs="仿宋_GB2312"/>
          <w:color w:val="auto"/>
        </w:rPr>
        <w:t>经事故调查组调查认定，</w:t>
      </w:r>
      <w:r>
        <w:rPr>
          <w:rFonts w:hint="eastAsia" w:cs="仿宋_GB2312"/>
          <w:color w:val="auto"/>
          <w:lang w:eastAsia="zh-CN"/>
        </w:rPr>
        <w:t>该事故系一般</w:t>
      </w:r>
      <w:r>
        <w:rPr>
          <w:rFonts w:hint="eastAsia" w:ascii="仿宋_GB2312" w:hAnsi="仿宋_GB2312" w:eastAsia="仿宋_GB2312" w:cs="仿宋_GB2312"/>
          <w:color w:val="auto"/>
        </w:rPr>
        <w:t>生产安全责任事故。</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val="0"/>
          <w:bCs w:val="0"/>
          <w:color w:val="auto"/>
          <w:szCs w:val="32"/>
        </w:rPr>
      </w:pPr>
      <w:r>
        <w:rPr>
          <w:rFonts w:hint="eastAsia" w:ascii="黑体" w:hAnsi="黑体" w:eastAsia="黑体" w:cs="黑体"/>
          <w:b w:val="0"/>
          <w:bCs w:val="0"/>
          <w:color w:val="auto"/>
          <w:lang w:eastAsia="zh-CN"/>
        </w:rPr>
        <w:t>五</w:t>
      </w:r>
      <w:r>
        <w:rPr>
          <w:rFonts w:hint="eastAsia" w:ascii="黑体" w:hAnsi="黑体" w:eastAsia="黑体" w:cs="黑体"/>
          <w:b w:val="0"/>
          <w:bCs w:val="0"/>
          <w:color w:val="auto"/>
        </w:rPr>
        <w:t>、责任认定及处理建议</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b/>
          <w:bCs w:val="0"/>
          <w:i w:val="0"/>
          <w:iCs w:val="0"/>
          <w:color w:val="auto"/>
          <w:szCs w:val="32"/>
        </w:rPr>
      </w:pPr>
      <w:r>
        <w:rPr>
          <w:rFonts w:hint="eastAsia" w:ascii="楷体_GB2312" w:eastAsia="楷体_GB2312"/>
          <w:b/>
          <w:bCs w:val="0"/>
          <w:i w:val="0"/>
          <w:iCs w:val="0"/>
          <w:color w:val="auto"/>
          <w:szCs w:val="32"/>
        </w:rPr>
        <w:t>（</w:t>
      </w:r>
      <w:r>
        <w:rPr>
          <w:rFonts w:hint="eastAsia" w:ascii="楷体_GB2312" w:eastAsia="楷体_GB2312"/>
          <w:b/>
          <w:bCs w:val="0"/>
          <w:i w:val="0"/>
          <w:iCs w:val="0"/>
          <w:color w:val="auto"/>
          <w:szCs w:val="32"/>
          <w:lang w:eastAsia="zh-CN"/>
        </w:rPr>
        <w:t>一</w:t>
      </w:r>
      <w:r>
        <w:rPr>
          <w:rFonts w:hint="eastAsia" w:ascii="楷体_GB2312" w:eastAsia="楷体_GB2312"/>
          <w:b/>
          <w:bCs w:val="0"/>
          <w:i w:val="0"/>
          <w:iCs w:val="0"/>
          <w:color w:val="auto"/>
          <w:szCs w:val="32"/>
        </w:rPr>
        <w:t>）责任单位</w:t>
      </w:r>
      <w:r>
        <w:rPr>
          <w:rFonts w:hint="eastAsia" w:ascii="楷体_GB2312" w:eastAsia="楷体_GB2312"/>
          <w:b/>
          <w:bCs w:val="0"/>
          <w:i w:val="0"/>
          <w:iCs w:val="0"/>
          <w:color w:val="auto"/>
          <w:szCs w:val="32"/>
          <w:lang w:eastAsia="zh-CN"/>
        </w:rPr>
        <w:t>的</w:t>
      </w:r>
      <w:r>
        <w:rPr>
          <w:rFonts w:hint="eastAsia" w:ascii="楷体_GB2312" w:eastAsia="楷体_GB2312"/>
          <w:b/>
          <w:bCs w:val="0"/>
          <w:i w:val="0"/>
          <w:iCs w:val="0"/>
          <w:color w:val="auto"/>
          <w:szCs w:val="32"/>
        </w:rPr>
        <w:t>认定</w:t>
      </w:r>
      <w:r>
        <w:rPr>
          <w:rFonts w:hint="eastAsia" w:ascii="楷体_GB2312" w:eastAsia="楷体_GB2312"/>
          <w:b/>
          <w:bCs w:val="0"/>
          <w:i w:val="0"/>
          <w:iCs w:val="0"/>
          <w:color w:val="auto"/>
          <w:szCs w:val="32"/>
          <w:lang w:eastAsia="zh-CN"/>
        </w:rPr>
        <w:t>及</w:t>
      </w:r>
      <w:r>
        <w:rPr>
          <w:rFonts w:hint="eastAsia" w:ascii="楷体_GB2312" w:eastAsia="楷体_GB2312"/>
          <w:b/>
          <w:bCs w:val="0"/>
          <w:i w:val="0"/>
          <w:iCs w:val="0"/>
          <w:color w:val="auto"/>
          <w:szCs w:val="32"/>
        </w:rPr>
        <w:t>处理</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eastAsia="仿宋_GB2312" w:cs="仿宋_GB2312"/>
          <w:color w:val="auto"/>
          <w:lang w:val="en-US" w:eastAsia="zh-CN"/>
        </w:rPr>
      </w:pPr>
      <w:r>
        <w:rPr>
          <w:rFonts w:hint="eastAsia" w:cs="仿宋_GB2312"/>
          <w:color w:val="auto"/>
          <w:lang w:val="en-US" w:eastAsia="zh-CN"/>
        </w:rPr>
        <w:t>国兴公司未落实安全生产主体责任。对高处临边作业风险辨识不足，未能及时消除生产安全事故隐患；作业现场安全监管不力，未确保作业人员落实安全防护措施；对作业人员的安全教育、安全交底流于形式，未督促作业人员严格执行本单位的安全规章制度和安全操作规程。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ascii="楷体_GB2312" w:hAnsi="Times New Roman" w:eastAsia="楷体_GB2312"/>
          <w:b/>
          <w:bCs w:val="0"/>
          <w:color w:val="auto"/>
          <w:szCs w:val="32"/>
        </w:rPr>
      </w:pPr>
      <w:r>
        <w:rPr>
          <w:rFonts w:hint="eastAsia" w:ascii="仿宋_GB2312" w:hAnsi="仿宋_GB2312" w:eastAsia="仿宋_GB2312" w:cs="仿宋_GB2312"/>
          <w:color w:val="auto"/>
          <w:szCs w:val="32"/>
        </w:rPr>
        <w:t>建议区</w:t>
      </w:r>
      <w:r>
        <w:rPr>
          <w:rFonts w:hint="eastAsia" w:cs="仿宋_GB2312"/>
          <w:color w:val="auto"/>
          <w:szCs w:val="32"/>
          <w:lang w:eastAsia="zh-CN"/>
        </w:rPr>
        <w:t>应急局</w:t>
      </w:r>
      <w:r>
        <w:rPr>
          <w:rFonts w:hint="eastAsia" w:ascii="仿宋_GB2312" w:hAnsi="仿宋_GB2312" w:eastAsia="仿宋_GB2312" w:cs="仿宋_GB2312"/>
          <w:color w:val="auto"/>
          <w:szCs w:val="32"/>
        </w:rPr>
        <w:t>依据相关法律法规对</w:t>
      </w:r>
      <w:r>
        <w:rPr>
          <w:rFonts w:hint="eastAsia" w:cs="仿宋_GB2312"/>
          <w:color w:val="auto"/>
          <w:szCs w:val="32"/>
          <w:lang w:eastAsia="zh-CN"/>
        </w:rPr>
        <w:t>国兴</w:t>
      </w:r>
      <w:r>
        <w:rPr>
          <w:rFonts w:hint="eastAsia" w:cs="仿宋_GB2312"/>
          <w:color w:val="auto"/>
          <w:lang w:val="en-US" w:eastAsia="zh-CN"/>
        </w:rPr>
        <w:t>公司</w:t>
      </w:r>
      <w:r>
        <w:rPr>
          <w:rFonts w:hint="eastAsia" w:ascii="仿宋_GB2312" w:hAnsi="仿宋_GB2312" w:eastAsia="仿宋_GB2312" w:cs="仿宋_GB2312"/>
          <w:color w:val="auto"/>
          <w:szCs w:val="32"/>
        </w:rPr>
        <w:t>给予行政处罚。</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ascii="楷体_GB2312" w:hAnsi="Times New Roman" w:eastAsia="楷体_GB2312"/>
          <w:b/>
          <w:bCs w:val="0"/>
          <w:color w:val="auto"/>
          <w:szCs w:val="32"/>
        </w:rPr>
      </w:pPr>
      <w:r>
        <w:rPr>
          <w:rFonts w:hint="eastAsia" w:ascii="楷体_GB2312" w:hAnsi="Times New Roman" w:eastAsia="楷体_GB2312"/>
          <w:b/>
          <w:bCs w:val="0"/>
          <w:color w:val="auto"/>
          <w:szCs w:val="32"/>
        </w:rPr>
        <w:t>（</w:t>
      </w:r>
      <w:r>
        <w:rPr>
          <w:rFonts w:hint="eastAsia" w:ascii="楷体_GB2312" w:hAnsi="Times New Roman" w:eastAsia="楷体_GB2312"/>
          <w:b/>
          <w:bCs w:val="0"/>
          <w:color w:val="auto"/>
          <w:szCs w:val="32"/>
          <w:lang w:eastAsia="zh-CN"/>
        </w:rPr>
        <w:t>二</w:t>
      </w:r>
      <w:r>
        <w:rPr>
          <w:rFonts w:hint="eastAsia" w:ascii="楷体_GB2312" w:hAnsi="Times New Roman" w:eastAsia="楷体_GB2312"/>
          <w:b/>
          <w:bCs w:val="0"/>
          <w:color w:val="auto"/>
          <w:szCs w:val="32"/>
        </w:rPr>
        <w:t>）责任人员的认定及处理</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1.熊某某，国兴公司辅助工。安全意识淡薄，对作业环境不掌握，未规范佩戴、使用劳动防护用品。对事故发生负有责任，鉴于已在事故中死亡，建议不追究责任。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eastAsia" w:cs="仿宋_GB2312"/>
          <w:color w:val="auto"/>
          <w:lang w:val="en-US" w:eastAsia="zh-CN"/>
        </w:rPr>
      </w:pPr>
      <w:r>
        <w:rPr>
          <w:rFonts w:hint="eastAsia" w:cs="仿宋_GB2312"/>
          <w:color w:val="auto"/>
          <w:lang w:val="en-US" w:eastAsia="zh-CN"/>
        </w:rPr>
        <w:t>2.刘功启，国兴公司班组长。对作业人员安全交底流于形式，现场安全监护不到位，未督促作业人员规范佩戴、使用劳动防护用品。对事故发生负有责任。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default"/>
          <w:lang w:val="en-US" w:eastAsia="zh-CN"/>
        </w:rPr>
      </w:pPr>
      <w:r>
        <w:rPr>
          <w:rFonts w:hint="eastAsia" w:cs="仿宋_GB2312"/>
          <w:color w:val="auto"/>
          <w:lang w:val="en-US" w:eastAsia="zh-CN"/>
        </w:rPr>
        <w:t>3.谢世臣，国兴公司安全员助理。对现场安全检查不到位，未能及时制止并纠正违章作业行为。对事故发生负有责任。</w:t>
      </w:r>
    </w:p>
    <w:p>
      <w:pPr>
        <w:keepNext w:val="0"/>
        <w:keepLines w:val="0"/>
        <w:pageBreakBefore w:val="0"/>
        <w:widowControl w:val="0"/>
        <w:kinsoku/>
        <w:wordWrap/>
        <w:topLinePunct w:val="0"/>
        <w:autoSpaceDE/>
        <w:autoSpaceDN/>
        <w:bidi w:val="0"/>
        <w:adjustRightInd/>
        <w:snapToGrid/>
        <w:spacing w:line="560" w:lineRule="exact"/>
        <w:ind w:firstLine="640"/>
        <w:textAlignment w:val="auto"/>
        <w:rPr>
          <w:rFonts w:hint="default" w:cs="仿宋_GB2312"/>
          <w:color w:val="auto"/>
          <w:lang w:val="en-US" w:eastAsia="zh-CN"/>
        </w:rPr>
      </w:pPr>
      <w:r>
        <w:rPr>
          <w:rFonts w:hint="eastAsia" w:cs="仿宋_GB2312"/>
          <w:color w:val="auto"/>
          <w:lang w:val="en-US" w:eastAsia="zh-CN"/>
        </w:rPr>
        <w:t>4.南海洋，国兴公司项目负责人。安全生产履职不力，对高处临边作业风险辨识不足，未能有效组织现场员工开展安全教育，未能督促检查事发项目的安全生产工作。对事故发生负有责任。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color w:val="auto"/>
          <w:lang w:val="en-US" w:eastAsia="zh-CN"/>
        </w:rPr>
      </w:pPr>
      <w:r>
        <w:rPr>
          <w:rFonts w:hint="eastAsia" w:ascii="仿宋_GB2312" w:hAnsi="仿宋_GB2312" w:eastAsia="仿宋_GB2312" w:cs="仿宋_GB2312"/>
          <w:color w:val="auto"/>
          <w:lang w:eastAsia="zh-CN"/>
        </w:rPr>
        <w:t>建议</w:t>
      </w:r>
      <w:r>
        <w:rPr>
          <w:rFonts w:hint="eastAsia" w:cs="仿宋_GB2312"/>
          <w:color w:val="auto"/>
          <w:lang w:eastAsia="zh-CN"/>
        </w:rPr>
        <w:t>国兴</w:t>
      </w:r>
      <w:r>
        <w:rPr>
          <w:rFonts w:hint="eastAsia" w:cs="仿宋_GB2312"/>
          <w:color w:val="auto"/>
          <w:lang w:val="en-US" w:eastAsia="zh-CN"/>
        </w:rPr>
        <w:t>公司</w:t>
      </w:r>
      <w:r>
        <w:rPr>
          <w:rFonts w:hint="eastAsia" w:ascii="仿宋_GB2312" w:hAnsi="仿宋_GB2312" w:eastAsia="仿宋_GB2312" w:cs="仿宋_GB2312"/>
          <w:color w:val="auto"/>
          <w:lang w:eastAsia="zh-CN"/>
        </w:rPr>
        <w:t>对上述事故责任人员及其他相关人员按照企业规定给予处理。</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eastAsia="仿宋_GB2312" w:cs="仿宋_GB2312"/>
          <w:color w:val="auto"/>
          <w:lang w:val="en-US" w:eastAsia="zh-CN"/>
        </w:rPr>
      </w:pPr>
      <w:r>
        <w:rPr>
          <w:rFonts w:hint="eastAsia" w:cs="仿宋_GB2312"/>
          <w:color w:val="auto"/>
          <w:lang w:val="en-US" w:eastAsia="zh-CN"/>
        </w:rPr>
        <w:t>5.张敏，中城公司安全员。未对作业人员进行安全教育培训，对作业现场安全检查不力，未能及时排查并消除事故隐患。对事故发生负有责任。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eastAsia" w:cs="仿宋_GB2312"/>
          <w:color w:val="auto"/>
          <w:lang w:val="en-US" w:eastAsia="zh-CN"/>
        </w:rPr>
      </w:pPr>
      <w:r>
        <w:rPr>
          <w:rFonts w:hint="eastAsia" w:cs="仿宋_GB2312"/>
          <w:color w:val="auto"/>
          <w:lang w:val="en-US" w:eastAsia="zh-CN"/>
        </w:rPr>
        <w:t>6.杨臻，中城公司项目经理。安全生产履职不力，未能督查检查事发项目的安全生产工作，对劳务单位管理人员履职不力情况失察失管。对事故发生负有责任</w:t>
      </w:r>
    </w:p>
    <w:p>
      <w:pPr>
        <w:keepNext w:val="0"/>
        <w:keepLines w:val="0"/>
        <w:pageBreakBefore w:val="0"/>
        <w:widowControl w:val="0"/>
        <w:kinsoku/>
        <w:wordWrap/>
        <w:topLinePunct w:val="0"/>
        <w:autoSpaceDE/>
        <w:autoSpaceDN/>
        <w:bidi w:val="0"/>
        <w:adjustRightInd/>
        <w:snapToGrid/>
        <w:spacing w:line="560" w:lineRule="exact"/>
        <w:ind w:firstLine="643"/>
        <w:jc w:val="both"/>
        <w:textAlignment w:val="auto"/>
        <w:rPr>
          <w:rFonts w:hint="default"/>
          <w:lang w:val="en-US" w:eastAsia="zh-CN"/>
        </w:rPr>
      </w:pPr>
      <w:r>
        <w:rPr>
          <w:rFonts w:hint="eastAsia" w:ascii="仿宋_GB2312" w:hAnsi="仿宋_GB2312" w:eastAsia="仿宋_GB2312" w:cs="仿宋_GB2312"/>
          <w:color w:val="auto"/>
          <w:lang w:eastAsia="zh-CN"/>
        </w:rPr>
        <w:t>建议</w:t>
      </w:r>
      <w:r>
        <w:rPr>
          <w:rFonts w:hint="eastAsia" w:cs="仿宋_GB2312"/>
          <w:color w:val="auto"/>
          <w:lang w:val="en-US" w:eastAsia="zh-CN"/>
        </w:rPr>
        <w:t>中城公司</w:t>
      </w:r>
      <w:r>
        <w:rPr>
          <w:rFonts w:hint="eastAsia" w:ascii="仿宋_GB2312" w:hAnsi="仿宋_GB2312" w:eastAsia="仿宋_GB2312" w:cs="仿宋_GB2312"/>
          <w:color w:val="auto"/>
          <w:lang w:eastAsia="zh-CN"/>
        </w:rPr>
        <w:t>对上述事故责任人员及其他相关人员按照企业规定给予处理。</w:t>
      </w:r>
    </w:p>
    <w:p>
      <w:pPr>
        <w:keepNext w:val="0"/>
        <w:keepLines w:val="0"/>
        <w:pageBreakBefore w:val="0"/>
        <w:widowControl w:val="0"/>
        <w:kinsoku/>
        <w:wordWrap/>
        <w:topLinePunct w:val="0"/>
        <w:autoSpaceDE/>
        <w:autoSpaceDN/>
        <w:bidi w:val="0"/>
        <w:adjustRightInd/>
        <w:snapToGrid/>
        <w:spacing w:line="560" w:lineRule="exact"/>
        <w:ind w:firstLine="643"/>
        <w:textAlignment w:val="auto"/>
        <w:rPr>
          <w:rFonts w:hint="eastAsia" w:ascii="黑体" w:eastAsia="黑体"/>
          <w:b w:val="0"/>
          <w:bCs/>
          <w:color w:val="auto"/>
          <w:szCs w:val="32"/>
          <w:lang w:eastAsia="zh-CN"/>
        </w:rPr>
      </w:pPr>
      <w:r>
        <w:rPr>
          <w:rFonts w:hint="eastAsia" w:ascii="黑体" w:eastAsia="黑体"/>
          <w:b w:val="0"/>
          <w:bCs/>
          <w:color w:val="auto"/>
          <w:szCs w:val="32"/>
          <w:lang w:eastAsia="zh-CN"/>
        </w:rPr>
        <w:t>六</w:t>
      </w:r>
      <w:r>
        <w:rPr>
          <w:rFonts w:hint="eastAsia" w:ascii="黑体" w:eastAsia="黑体"/>
          <w:b w:val="0"/>
          <w:bCs/>
          <w:color w:val="auto"/>
          <w:szCs w:val="32"/>
        </w:rPr>
        <w:t>、事故</w:t>
      </w:r>
      <w:r>
        <w:rPr>
          <w:rFonts w:hint="eastAsia" w:ascii="黑体" w:eastAsia="黑体"/>
          <w:b w:val="0"/>
          <w:bCs/>
          <w:color w:val="auto"/>
          <w:szCs w:val="32"/>
          <w:lang w:eastAsia="zh-CN"/>
        </w:rPr>
        <w:t>教训</w:t>
      </w:r>
    </w:p>
    <w:p>
      <w:pPr>
        <w:keepNext w:val="0"/>
        <w:keepLines w:val="0"/>
        <w:pageBreakBefore w:val="0"/>
        <w:widowControl w:val="0"/>
        <w:kinsoku/>
        <w:wordWrap/>
        <w:overflowPunct w:val="0"/>
        <w:topLinePunct w:val="0"/>
        <w:autoSpaceDE/>
        <w:autoSpaceDN/>
        <w:bidi w:val="0"/>
        <w:adjustRightInd/>
        <w:snapToGrid/>
        <w:spacing w:line="560" w:lineRule="exact"/>
        <w:ind w:firstLine="640" w:firstLineChars="200"/>
        <w:textAlignment w:val="auto"/>
        <w:outlineLvl w:val="9"/>
        <w:rPr>
          <w:rFonts w:hint="eastAsia" w:ascii="仿宋_GB2312" w:hAnsi="仿宋_GB2312" w:eastAsia="仿宋_GB2312" w:cs="仿宋_GB2312"/>
          <w:color w:val="auto"/>
          <w:szCs w:val="32"/>
        </w:rPr>
      </w:pPr>
      <w:r>
        <w:rPr>
          <w:rFonts w:hint="eastAsia" w:ascii="仿宋_GB2312" w:hAnsi="仿宋_GB2312" w:eastAsia="仿宋_GB2312" w:cs="仿宋_GB2312"/>
          <w:color w:val="auto"/>
          <w:szCs w:val="32"/>
        </w:rPr>
        <w:t>针对“</w:t>
      </w:r>
      <w:r>
        <w:rPr>
          <w:rFonts w:hint="eastAsia" w:cs="仿宋_GB2312"/>
          <w:color w:val="auto"/>
          <w:szCs w:val="32"/>
          <w:lang w:val="en-US" w:eastAsia="zh-CN"/>
        </w:rPr>
        <w:t>3·31</w:t>
      </w:r>
      <w:r>
        <w:rPr>
          <w:rFonts w:hint="eastAsia" w:ascii="仿宋_GB2312" w:hAnsi="仿宋_GB2312" w:eastAsia="仿宋_GB2312" w:cs="仿宋_GB2312"/>
          <w:color w:val="auto"/>
          <w:szCs w:val="32"/>
        </w:rPr>
        <w:t>”事故暴露出的问题，相关</w:t>
      </w:r>
      <w:r>
        <w:rPr>
          <w:rFonts w:hint="eastAsia" w:cs="仿宋_GB2312"/>
          <w:color w:val="auto"/>
          <w:szCs w:val="32"/>
          <w:lang w:eastAsia="zh-CN"/>
        </w:rPr>
        <w:t>单位</w:t>
      </w:r>
      <w:r>
        <w:rPr>
          <w:rFonts w:hint="eastAsia" w:ascii="仿宋_GB2312" w:hAnsi="仿宋_GB2312" w:eastAsia="仿宋_GB2312" w:cs="仿宋_GB2312"/>
          <w:color w:val="auto"/>
          <w:szCs w:val="32"/>
        </w:rPr>
        <w:t>思想上要高度重视，深刻吸取事故教训，加强风险防控，抓好源头治理和事故预防，坚决</w:t>
      </w:r>
      <w:r>
        <w:rPr>
          <w:rFonts w:hint="eastAsia" w:cs="仿宋_GB2312"/>
          <w:color w:val="auto"/>
          <w:szCs w:val="32"/>
          <w:lang w:eastAsia="zh-CN"/>
        </w:rPr>
        <w:t>杜绝</w:t>
      </w:r>
      <w:r>
        <w:rPr>
          <w:rFonts w:hint="eastAsia" w:ascii="仿宋_GB2312" w:hAnsi="仿宋_GB2312" w:eastAsia="仿宋_GB2312" w:cs="仿宋_GB2312"/>
          <w:color w:val="auto"/>
          <w:szCs w:val="32"/>
        </w:rPr>
        <w:t>类似事故发生。</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一</w:t>
      </w:r>
      <w:r>
        <w:rPr>
          <w:rFonts w:hint="eastAsia" w:ascii="楷体_GB2312" w:hAnsi="楷体_GB2312" w:eastAsia="楷体_GB2312" w:cs="楷体_GB2312"/>
          <w:b/>
          <w:bCs/>
          <w:color w:val="auto"/>
          <w:szCs w:val="32"/>
        </w:rPr>
        <w:t>）吸取事故教训，落实主体责任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color w:val="auto"/>
          <w:szCs w:val="32"/>
          <w:lang w:eastAsia="zh-CN"/>
        </w:rPr>
        <w:t>相关</w:t>
      </w:r>
      <w:r>
        <w:rPr>
          <w:rFonts w:hint="eastAsia" w:ascii="仿宋_GB2312" w:hAnsi="仿宋_GB2312" w:eastAsia="仿宋_GB2312" w:cs="仿宋_GB2312"/>
          <w:color w:val="auto"/>
          <w:szCs w:val="32"/>
        </w:rPr>
        <w:t>企业要认真剖析导致事故发生的原因，要充分认识并深刻吸取事故带来的教训，</w:t>
      </w:r>
      <w:r>
        <w:rPr>
          <w:rFonts w:hint="eastAsia" w:cs="仿宋_GB2312"/>
          <w:color w:val="auto"/>
          <w:szCs w:val="32"/>
          <w:lang w:eastAsia="zh-CN"/>
        </w:rPr>
        <w:t>牢固树立红线意识，有效落实全员安全生产责任制</w:t>
      </w:r>
      <w:r>
        <w:rPr>
          <w:rFonts w:hint="eastAsia" w:ascii="仿宋_GB2312" w:hAnsi="仿宋_GB2312" w:eastAsia="仿宋_GB2312" w:cs="仿宋_GB2312"/>
          <w:color w:val="auto"/>
          <w:szCs w:val="32"/>
        </w:rPr>
        <w:t>，认真开展事故隐患排查治理，夯实安全生产各项基础工作，切实履行安全生产主体责任，及时有效化解事故风险隐患。</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二</w:t>
      </w:r>
      <w:r>
        <w:rPr>
          <w:rFonts w:hint="eastAsia" w:ascii="楷体_GB2312" w:hAnsi="楷体_GB2312" w:eastAsia="楷体_GB2312" w:cs="楷体_GB2312"/>
          <w:b/>
          <w:bCs/>
          <w:color w:val="auto"/>
          <w:szCs w:val="32"/>
        </w:rPr>
        <w:t>）加强人员培训，强化现场管控</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w:t>
      </w:r>
      <w:r>
        <w:rPr>
          <w:rFonts w:hint="eastAsia" w:ascii="仿宋_GB2312" w:hAnsi="仿宋_GB2312" w:eastAsia="仿宋_GB2312" w:cs="仿宋_GB2312"/>
          <w:b w:val="0"/>
          <w:bCs w:val="0"/>
          <w:color w:val="auto"/>
          <w:szCs w:val="32"/>
        </w:rPr>
        <w:t>企业要进一步强化对现场作业人员安全防护技能及安全防护意识的教育培训。特别是对于高处作业、临边临水等情况，在做好入职三级教育的基础上，要结合作业人员实际工作内容，采取实操式、体验式的方式提升现场作业人员安全技能和防范意识。现场管理人员要加大对作业现场，特别是对劳务派遣人员作业过程的现场管控</w:t>
      </w:r>
      <w:r>
        <w:rPr>
          <w:rFonts w:hint="eastAsia" w:cs="仿宋_GB2312"/>
          <w:b w:val="0"/>
          <w:bCs w:val="0"/>
          <w:color w:val="auto"/>
          <w:szCs w:val="32"/>
          <w:lang w:eastAsia="zh-CN"/>
        </w:rPr>
        <w:t>，</w:t>
      </w:r>
      <w:r>
        <w:rPr>
          <w:rFonts w:hint="eastAsia" w:ascii="仿宋_GB2312" w:hAnsi="仿宋_GB2312" w:eastAsia="仿宋_GB2312" w:cs="仿宋_GB2312"/>
          <w:b w:val="0"/>
          <w:bCs w:val="0"/>
          <w:color w:val="auto"/>
          <w:szCs w:val="32"/>
        </w:rPr>
        <w:t>督促作业人员切实担负起作业过程中的安全防范责任。</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3" w:firstLineChars="200"/>
        <w:textAlignment w:val="auto"/>
        <w:outlineLvl w:val="9"/>
        <w:rPr>
          <w:rFonts w:hint="eastAsia" w:ascii="楷体_GB2312" w:hAnsi="楷体_GB2312" w:eastAsia="楷体_GB2312" w:cs="楷体_GB2312"/>
          <w:b/>
          <w:bCs/>
          <w:color w:val="auto"/>
          <w:szCs w:val="32"/>
          <w:lang w:eastAsia="zh-CN"/>
        </w:rPr>
      </w:pPr>
      <w:r>
        <w:rPr>
          <w:rFonts w:hint="eastAsia" w:ascii="楷体_GB2312" w:hAnsi="楷体_GB2312" w:eastAsia="楷体_GB2312" w:cs="楷体_GB2312"/>
          <w:b/>
          <w:bCs/>
          <w:color w:val="auto"/>
          <w:szCs w:val="32"/>
        </w:rPr>
        <w:t>（</w:t>
      </w:r>
      <w:r>
        <w:rPr>
          <w:rFonts w:hint="eastAsia" w:ascii="楷体_GB2312" w:hAnsi="楷体_GB2312" w:eastAsia="楷体_GB2312" w:cs="楷体_GB2312"/>
          <w:b/>
          <w:bCs/>
          <w:color w:val="auto"/>
          <w:szCs w:val="32"/>
          <w:lang w:eastAsia="zh-CN"/>
        </w:rPr>
        <w:t>三</w:t>
      </w:r>
      <w:r>
        <w:rPr>
          <w:rFonts w:hint="eastAsia" w:ascii="楷体_GB2312" w:hAnsi="楷体_GB2312" w:eastAsia="楷体_GB2312" w:cs="楷体_GB2312"/>
          <w:b/>
          <w:bCs/>
          <w:color w:val="auto"/>
          <w:szCs w:val="32"/>
        </w:rPr>
        <w:t>）突出重点</w:t>
      </w:r>
      <w:r>
        <w:rPr>
          <w:rFonts w:hint="eastAsia" w:ascii="楷体_GB2312" w:hAnsi="楷体_GB2312" w:eastAsia="楷体_GB2312" w:cs="楷体_GB2312"/>
          <w:b/>
          <w:bCs/>
          <w:color w:val="auto"/>
          <w:szCs w:val="32"/>
          <w:lang w:eastAsia="zh-CN"/>
        </w:rPr>
        <w:t>部位</w:t>
      </w:r>
      <w:r>
        <w:rPr>
          <w:rFonts w:hint="eastAsia" w:ascii="楷体_GB2312" w:hAnsi="楷体_GB2312" w:eastAsia="楷体_GB2312" w:cs="楷体_GB2312"/>
          <w:b/>
          <w:bCs/>
          <w:color w:val="auto"/>
          <w:szCs w:val="32"/>
        </w:rPr>
        <w:t>，预防</w:t>
      </w:r>
      <w:r>
        <w:rPr>
          <w:rFonts w:hint="eastAsia" w:ascii="楷体_GB2312" w:hAnsi="楷体_GB2312" w:eastAsia="楷体_GB2312" w:cs="楷体_GB2312"/>
          <w:b/>
          <w:bCs/>
          <w:color w:val="auto"/>
          <w:szCs w:val="32"/>
          <w:lang w:eastAsia="zh-CN"/>
        </w:rPr>
        <w:t>高坠</w:t>
      </w:r>
      <w:r>
        <w:rPr>
          <w:rFonts w:hint="eastAsia" w:ascii="楷体_GB2312" w:hAnsi="楷体_GB2312" w:eastAsia="楷体_GB2312" w:cs="楷体_GB2312"/>
          <w:b/>
          <w:bCs/>
          <w:color w:val="auto"/>
          <w:szCs w:val="32"/>
        </w:rPr>
        <w:t>事故</w:t>
      </w:r>
    </w:p>
    <w:p>
      <w:pPr>
        <w:keepNext w:val="0"/>
        <w:keepLines w:val="0"/>
        <w:pageBreakBefore w:val="0"/>
        <w:widowControl w:val="0"/>
        <w:kinsoku/>
        <w:wordWrap/>
        <w:overflowPunct w:val="0"/>
        <w:topLinePunct w:val="0"/>
        <w:autoSpaceDE/>
        <w:autoSpaceDN/>
        <w:bidi w:val="0"/>
        <w:adjustRightInd/>
        <w:snapToGrid/>
        <w:spacing w:line="560" w:lineRule="exact"/>
        <w:ind w:left="0" w:leftChars="0" w:firstLine="640" w:firstLineChars="200"/>
        <w:textAlignment w:val="auto"/>
        <w:outlineLvl w:val="9"/>
        <w:rPr>
          <w:rFonts w:hint="eastAsia" w:ascii="仿宋_GB2312" w:hAnsi="仿宋_GB2312" w:eastAsia="仿宋_GB2312" w:cs="仿宋_GB2312"/>
          <w:b w:val="0"/>
          <w:bCs w:val="0"/>
          <w:color w:val="auto"/>
          <w:szCs w:val="32"/>
        </w:rPr>
      </w:pPr>
      <w:r>
        <w:rPr>
          <w:rFonts w:hint="eastAsia" w:cs="仿宋_GB2312"/>
          <w:b w:val="0"/>
          <w:bCs w:val="0"/>
          <w:color w:val="auto"/>
          <w:szCs w:val="32"/>
          <w:lang w:eastAsia="zh-CN"/>
        </w:rPr>
        <w:t>相关企业</w:t>
      </w:r>
      <w:r>
        <w:rPr>
          <w:rFonts w:hint="eastAsia" w:ascii="仿宋_GB2312" w:hAnsi="仿宋_GB2312" w:eastAsia="仿宋_GB2312" w:cs="仿宋_GB2312"/>
          <w:b w:val="0"/>
          <w:bCs w:val="0"/>
          <w:color w:val="auto"/>
          <w:szCs w:val="32"/>
        </w:rPr>
        <w:t>要严格落实施工高处作业中的操作平台、临边、洞口、攀登、悬空、交叉作业及安全网搭设等各项作业安全措施。重点自查施工高处作业中操作平台的专项方案编制、搭设、使用、安全检查及验收保养情况；“四口”、“五临边”的各项安全防护措施落实情况；安全防护棚搭设情况；建筑施工安全网搭设情况等。建立检查排查台账，不留死角，强化责任落实，堵塞漏洞，严防事故发生。</w:t>
      </w:r>
    </w:p>
    <w:p>
      <w:pPr>
        <w:keepNext w:val="0"/>
        <w:keepLines w:val="0"/>
        <w:pageBreakBefore w:val="0"/>
        <w:widowControl w:val="0"/>
        <w:kinsoku/>
        <w:wordWrap/>
        <w:topLinePunct w:val="0"/>
        <w:autoSpaceDE/>
        <w:autoSpaceDN/>
        <w:bidi w:val="0"/>
        <w:adjustRightInd/>
        <w:snapToGrid/>
        <w:spacing w:line="560" w:lineRule="exact"/>
        <w:ind w:left="0" w:leftChars="0" w:firstLine="0" w:firstLineChars="0"/>
        <w:jc w:val="both"/>
        <w:textAlignment w:val="auto"/>
        <w:rPr>
          <w:rFonts w:hint="eastAsia"/>
          <w:color w:val="auto"/>
          <w:lang w:val="en-US" w:eastAsia="zh-CN"/>
        </w:rPr>
      </w:pPr>
    </w:p>
    <w:p>
      <w:pPr>
        <w:pStyle w:val="8"/>
        <w:ind w:left="0" w:leftChars="0" w:firstLine="0" w:firstLineChars="0"/>
        <w:rPr>
          <w:rFonts w:hint="eastAsia"/>
          <w:lang w:val="en-US" w:eastAsia="zh-CN"/>
        </w:rPr>
      </w:pPr>
    </w:p>
    <w:p>
      <w:pPr>
        <w:ind w:left="0" w:leftChars="0" w:firstLine="0" w:firstLineChars="0"/>
        <w:rPr>
          <w:rFonts w:hint="eastAsia"/>
          <w:lang w:val="en-US" w:eastAsia="zh-CN"/>
        </w:rPr>
      </w:pPr>
    </w:p>
    <w:p>
      <w:pPr>
        <w:keepNext w:val="0"/>
        <w:keepLines w:val="0"/>
        <w:pageBreakBefore w:val="0"/>
        <w:widowControl w:val="0"/>
        <w:kinsoku/>
        <w:wordWrap/>
        <w:topLinePunct w:val="0"/>
        <w:autoSpaceDE/>
        <w:autoSpaceDN/>
        <w:bidi w:val="0"/>
        <w:adjustRightInd/>
        <w:snapToGrid/>
        <w:spacing w:line="560" w:lineRule="exact"/>
        <w:ind w:firstLine="3520" w:firstLineChars="1100"/>
        <w:jc w:val="both"/>
        <w:textAlignment w:val="auto"/>
        <w:rPr>
          <w:rFonts w:hint="eastAsia"/>
          <w:color w:val="auto"/>
          <w:lang w:eastAsia="zh-CN"/>
        </w:rPr>
      </w:pPr>
      <w:r>
        <w:rPr>
          <w:rFonts w:hint="eastAsia"/>
          <w:color w:val="auto"/>
          <w:lang w:val="en-US" w:eastAsia="zh-CN"/>
        </w:rPr>
        <w:t xml:space="preserve">           </w:t>
      </w:r>
      <w:r>
        <w:rPr>
          <w:rFonts w:hint="eastAsia"/>
          <w:color w:val="auto"/>
          <w:lang w:eastAsia="zh-CN"/>
        </w:rPr>
        <w:t>“</w:t>
      </w:r>
      <w:r>
        <w:rPr>
          <w:rFonts w:hint="eastAsia"/>
          <w:color w:val="auto"/>
          <w:lang w:val="en-US" w:eastAsia="zh-CN"/>
        </w:rPr>
        <w:t>3</w:t>
      </w:r>
      <w:r>
        <w:rPr>
          <w:rFonts w:hint="eastAsia"/>
          <w:color w:val="auto"/>
          <w:lang w:eastAsia="zh-CN"/>
        </w:rPr>
        <w:t>·</w:t>
      </w:r>
      <w:r>
        <w:rPr>
          <w:rFonts w:hint="eastAsia"/>
          <w:color w:val="auto"/>
          <w:lang w:val="en-US" w:eastAsia="zh-CN"/>
        </w:rPr>
        <w:t>31”高处坠落</w:t>
      </w:r>
      <w:r>
        <w:rPr>
          <w:rFonts w:hint="eastAsia"/>
          <w:color w:val="auto"/>
          <w:lang w:eastAsia="zh-CN"/>
        </w:rPr>
        <w:t>一般</w:t>
      </w:r>
    </w:p>
    <w:p>
      <w:pPr>
        <w:keepNext w:val="0"/>
        <w:keepLines w:val="0"/>
        <w:pageBreakBefore w:val="0"/>
        <w:widowControl w:val="0"/>
        <w:kinsoku/>
        <w:wordWrap/>
        <w:topLinePunct w:val="0"/>
        <w:autoSpaceDE/>
        <w:autoSpaceDN/>
        <w:bidi w:val="0"/>
        <w:adjustRightInd/>
        <w:snapToGrid/>
        <w:spacing w:line="560" w:lineRule="exact"/>
        <w:ind w:firstLine="640"/>
        <w:jc w:val="right"/>
        <w:textAlignment w:val="auto"/>
        <w:rPr>
          <w:rFonts w:hint="eastAsia" w:eastAsia="仿宋_GB2312"/>
          <w:color w:val="auto"/>
          <w:lang w:val="en-US" w:eastAsia="zh-CN"/>
        </w:rPr>
      </w:pPr>
      <w:r>
        <w:rPr>
          <w:rFonts w:hint="eastAsia"/>
          <w:color w:val="auto"/>
          <w:lang w:eastAsia="zh-CN"/>
        </w:rPr>
        <w:t>生产安全责任</w:t>
      </w:r>
      <w:r>
        <w:rPr>
          <w:rFonts w:hint="eastAsia"/>
          <w:color w:val="auto"/>
        </w:rPr>
        <w:t>事故调查</w:t>
      </w:r>
      <w:r>
        <w:rPr>
          <w:rFonts w:hint="eastAsia"/>
          <w:color w:val="auto"/>
          <w:lang w:eastAsia="zh-CN"/>
        </w:rPr>
        <w:t>组</w:t>
      </w:r>
    </w:p>
    <w:p>
      <w:pPr>
        <w:keepNext w:val="0"/>
        <w:keepLines w:val="0"/>
        <w:pageBreakBefore w:val="0"/>
        <w:widowControl w:val="0"/>
        <w:kinsoku/>
        <w:wordWrap/>
        <w:topLinePunct w:val="0"/>
        <w:autoSpaceDE/>
        <w:autoSpaceDN/>
        <w:bidi w:val="0"/>
        <w:adjustRightInd/>
        <w:snapToGrid/>
        <w:spacing w:line="560" w:lineRule="exact"/>
        <w:ind w:firstLine="640"/>
        <w:jc w:val="center"/>
        <w:textAlignment w:val="auto"/>
        <w:rPr>
          <w:color w:val="auto"/>
        </w:rPr>
      </w:pPr>
      <w:r>
        <w:rPr>
          <w:rFonts w:hint="eastAsia"/>
          <w:color w:val="auto"/>
          <w:lang w:val="en-US" w:eastAsia="zh-CN"/>
        </w:rPr>
        <w:t xml:space="preserve">                             2</w:t>
      </w:r>
      <w:r>
        <w:rPr>
          <w:rFonts w:hint="eastAsia"/>
          <w:color w:val="auto"/>
        </w:rPr>
        <w:t>02</w:t>
      </w:r>
      <w:r>
        <w:rPr>
          <w:rFonts w:hint="eastAsia"/>
          <w:color w:val="auto"/>
          <w:lang w:val="en-US" w:eastAsia="zh-CN"/>
        </w:rPr>
        <w:t>3</w:t>
      </w:r>
      <w:r>
        <w:rPr>
          <w:rFonts w:hint="eastAsia"/>
          <w:color w:val="auto"/>
        </w:rPr>
        <w:t>年</w:t>
      </w:r>
      <w:r>
        <w:rPr>
          <w:rFonts w:hint="eastAsia"/>
          <w:color w:val="auto"/>
          <w:lang w:val="en-US" w:eastAsia="zh-CN"/>
        </w:rPr>
        <w:t>5</w:t>
      </w:r>
      <w:r>
        <w:rPr>
          <w:rFonts w:hint="eastAsia"/>
          <w:color w:val="auto"/>
        </w:rPr>
        <w:t>月</w:t>
      </w:r>
      <w:r>
        <w:rPr>
          <w:rFonts w:hint="eastAsia"/>
          <w:color w:val="auto"/>
          <w:lang w:val="en-US" w:eastAsia="zh-CN"/>
        </w:rPr>
        <w:t>15</w:t>
      </w:r>
      <w:r>
        <w:rPr>
          <w:rFonts w:hint="eastAsia"/>
          <w:color w:val="auto"/>
        </w:rPr>
        <w:t>日</w:t>
      </w:r>
    </w:p>
    <w:p>
      <w:pPr>
        <w:keepNext w:val="0"/>
        <w:keepLines w:val="0"/>
        <w:pageBreakBefore w:val="0"/>
        <w:widowControl w:val="0"/>
        <w:kinsoku/>
        <w:wordWrap/>
        <w:topLinePunct w:val="0"/>
        <w:autoSpaceDE/>
        <w:autoSpaceDN/>
        <w:bidi w:val="0"/>
        <w:adjustRightInd/>
        <w:snapToGrid/>
        <w:spacing w:line="560" w:lineRule="exact"/>
        <w:ind w:left="0" w:leftChars="0" w:firstLine="0" w:firstLineChars="0"/>
        <w:textAlignment w:val="auto"/>
        <w:rPr>
          <w:rFonts w:hint="eastAsia"/>
          <w:color w:val="auto"/>
          <w:szCs w:val="32"/>
          <w:lang w:val="en-US" w:eastAsia="zh-CN"/>
        </w:rPr>
      </w:pPr>
    </w:p>
    <w:sectPr>
      <w:headerReference r:id="rId3" w:type="default"/>
      <w:footerReference r:id="rId4" w:type="default"/>
      <w:pgSz w:w="11906" w:h="16838"/>
      <w:pgMar w:top="2098" w:right="1474" w:bottom="1984" w:left="1587" w:header="851" w:footer="1417" w:gutter="0"/>
      <w:pgNumType w:fmt="numberInDash"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简体">
    <w:panose1 w:val="03000509000000000000"/>
    <w:charset w:val="86"/>
    <w:family w:val="script"/>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7"/>
    </w:pP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7"/>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7"/>
                      <w:ind w:left="0" w:leftChars="0" w:firstLine="0" w:firstLineChars="0"/>
                      <w:rPr>
                        <w:rFonts w:hint="eastAsia" w:eastAsia="仿宋_GB2312"/>
                        <w:lang w:eastAsia="zh-CN"/>
                      </w:rPr>
                    </w:pPr>
                    <w:r>
                      <w:rPr>
                        <w:rFonts w:hint="eastAsia" w:asciiTheme="minorEastAsia" w:hAnsiTheme="minorEastAsia" w:eastAsiaTheme="minorEastAsia" w:cstheme="minorEastAsia"/>
                        <w:sz w:val="28"/>
                        <w:szCs w:val="28"/>
                        <w:lang w:eastAsia="zh-CN"/>
                      </w:rPr>
                      <w:fldChar w:fldCharType="begin"/>
                    </w:r>
                    <w:r>
                      <w:rPr>
                        <w:rFonts w:hint="eastAsia" w:asciiTheme="minorEastAsia" w:hAnsiTheme="minorEastAsia" w:eastAsiaTheme="minorEastAsia" w:cstheme="minorEastAsia"/>
                        <w:sz w:val="28"/>
                        <w:szCs w:val="28"/>
                        <w:lang w:eastAsia="zh-CN"/>
                      </w:rPr>
                      <w:instrText xml:space="preserve"> PAGE  \* MERGEFORMAT </w:instrText>
                    </w:r>
                    <w:r>
                      <w:rPr>
                        <w:rFonts w:hint="eastAsia" w:asciiTheme="minorEastAsia" w:hAnsiTheme="minorEastAsia" w:eastAsiaTheme="minorEastAsia" w:cstheme="minorEastAsia"/>
                        <w:sz w:val="28"/>
                        <w:szCs w:val="28"/>
                        <w:lang w:eastAsia="zh-CN"/>
                      </w:rPr>
                      <w:fldChar w:fldCharType="separate"/>
                    </w:r>
                    <w:r>
                      <w:rPr>
                        <w:rFonts w:hint="eastAsia" w:asciiTheme="minorEastAsia" w:hAnsiTheme="minorEastAsia" w:eastAsiaTheme="minorEastAsia" w:cstheme="minorEastAsia"/>
                        <w:sz w:val="28"/>
                        <w:szCs w:val="28"/>
                        <w:lang w:eastAsia="zh-CN"/>
                      </w:rPr>
                      <w:t>3</w:t>
                    </w:r>
                    <w:r>
                      <w:rPr>
                        <w:rFonts w:hint="eastAsia" w:asciiTheme="minorEastAsia" w:hAnsiTheme="minorEastAsia" w:eastAsiaTheme="minorEastAsia" w:cstheme="minorEastAsia"/>
                        <w:sz w:val="28"/>
                        <w:szCs w:val="2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9"/>
      <w:ind w:left="0" w:leftChars="0" w:firstLine="0" w:firstLineChars="0"/>
      <w:rPr>
        <w:rFonts w:hint="default" w:eastAsia="仿宋_GB2312"/>
        <w:lang w:val="en-US" w:eastAsia="zh-CN"/>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FkMTM0YThkZDhiNjg4NzBiMmM5MzA0YTA3OTM2YjIifQ=="/>
  </w:docVars>
  <w:rsids>
    <w:rsidRoot w:val="08394A96"/>
    <w:rsid w:val="001E6581"/>
    <w:rsid w:val="00207DBD"/>
    <w:rsid w:val="0049226C"/>
    <w:rsid w:val="004D7AE1"/>
    <w:rsid w:val="007314C1"/>
    <w:rsid w:val="00A93302"/>
    <w:rsid w:val="00C549BE"/>
    <w:rsid w:val="010C567A"/>
    <w:rsid w:val="011226ED"/>
    <w:rsid w:val="01447680"/>
    <w:rsid w:val="01771A41"/>
    <w:rsid w:val="01830647"/>
    <w:rsid w:val="018D389E"/>
    <w:rsid w:val="01945DA8"/>
    <w:rsid w:val="01B74116"/>
    <w:rsid w:val="01C2525E"/>
    <w:rsid w:val="01DF2774"/>
    <w:rsid w:val="02015762"/>
    <w:rsid w:val="0259058E"/>
    <w:rsid w:val="029B3303"/>
    <w:rsid w:val="02AD3A40"/>
    <w:rsid w:val="02B83AFE"/>
    <w:rsid w:val="02D72F6F"/>
    <w:rsid w:val="03295466"/>
    <w:rsid w:val="035F3B1E"/>
    <w:rsid w:val="03AD4FC3"/>
    <w:rsid w:val="03B364B1"/>
    <w:rsid w:val="03E30960"/>
    <w:rsid w:val="04122BA0"/>
    <w:rsid w:val="047800F0"/>
    <w:rsid w:val="047A3A16"/>
    <w:rsid w:val="04C06F23"/>
    <w:rsid w:val="04D444DF"/>
    <w:rsid w:val="04EC32F9"/>
    <w:rsid w:val="04EF3F3E"/>
    <w:rsid w:val="04FF1065"/>
    <w:rsid w:val="05164547"/>
    <w:rsid w:val="05202323"/>
    <w:rsid w:val="052A6AF7"/>
    <w:rsid w:val="052D7839"/>
    <w:rsid w:val="05562427"/>
    <w:rsid w:val="055F3381"/>
    <w:rsid w:val="056767C7"/>
    <w:rsid w:val="056C1FB2"/>
    <w:rsid w:val="05F2718C"/>
    <w:rsid w:val="060A79CF"/>
    <w:rsid w:val="066C7634"/>
    <w:rsid w:val="068B4A0B"/>
    <w:rsid w:val="069E1C05"/>
    <w:rsid w:val="06AE4D26"/>
    <w:rsid w:val="06B254BA"/>
    <w:rsid w:val="075C40BE"/>
    <w:rsid w:val="07A84BAB"/>
    <w:rsid w:val="07B01329"/>
    <w:rsid w:val="07C038D8"/>
    <w:rsid w:val="07DE3D84"/>
    <w:rsid w:val="080159D1"/>
    <w:rsid w:val="08394A96"/>
    <w:rsid w:val="08432933"/>
    <w:rsid w:val="084A0A5F"/>
    <w:rsid w:val="08760498"/>
    <w:rsid w:val="08D760A0"/>
    <w:rsid w:val="096F1B34"/>
    <w:rsid w:val="09904510"/>
    <w:rsid w:val="0A386D0D"/>
    <w:rsid w:val="0A4A5BA0"/>
    <w:rsid w:val="0A602620"/>
    <w:rsid w:val="0A701968"/>
    <w:rsid w:val="0A931297"/>
    <w:rsid w:val="0ABE5AC7"/>
    <w:rsid w:val="0ACD77A0"/>
    <w:rsid w:val="0AE13339"/>
    <w:rsid w:val="0AEB2DBD"/>
    <w:rsid w:val="0AF8028A"/>
    <w:rsid w:val="0B2D2ED4"/>
    <w:rsid w:val="0B6805BD"/>
    <w:rsid w:val="0BC3342C"/>
    <w:rsid w:val="0BC80A10"/>
    <w:rsid w:val="0BC972EA"/>
    <w:rsid w:val="0BDC6ED2"/>
    <w:rsid w:val="0BE579B5"/>
    <w:rsid w:val="0BEF3EAD"/>
    <w:rsid w:val="0BF60FEC"/>
    <w:rsid w:val="0C111A54"/>
    <w:rsid w:val="0C1B005C"/>
    <w:rsid w:val="0C3F1258"/>
    <w:rsid w:val="0C5E6434"/>
    <w:rsid w:val="0C8773D8"/>
    <w:rsid w:val="0C92168D"/>
    <w:rsid w:val="0D4A73F2"/>
    <w:rsid w:val="0D8C1C48"/>
    <w:rsid w:val="0DB0180F"/>
    <w:rsid w:val="0DD96523"/>
    <w:rsid w:val="0E12185E"/>
    <w:rsid w:val="0E1649BB"/>
    <w:rsid w:val="0E16697F"/>
    <w:rsid w:val="0E4527EE"/>
    <w:rsid w:val="0E6439E2"/>
    <w:rsid w:val="0E6809A0"/>
    <w:rsid w:val="0E6D4D18"/>
    <w:rsid w:val="0E774951"/>
    <w:rsid w:val="0E8A7A57"/>
    <w:rsid w:val="0E955A49"/>
    <w:rsid w:val="0EEE6398"/>
    <w:rsid w:val="0EF552FA"/>
    <w:rsid w:val="0F0774AA"/>
    <w:rsid w:val="0F483F47"/>
    <w:rsid w:val="0F4B2CD4"/>
    <w:rsid w:val="0F6E5F63"/>
    <w:rsid w:val="0FDF296D"/>
    <w:rsid w:val="1012768E"/>
    <w:rsid w:val="10231408"/>
    <w:rsid w:val="102C266A"/>
    <w:rsid w:val="106529B7"/>
    <w:rsid w:val="10B37640"/>
    <w:rsid w:val="10EA331B"/>
    <w:rsid w:val="1118359F"/>
    <w:rsid w:val="112F2FC2"/>
    <w:rsid w:val="11445DCB"/>
    <w:rsid w:val="11DC5055"/>
    <w:rsid w:val="11F83CFB"/>
    <w:rsid w:val="12192339"/>
    <w:rsid w:val="12302A83"/>
    <w:rsid w:val="1261337D"/>
    <w:rsid w:val="12710379"/>
    <w:rsid w:val="12A31505"/>
    <w:rsid w:val="12CD1F8E"/>
    <w:rsid w:val="12D3755A"/>
    <w:rsid w:val="13467A64"/>
    <w:rsid w:val="13526F2E"/>
    <w:rsid w:val="135F6EF8"/>
    <w:rsid w:val="139E664A"/>
    <w:rsid w:val="13B848EF"/>
    <w:rsid w:val="13E76483"/>
    <w:rsid w:val="13FA2395"/>
    <w:rsid w:val="13FC3AB3"/>
    <w:rsid w:val="142D7659"/>
    <w:rsid w:val="149524C7"/>
    <w:rsid w:val="14F7391E"/>
    <w:rsid w:val="1511730C"/>
    <w:rsid w:val="154F49F1"/>
    <w:rsid w:val="155342C4"/>
    <w:rsid w:val="15612035"/>
    <w:rsid w:val="15A40B45"/>
    <w:rsid w:val="15AC7340"/>
    <w:rsid w:val="15E71DAD"/>
    <w:rsid w:val="15F06302"/>
    <w:rsid w:val="16191622"/>
    <w:rsid w:val="16371C2E"/>
    <w:rsid w:val="16560D2A"/>
    <w:rsid w:val="16B301FC"/>
    <w:rsid w:val="16DD6508"/>
    <w:rsid w:val="17450441"/>
    <w:rsid w:val="17740DEF"/>
    <w:rsid w:val="17BA144C"/>
    <w:rsid w:val="17D227EF"/>
    <w:rsid w:val="17FB415F"/>
    <w:rsid w:val="185902E9"/>
    <w:rsid w:val="18647E56"/>
    <w:rsid w:val="18677FA4"/>
    <w:rsid w:val="18CA7AB4"/>
    <w:rsid w:val="18EC6F4B"/>
    <w:rsid w:val="18F13C03"/>
    <w:rsid w:val="18FB5274"/>
    <w:rsid w:val="19331BEA"/>
    <w:rsid w:val="193B58ED"/>
    <w:rsid w:val="196F3011"/>
    <w:rsid w:val="19701DCB"/>
    <w:rsid w:val="198F0EF1"/>
    <w:rsid w:val="19B212E5"/>
    <w:rsid w:val="19E62E5D"/>
    <w:rsid w:val="1A15387E"/>
    <w:rsid w:val="1A4A152A"/>
    <w:rsid w:val="1A9A2720"/>
    <w:rsid w:val="1AD71F34"/>
    <w:rsid w:val="1B006903"/>
    <w:rsid w:val="1B826952"/>
    <w:rsid w:val="1BFE34C8"/>
    <w:rsid w:val="1C122471"/>
    <w:rsid w:val="1C393E65"/>
    <w:rsid w:val="1C39522C"/>
    <w:rsid w:val="1C3B4042"/>
    <w:rsid w:val="1C544EB7"/>
    <w:rsid w:val="1CB84EAD"/>
    <w:rsid w:val="1CC54EDC"/>
    <w:rsid w:val="1CE804A1"/>
    <w:rsid w:val="1CF73758"/>
    <w:rsid w:val="1D4622ED"/>
    <w:rsid w:val="1D574654"/>
    <w:rsid w:val="1D684334"/>
    <w:rsid w:val="1D7634BC"/>
    <w:rsid w:val="1D77605B"/>
    <w:rsid w:val="1D8F44F7"/>
    <w:rsid w:val="1D95169F"/>
    <w:rsid w:val="1DA23F57"/>
    <w:rsid w:val="1DCA11AB"/>
    <w:rsid w:val="1E2E4278"/>
    <w:rsid w:val="1E64014C"/>
    <w:rsid w:val="1E902D3E"/>
    <w:rsid w:val="1F571467"/>
    <w:rsid w:val="1FA82C37"/>
    <w:rsid w:val="1FF73C9B"/>
    <w:rsid w:val="1FFE7559"/>
    <w:rsid w:val="205A7D29"/>
    <w:rsid w:val="207E6980"/>
    <w:rsid w:val="20CF77A0"/>
    <w:rsid w:val="20DE092E"/>
    <w:rsid w:val="20E3764F"/>
    <w:rsid w:val="21056583"/>
    <w:rsid w:val="211307A1"/>
    <w:rsid w:val="213B6BE4"/>
    <w:rsid w:val="21454BB1"/>
    <w:rsid w:val="215A5E94"/>
    <w:rsid w:val="215D3ACC"/>
    <w:rsid w:val="217B4653"/>
    <w:rsid w:val="217D35AF"/>
    <w:rsid w:val="21C42081"/>
    <w:rsid w:val="2241494C"/>
    <w:rsid w:val="226D24DB"/>
    <w:rsid w:val="227B04ED"/>
    <w:rsid w:val="22C3285F"/>
    <w:rsid w:val="22F773F7"/>
    <w:rsid w:val="230509C7"/>
    <w:rsid w:val="232A2776"/>
    <w:rsid w:val="232B7AAD"/>
    <w:rsid w:val="234822C0"/>
    <w:rsid w:val="235D2FC3"/>
    <w:rsid w:val="237F562E"/>
    <w:rsid w:val="240A64ED"/>
    <w:rsid w:val="245C50AD"/>
    <w:rsid w:val="24DA2759"/>
    <w:rsid w:val="24E04B79"/>
    <w:rsid w:val="24E43046"/>
    <w:rsid w:val="25655E09"/>
    <w:rsid w:val="256A561D"/>
    <w:rsid w:val="256D1FB9"/>
    <w:rsid w:val="25990FAA"/>
    <w:rsid w:val="25A65571"/>
    <w:rsid w:val="25AF7424"/>
    <w:rsid w:val="25DF5500"/>
    <w:rsid w:val="25F16C05"/>
    <w:rsid w:val="263B65B4"/>
    <w:rsid w:val="265D37A3"/>
    <w:rsid w:val="26750342"/>
    <w:rsid w:val="268E49FD"/>
    <w:rsid w:val="26C27358"/>
    <w:rsid w:val="26D81B8C"/>
    <w:rsid w:val="26F10723"/>
    <w:rsid w:val="27176387"/>
    <w:rsid w:val="275333BB"/>
    <w:rsid w:val="2767486B"/>
    <w:rsid w:val="279A0DC2"/>
    <w:rsid w:val="27AE4DB2"/>
    <w:rsid w:val="27AE55B0"/>
    <w:rsid w:val="27C30FD3"/>
    <w:rsid w:val="27F037CE"/>
    <w:rsid w:val="287C097F"/>
    <w:rsid w:val="28806D1F"/>
    <w:rsid w:val="28837EFC"/>
    <w:rsid w:val="28AD287B"/>
    <w:rsid w:val="28D94356"/>
    <w:rsid w:val="28EC6997"/>
    <w:rsid w:val="292629C6"/>
    <w:rsid w:val="29516C69"/>
    <w:rsid w:val="29547EDA"/>
    <w:rsid w:val="29B41DD9"/>
    <w:rsid w:val="29F60420"/>
    <w:rsid w:val="2A1C26AD"/>
    <w:rsid w:val="2A231338"/>
    <w:rsid w:val="2A240ECF"/>
    <w:rsid w:val="2A97034A"/>
    <w:rsid w:val="2AA97CD8"/>
    <w:rsid w:val="2ABD7F41"/>
    <w:rsid w:val="2ACE29F4"/>
    <w:rsid w:val="2AF073D3"/>
    <w:rsid w:val="2B1F6981"/>
    <w:rsid w:val="2B863D63"/>
    <w:rsid w:val="2BBC4675"/>
    <w:rsid w:val="2BCF1C43"/>
    <w:rsid w:val="2BDB451B"/>
    <w:rsid w:val="2BF963DA"/>
    <w:rsid w:val="2C6C1282"/>
    <w:rsid w:val="2CB86203"/>
    <w:rsid w:val="2CCE1726"/>
    <w:rsid w:val="2CEB4EE3"/>
    <w:rsid w:val="2CFE1D37"/>
    <w:rsid w:val="2D231864"/>
    <w:rsid w:val="2D3817DB"/>
    <w:rsid w:val="2D4A74C0"/>
    <w:rsid w:val="2D6257EC"/>
    <w:rsid w:val="2DDF4AC3"/>
    <w:rsid w:val="2E0925BF"/>
    <w:rsid w:val="2E375E3E"/>
    <w:rsid w:val="2E39216F"/>
    <w:rsid w:val="2E766897"/>
    <w:rsid w:val="2E9200ED"/>
    <w:rsid w:val="2ED52D50"/>
    <w:rsid w:val="2EF1593A"/>
    <w:rsid w:val="2F0F053D"/>
    <w:rsid w:val="2F480470"/>
    <w:rsid w:val="2FB12825"/>
    <w:rsid w:val="3003387F"/>
    <w:rsid w:val="303B1C44"/>
    <w:rsid w:val="3055724C"/>
    <w:rsid w:val="30AB6F28"/>
    <w:rsid w:val="30B02582"/>
    <w:rsid w:val="30BE4B0D"/>
    <w:rsid w:val="30E10B9D"/>
    <w:rsid w:val="310745B5"/>
    <w:rsid w:val="31397A0E"/>
    <w:rsid w:val="31484722"/>
    <w:rsid w:val="314A409B"/>
    <w:rsid w:val="31716123"/>
    <w:rsid w:val="31B20428"/>
    <w:rsid w:val="31DD2D04"/>
    <w:rsid w:val="32227C4E"/>
    <w:rsid w:val="32243257"/>
    <w:rsid w:val="324204CE"/>
    <w:rsid w:val="324B5C0F"/>
    <w:rsid w:val="32581962"/>
    <w:rsid w:val="325F6CCD"/>
    <w:rsid w:val="328E00C9"/>
    <w:rsid w:val="32A508BD"/>
    <w:rsid w:val="32A645C2"/>
    <w:rsid w:val="32AE5C7F"/>
    <w:rsid w:val="32AF396F"/>
    <w:rsid w:val="33626FE7"/>
    <w:rsid w:val="33684F36"/>
    <w:rsid w:val="337A3D78"/>
    <w:rsid w:val="339F482B"/>
    <w:rsid w:val="343C286A"/>
    <w:rsid w:val="34421CFE"/>
    <w:rsid w:val="34902F7E"/>
    <w:rsid w:val="34B225E3"/>
    <w:rsid w:val="34CB4B93"/>
    <w:rsid w:val="354078CA"/>
    <w:rsid w:val="357351A7"/>
    <w:rsid w:val="35A95057"/>
    <w:rsid w:val="35D138CF"/>
    <w:rsid w:val="3609171C"/>
    <w:rsid w:val="360C3FAA"/>
    <w:rsid w:val="365746B1"/>
    <w:rsid w:val="36613503"/>
    <w:rsid w:val="36AA4CF1"/>
    <w:rsid w:val="36CC42C2"/>
    <w:rsid w:val="36FE0E22"/>
    <w:rsid w:val="37301974"/>
    <w:rsid w:val="374E7FC7"/>
    <w:rsid w:val="377C28E9"/>
    <w:rsid w:val="378B1F07"/>
    <w:rsid w:val="37DE51B7"/>
    <w:rsid w:val="37E942E6"/>
    <w:rsid w:val="37F0281C"/>
    <w:rsid w:val="3803141D"/>
    <w:rsid w:val="38083125"/>
    <w:rsid w:val="38555C0B"/>
    <w:rsid w:val="38571B5E"/>
    <w:rsid w:val="385819B9"/>
    <w:rsid w:val="38811B06"/>
    <w:rsid w:val="389A021F"/>
    <w:rsid w:val="38BD1AD3"/>
    <w:rsid w:val="38D01C56"/>
    <w:rsid w:val="38D5339A"/>
    <w:rsid w:val="39652DA3"/>
    <w:rsid w:val="39D42DCC"/>
    <w:rsid w:val="3A23084E"/>
    <w:rsid w:val="3AA57D8C"/>
    <w:rsid w:val="3AB725E2"/>
    <w:rsid w:val="3AF5219D"/>
    <w:rsid w:val="3AF606FF"/>
    <w:rsid w:val="3B263BC9"/>
    <w:rsid w:val="3B7B52CD"/>
    <w:rsid w:val="3B8261F4"/>
    <w:rsid w:val="3B8A14A5"/>
    <w:rsid w:val="3BEB6FF6"/>
    <w:rsid w:val="3BF859D3"/>
    <w:rsid w:val="3C073BFD"/>
    <w:rsid w:val="3C334736"/>
    <w:rsid w:val="3C382D2A"/>
    <w:rsid w:val="3C386E13"/>
    <w:rsid w:val="3C3B083E"/>
    <w:rsid w:val="3C4B1C5F"/>
    <w:rsid w:val="3C7054A5"/>
    <w:rsid w:val="3CA306CE"/>
    <w:rsid w:val="3CA91149"/>
    <w:rsid w:val="3CB44857"/>
    <w:rsid w:val="3CD668D7"/>
    <w:rsid w:val="3CD87AF5"/>
    <w:rsid w:val="3CF30DED"/>
    <w:rsid w:val="3D160CA2"/>
    <w:rsid w:val="3D6B6495"/>
    <w:rsid w:val="3D921871"/>
    <w:rsid w:val="3DBE687D"/>
    <w:rsid w:val="3E13550C"/>
    <w:rsid w:val="3E552E87"/>
    <w:rsid w:val="3EA326B9"/>
    <w:rsid w:val="3EB42221"/>
    <w:rsid w:val="3EBA1C08"/>
    <w:rsid w:val="3EC24028"/>
    <w:rsid w:val="3EC527A9"/>
    <w:rsid w:val="3F170723"/>
    <w:rsid w:val="3F207E48"/>
    <w:rsid w:val="3F253210"/>
    <w:rsid w:val="3F376864"/>
    <w:rsid w:val="3F45063D"/>
    <w:rsid w:val="3F6A65CB"/>
    <w:rsid w:val="3FB96C66"/>
    <w:rsid w:val="403607C0"/>
    <w:rsid w:val="4051555F"/>
    <w:rsid w:val="406E0BB4"/>
    <w:rsid w:val="40F960C2"/>
    <w:rsid w:val="413C5641"/>
    <w:rsid w:val="41516112"/>
    <w:rsid w:val="4152522A"/>
    <w:rsid w:val="41C2594C"/>
    <w:rsid w:val="41CF57ED"/>
    <w:rsid w:val="41F15D28"/>
    <w:rsid w:val="41FA72C7"/>
    <w:rsid w:val="42237AE7"/>
    <w:rsid w:val="4286790A"/>
    <w:rsid w:val="429D1212"/>
    <w:rsid w:val="42BD2ADD"/>
    <w:rsid w:val="43036EDB"/>
    <w:rsid w:val="432F1139"/>
    <w:rsid w:val="43332C57"/>
    <w:rsid w:val="43634ACC"/>
    <w:rsid w:val="438A68F2"/>
    <w:rsid w:val="43BB7449"/>
    <w:rsid w:val="43CA1E2B"/>
    <w:rsid w:val="43FC7871"/>
    <w:rsid w:val="440E7A6A"/>
    <w:rsid w:val="44A52D54"/>
    <w:rsid w:val="44E64495"/>
    <w:rsid w:val="44F70F51"/>
    <w:rsid w:val="44FB3B0A"/>
    <w:rsid w:val="4513411B"/>
    <w:rsid w:val="451C72AE"/>
    <w:rsid w:val="4536245C"/>
    <w:rsid w:val="456A13F8"/>
    <w:rsid w:val="457161B5"/>
    <w:rsid w:val="45802D6A"/>
    <w:rsid w:val="45C331DC"/>
    <w:rsid w:val="45F937D7"/>
    <w:rsid w:val="463A0A34"/>
    <w:rsid w:val="464B5637"/>
    <w:rsid w:val="46510A38"/>
    <w:rsid w:val="46C638D5"/>
    <w:rsid w:val="46F0291B"/>
    <w:rsid w:val="472A4804"/>
    <w:rsid w:val="47383727"/>
    <w:rsid w:val="474B0E66"/>
    <w:rsid w:val="47880165"/>
    <w:rsid w:val="4794270A"/>
    <w:rsid w:val="47E97617"/>
    <w:rsid w:val="48132C9E"/>
    <w:rsid w:val="4826035A"/>
    <w:rsid w:val="48342B77"/>
    <w:rsid w:val="483C7D15"/>
    <w:rsid w:val="487D66B7"/>
    <w:rsid w:val="489F51AB"/>
    <w:rsid w:val="48F45098"/>
    <w:rsid w:val="48FE032C"/>
    <w:rsid w:val="498C53B3"/>
    <w:rsid w:val="49FC2A97"/>
    <w:rsid w:val="49FF75AD"/>
    <w:rsid w:val="4AB85A8A"/>
    <w:rsid w:val="4AF0020A"/>
    <w:rsid w:val="4AF37BEB"/>
    <w:rsid w:val="4B070BAC"/>
    <w:rsid w:val="4B353E44"/>
    <w:rsid w:val="4B3D031D"/>
    <w:rsid w:val="4B4D346F"/>
    <w:rsid w:val="4B686C5F"/>
    <w:rsid w:val="4B694C21"/>
    <w:rsid w:val="4BD04E73"/>
    <w:rsid w:val="4BD33DF2"/>
    <w:rsid w:val="4BF711EB"/>
    <w:rsid w:val="4BFB1AC9"/>
    <w:rsid w:val="4C211051"/>
    <w:rsid w:val="4C283254"/>
    <w:rsid w:val="4C3228B2"/>
    <w:rsid w:val="4C3A25EE"/>
    <w:rsid w:val="4C4006B7"/>
    <w:rsid w:val="4C4F3B28"/>
    <w:rsid w:val="4C6D6D1C"/>
    <w:rsid w:val="4CA37D04"/>
    <w:rsid w:val="4CB3172E"/>
    <w:rsid w:val="4CB43B5E"/>
    <w:rsid w:val="4CBF5D24"/>
    <w:rsid w:val="4D0E01B0"/>
    <w:rsid w:val="4D204C34"/>
    <w:rsid w:val="4D416B5A"/>
    <w:rsid w:val="4D5F6D05"/>
    <w:rsid w:val="4D654D0F"/>
    <w:rsid w:val="4D6A39E3"/>
    <w:rsid w:val="4D8763A3"/>
    <w:rsid w:val="4DC17B00"/>
    <w:rsid w:val="4DD35B7A"/>
    <w:rsid w:val="4E262945"/>
    <w:rsid w:val="4E6830AB"/>
    <w:rsid w:val="4E811B53"/>
    <w:rsid w:val="4EC44733"/>
    <w:rsid w:val="4ED4035B"/>
    <w:rsid w:val="4F1B6090"/>
    <w:rsid w:val="4F3469F3"/>
    <w:rsid w:val="4F3D339C"/>
    <w:rsid w:val="4F466D2B"/>
    <w:rsid w:val="4F696AFA"/>
    <w:rsid w:val="4FC84C02"/>
    <w:rsid w:val="4FEE2A44"/>
    <w:rsid w:val="4FEF71F9"/>
    <w:rsid w:val="501202F2"/>
    <w:rsid w:val="50217D33"/>
    <w:rsid w:val="50917D77"/>
    <w:rsid w:val="50992D33"/>
    <w:rsid w:val="50AF6EB7"/>
    <w:rsid w:val="50BF6936"/>
    <w:rsid w:val="50F45A29"/>
    <w:rsid w:val="51714F75"/>
    <w:rsid w:val="51A533F6"/>
    <w:rsid w:val="51B569AD"/>
    <w:rsid w:val="51E4187C"/>
    <w:rsid w:val="51F95934"/>
    <w:rsid w:val="524F2ECD"/>
    <w:rsid w:val="525015BD"/>
    <w:rsid w:val="525D3B4A"/>
    <w:rsid w:val="527965E4"/>
    <w:rsid w:val="527C41BF"/>
    <w:rsid w:val="52F2211C"/>
    <w:rsid w:val="53301E44"/>
    <w:rsid w:val="53386391"/>
    <w:rsid w:val="534E1E12"/>
    <w:rsid w:val="535372A6"/>
    <w:rsid w:val="536D7C0A"/>
    <w:rsid w:val="53835579"/>
    <w:rsid w:val="53DD6EF6"/>
    <w:rsid w:val="541B187C"/>
    <w:rsid w:val="5479271D"/>
    <w:rsid w:val="54820734"/>
    <w:rsid w:val="54901AF5"/>
    <w:rsid w:val="54CA72EA"/>
    <w:rsid w:val="54E94D68"/>
    <w:rsid w:val="55415D6E"/>
    <w:rsid w:val="554E3311"/>
    <w:rsid w:val="55623017"/>
    <w:rsid w:val="55666D6E"/>
    <w:rsid w:val="5592275E"/>
    <w:rsid w:val="55F46F77"/>
    <w:rsid w:val="561A1ACF"/>
    <w:rsid w:val="566070CA"/>
    <w:rsid w:val="56B9355A"/>
    <w:rsid w:val="56BC4C71"/>
    <w:rsid w:val="57083367"/>
    <w:rsid w:val="574249AC"/>
    <w:rsid w:val="57A93F00"/>
    <w:rsid w:val="57DF4677"/>
    <w:rsid w:val="57E440E6"/>
    <w:rsid w:val="5809548F"/>
    <w:rsid w:val="582329F8"/>
    <w:rsid w:val="582D26E5"/>
    <w:rsid w:val="58625F0C"/>
    <w:rsid w:val="586E0173"/>
    <w:rsid w:val="58803566"/>
    <w:rsid w:val="588A3CF4"/>
    <w:rsid w:val="589A6E1C"/>
    <w:rsid w:val="58A550DC"/>
    <w:rsid w:val="58AC4645"/>
    <w:rsid w:val="58AD06FA"/>
    <w:rsid w:val="58BD28DE"/>
    <w:rsid w:val="58C63661"/>
    <w:rsid w:val="58D22C73"/>
    <w:rsid w:val="58D5220A"/>
    <w:rsid w:val="58FD7D40"/>
    <w:rsid w:val="592477B9"/>
    <w:rsid w:val="596F425D"/>
    <w:rsid w:val="5977224D"/>
    <w:rsid w:val="598840E7"/>
    <w:rsid w:val="59AE28ED"/>
    <w:rsid w:val="59E25B75"/>
    <w:rsid w:val="59F0476D"/>
    <w:rsid w:val="5A4B6358"/>
    <w:rsid w:val="5A55383A"/>
    <w:rsid w:val="5A6728F7"/>
    <w:rsid w:val="5A842632"/>
    <w:rsid w:val="5AC40CA0"/>
    <w:rsid w:val="5AC55F97"/>
    <w:rsid w:val="5ACA5E57"/>
    <w:rsid w:val="5AE13258"/>
    <w:rsid w:val="5AF4677B"/>
    <w:rsid w:val="5B6C7F08"/>
    <w:rsid w:val="5B6D7C81"/>
    <w:rsid w:val="5BC278A6"/>
    <w:rsid w:val="5BFD736A"/>
    <w:rsid w:val="5C571A74"/>
    <w:rsid w:val="5C6A6DAC"/>
    <w:rsid w:val="5C9D038B"/>
    <w:rsid w:val="5CC126AB"/>
    <w:rsid w:val="5CFC1629"/>
    <w:rsid w:val="5CFD580A"/>
    <w:rsid w:val="5D441EDD"/>
    <w:rsid w:val="5D5B4F1E"/>
    <w:rsid w:val="5D7D5097"/>
    <w:rsid w:val="5D8F7640"/>
    <w:rsid w:val="5DD16434"/>
    <w:rsid w:val="5E150370"/>
    <w:rsid w:val="5E1A7EAA"/>
    <w:rsid w:val="5E342028"/>
    <w:rsid w:val="5E3D4A1F"/>
    <w:rsid w:val="5E7E422D"/>
    <w:rsid w:val="5E806114"/>
    <w:rsid w:val="5E8769F3"/>
    <w:rsid w:val="5E924ADC"/>
    <w:rsid w:val="5E975541"/>
    <w:rsid w:val="5E9C5517"/>
    <w:rsid w:val="5EBF2D30"/>
    <w:rsid w:val="5ECF6C27"/>
    <w:rsid w:val="5F095BB7"/>
    <w:rsid w:val="5F167CC2"/>
    <w:rsid w:val="5F4426AB"/>
    <w:rsid w:val="5F9F5E32"/>
    <w:rsid w:val="60292D4B"/>
    <w:rsid w:val="603310C1"/>
    <w:rsid w:val="60407F55"/>
    <w:rsid w:val="60C464AA"/>
    <w:rsid w:val="610A200F"/>
    <w:rsid w:val="613D7B67"/>
    <w:rsid w:val="61552376"/>
    <w:rsid w:val="6177471C"/>
    <w:rsid w:val="6179674C"/>
    <w:rsid w:val="61873285"/>
    <w:rsid w:val="61A003CB"/>
    <w:rsid w:val="61AC18AD"/>
    <w:rsid w:val="61CC0794"/>
    <w:rsid w:val="61F7116C"/>
    <w:rsid w:val="623F25B5"/>
    <w:rsid w:val="6248711B"/>
    <w:rsid w:val="62776F87"/>
    <w:rsid w:val="62D1249C"/>
    <w:rsid w:val="62E4229C"/>
    <w:rsid w:val="62ED0EB8"/>
    <w:rsid w:val="63011847"/>
    <w:rsid w:val="63040874"/>
    <w:rsid w:val="630D542C"/>
    <w:rsid w:val="633D5AF8"/>
    <w:rsid w:val="634165FF"/>
    <w:rsid w:val="636B7316"/>
    <w:rsid w:val="63B17DDC"/>
    <w:rsid w:val="63B65C4B"/>
    <w:rsid w:val="63CA1A2B"/>
    <w:rsid w:val="63D200DF"/>
    <w:rsid w:val="63F66932"/>
    <w:rsid w:val="640814AB"/>
    <w:rsid w:val="6419701E"/>
    <w:rsid w:val="64782029"/>
    <w:rsid w:val="64A67D3B"/>
    <w:rsid w:val="64E07185"/>
    <w:rsid w:val="65482A39"/>
    <w:rsid w:val="657C7C9C"/>
    <w:rsid w:val="659D634F"/>
    <w:rsid w:val="659E1D09"/>
    <w:rsid w:val="65CE180F"/>
    <w:rsid w:val="6604204D"/>
    <w:rsid w:val="661160C3"/>
    <w:rsid w:val="661A7DD9"/>
    <w:rsid w:val="664D33BD"/>
    <w:rsid w:val="66526F43"/>
    <w:rsid w:val="6678603E"/>
    <w:rsid w:val="66A3558D"/>
    <w:rsid w:val="6712113A"/>
    <w:rsid w:val="673460C8"/>
    <w:rsid w:val="674B6C02"/>
    <w:rsid w:val="679F5BBC"/>
    <w:rsid w:val="67B746E8"/>
    <w:rsid w:val="67DC3CDE"/>
    <w:rsid w:val="683E5C68"/>
    <w:rsid w:val="684915B9"/>
    <w:rsid w:val="68A24D72"/>
    <w:rsid w:val="68AA315D"/>
    <w:rsid w:val="68D36FD6"/>
    <w:rsid w:val="68DB3760"/>
    <w:rsid w:val="693C10B1"/>
    <w:rsid w:val="694B3A1B"/>
    <w:rsid w:val="69666A10"/>
    <w:rsid w:val="6996349F"/>
    <w:rsid w:val="69A2440C"/>
    <w:rsid w:val="69AB22ED"/>
    <w:rsid w:val="69E462C5"/>
    <w:rsid w:val="6A152F5D"/>
    <w:rsid w:val="6A286F66"/>
    <w:rsid w:val="6A3B2A9E"/>
    <w:rsid w:val="6A491A1D"/>
    <w:rsid w:val="6A5D5E5C"/>
    <w:rsid w:val="6A943494"/>
    <w:rsid w:val="6AA85348"/>
    <w:rsid w:val="6AC21987"/>
    <w:rsid w:val="6AC4161F"/>
    <w:rsid w:val="6AD6008A"/>
    <w:rsid w:val="6AF762D4"/>
    <w:rsid w:val="6B2A1810"/>
    <w:rsid w:val="6B2A38E4"/>
    <w:rsid w:val="6B432F8A"/>
    <w:rsid w:val="6B765F54"/>
    <w:rsid w:val="6BA915BA"/>
    <w:rsid w:val="6BC6706D"/>
    <w:rsid w:val="6C2B57A3"/>
    <w:rsid w:val="6C7D4E22"/>
    <w:rsid w:val="6CB440B2"/>
    <w:rsid w:val="6CBC2D03"/>
    <w:rsid w:val="6CDA76E7"/>
    <w:rsid w:val="6CE046E2"/>
    <w:rsid w:val="6D040631"/>
    <w:rsid w:val="6D04116D"/>
    <w:rsid w:val="6D267FE2"/>
    <w:rsid w:val="6D2738CE"/>
    <w:rsid w:val="6D274DD2"/>
    <w:rsid w:val="6D34722A"/>
    <w:rsid w:val="6D620367"/>
    <w:rsid w:val="6D9F43B9"/>
    <w:rsid w:val="6DA53050"/>
    <w:rsid w:val="6DBE42C3"/>
    <w:rsid w:val="6DD44239"/>
    <w:rsid w:val="6DE15A50"/>
    <w:rsid w:val="6DF62671"/>
    <w:rsid w:val="6E036E0D"/>
    <w:rsid w:val="6E1F4585"/>
    <w:rsid w:val="6E6A59F3"/>
    <w:rsid w:val="6E7D0A7D"/>
    <w:rsid w:val="6EBB6F47"/>
    <w:rsid w:val="6F227EBD"/>
    <w:rsid w:val="6F2F0685"/>
    <w:rsid w:val="6F337072"/>
    <w:rsid w:val="6FCF1A0A"/>
    <w:rsid w:val="703224AF"/>
    <w:rsid w:val="70932A48"/>
    <w:rsid w:val="70982403"/>
    <w:rsid w:val="709D5435"/>
    <w:rsid w:val="70E9167B"/>
    <w:rsid w:val="711C1FED"/>
    <w:rsid w:val="71B07818"/>
    <w:rsid w:val="71F4261F"/>
    <w:rsid w:val="725C2A40"/>
    <w:rsid w:val="727B6899"/>
    <w:rsid w:val="72BB1748"/>
    <w:rsid w:val="72FF24CB"/>
    <w:rsid w:val="73431236"/>
    <w:rsid w:val="734A6525"/>
    <w:rsid w:val="73546671"/>
    <w:rsid w:val="735554CB"/>
    <w:rsid w:val="735A636B"/>
    <w:rsid w:val="73746819"/>
    <w:rsid w:val="73757FA3"/>
    <w:rsid w:val="73934A1F"/>
    <w:rsid w:val="73A02464"/>
    <w:rsid w:val="73C470CC"/>
    <w:rsid w:val="73C93C6A"/>
    <w:rsid w:val="73FE0BF7"/>
    <w:rsid w:val="742265BA"/>
    <w:rsid w:val="74415023"/>
    <w:rsid w:val="74457313"/>
    <w:rsid w:val="745B3A55"/>
    <w:rsid w:val="74621790"/>
    <w:rsid w:val="74753403"/>
    <w:rsid w:val="748656B2"/>
    <w:rsid w:val="74D86FB7"/>
    <w:rsid w:val="74F0131C"/>
    <w:rsid w:val="74F87733"/>
    <w:rsid w:val="75115393"/>
    <w:rsid w:val="75582652"/>
    <w:rsid w:val="756D71A8"/>
    <w:rsid w:val="75E169D9"/>
    <w:rsid w:val="75FC185D"/>
    <w:rsid w:val="76225DA0"/>
    <w:rsid w:val="76782D71"/>
    <w:rsid w:val="76E8537C"/>
    <w:rsid w:val="76EA713F"/>
    <w:rsid w:val="76FE73D7"/>
    <w:rsid w:val="7766520C"/>
    <w:rsid w:val="77851882"/>
    <w:rsid w:val="77A06791"/>
    <w:rsid w:val="77A5619C"/>
    <w:rsid w:val="77C62289"/>
    <w:rsid w:val="77EB664D"/>
    <w:rsid w:val="77F628D9"/>
    <w:rsid w:val="77F929F7"/>
    <w:rsid w:val="780131BF"/>
    <w:rsid w:val="780F3611"/>
    <w:rsid w:val="787B0961"/>
    <w:rsid w:val="789B77BD"/>
    <w:rsid w:val="78AB0A3F"/>
    <w:rsid w:val="78C42C50"/>
    <w:rsid w:val="78C65D8E"/>
    <w:rsid w:val="78F2288B"/>
    <w:rsid w:val="78FB4EBC"/>
    <w:rsid w:val="791351F0"/>
    <w:rsid w:val="792C1D98"/>
    <w:rsid w:val="795C33BE"/>
    <w:rsid w:val="79683F8F"/>
    <w:rsid w:val="79A40804"/>
    <w:rsid w:val="79A42111"/>
    <w:rsid w:val="79EE3A2B"/>
    <w:rsid w:val="79F156F9"/>
    <w:rsid w:val="7A14416D"/>
    <w:rsid w:val="7A476BDD"/>
    <w:rsid w:val="7A4B23CE"/>
    <w:rsid w:val="7A4D247D"/>
    <w:rsid w:val="7A6B785D"/>
    <w:rsid w:val="7A911451"/>
    <w:rsid w:val="7AA2473D"/>
    <w:rsid w:val="7AB841B5"/>
    <w:rsid w:val="7AC164C5"/>
    <w:rsid w:val="7ACE5C60"/>
    <w:rsid w:val="7B1C59ED"/>
    <w:rsid w:val="7B830929"/>
    <w:rsid w:val="7BA232D6"/>
    <w:rsid w:val="7BA257E6"/>
    <w:rsid w:val="7BC213FE"/>
    <w:rsid w:val="7BF41E15"/>
    <w:rsid w:val="7C452AD4"/>
    <w:rsid w:val="7C7610CA"/>
    <w:rsid w:val="7C8E6638"/>
    <w:rsid w:val="7CA036D8"/>
    <w:rsid w:val="7CD04988"/>
    <w:rsid w:val="7CFA583E"/>
    <w:rsid w:val="7D117284"/>
    <w:rsid w:val="7D516406"/>
    <w:rsid w:val="7D9E3A61"/>
    <w:rsid w:val="7DA52167"/>
    <w:rsid w:val="7DAF3CA6"/>
    <w:rsid w:val="7DE2231D"/>
    <w:rsid w:val="7E005D4F"/>
    <w:rsid w:val="7E040796"/>
    <w:rsid w:val="7E1270E2"/>
    <w:rsid w:val="7E77727D"/>
    <w:rsid w:val="7E791977"/>
    <w:rsid w:val="7EDC3010"/>
    <w:rsid w:val="7F0322CC"/>
    <w:rsid w:val="7F394849"/>
    <w:rsid w:val="7F3C3C58"/>
    <w:rsid w:val="7F543508"/>
    <w:rsid w:val="7F6723C3"/>
    <w:rsid w:val="7F9419EF"/>
    <w:rsid w:val="7FB757EB"/>
    <w:rsid w:val="7FC44B6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qFormat="1"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overflowPunct w:val="0"/>
      <w:spacing w:line="560" w:lineRule="exact"/>
      <w:ind w:firstLine="880" w:firstLineChars="200"/>
      <w:jc w:val="both"/>
    </w:pPr>
    <w:rPr>
      <w:rFonts w:ascii="仿宋_GB2312" w:hAnsi="仿宋_GB2312" w:eastAsia="仿宋_GB2312" w:cs="Times New Roman"/>
      <w:kern w:val="2"/>
      <w:sz w:val="32"/>
      <w:szCs w:val="22"/>
      <w:lang w:val="en-US" w:eastAsia="zh-CN" w:bidi="ar-SA"/>
    </w:rPr>
  </w:style>
  <w:style w:type="character" w:default="1" w:styleId="11">
    <w:name w:val="Default Paragraph Font"/>
    <w:semiHidden/>
    <w:qFormat/>
    <w:uiPriority w:val="0"/>
  </w:style>
  <w:style w:type="table" w:default="1" w:styleId="13">
    <w:name w:val="Normal Table"/>
    <w:semiHidden/>
    <w:qFormat/>
    <w:uiPriority w:val="0"/>
    <w:tblPr>
      <w:tblLayout w:type="fixed"/>
      <w:tblCellMar>
        <w:top w:w="0" w:type="dxa"/>
        <w:left w:w="108" w:type="dxa"/>
        <w:bottom w:w="0" w:type="dxa"/>
        <w:right w:w="108" w:type="dxa"/>
      </w:tblCellMar>
    </w:tblPr>
  </w:style>
  <w:style w:type="paragraph" w:customStyle="1" w:styleId="2">
    <w:name w:val="Default"/>
    <w:next w:val="1"/>
    <w:qFormat/>
    <w:uiPriority w:val="99"/>
    <w:pPr>
      <w:widowControl w:val="0"/>
      <w:autoSpaceDE w:val="0"/>
      <w:autoSpaceDN w:val="0"/>
      <w:adjustRightInd w:val="0"/>
    </w:pPr>
    <w:rPr>
      <w:rFonts w:ascii="黑体" w:hAnsi="Calibri" w:eastAsia="黑体" w:cs="黑体"/>
      <w:color w:val="000000"/>
      <w:sz w:val="24"/>
      <w:szCs w:val="24"/>
      <w:lang w:val="en-US" w:eastAsia="zh-CN" w:bidi="ar-SA"/>
    </w:rPr>
  </w:style>
  <w:style w:type="paragraph" w:styleId="3">
    <w:name w:val="Normal Indent"/>
    <w:basedOn w:val="1"/>
    <w:next w:val="1"/>
    <w:qFormat/>
    <w:uiPriority w:val="0"/>
    <w:pPr>
      <w:ind w:firstLine="420" w:firstLineChars="200"/>
    </w:pPr>
    <w:rPr>
      <w:rFonts w:eastAsia="仿宋"/>
      <w:sz w:val="32"/>
    </w:rPr>
  </w:style>
  <w:style w:type="paragraph" w:styleId="4">
    <w:name w:val="Body Text"/>
    <w:basedOn w:val="1"/>
    <w:next w:val="1"/>
    <w:qFormat/>
    <w:uiPriority w:val="99"/>
    <w:rPr>
      <w:rFonts w:ascii="Times New Roman" w:hAnsi="Times New Roman" w:eastAsia="宋体"/>
      <w:sz w:val="30"/>
      <w:szCs w:val="24"/>
    </w:rPr>
  </w:style>
  <w:style w:type="paragraph" w:styleId="5">
    <w:name w:val="Body Text Indent"/>
    <w:basedOn w:val="1"/>
    <w:next w:val="3"/>
    <w:qFormat/>
    <w:uiPriority w:val="0"/>
    <w:pPr>
      <w:spacing w:line="600" w:lineRule="exact"/>
      <w:ind w:firstLine="630"/>
    </w:pPr>
    <w:rPr>
      <w:rFonts w:ascii="仿宋_GB2312" w:eastAsia="仿宋_GB2312"/>
      <w:sz w:val="32"/>
    </w:rPr>
  </w:style>
  <w:style w:type="paragraph" w:styleId="6">
    <w:name w:val="Date"/>
    <w:basedOn w:val="1"/>
    <w:next w:val="1"/>
    <w:qFormat/>
    <w:uiPriority w:val="0"/>
    <w:rPr>
      <w:rFonts w:ascii="仿宋_GB2312" w:eastAsia="仿宋_GB2312"/>
      <w:sz w:val="28"/>
      <w:szCs w:val="20"/>
    </w:rPr>
  </w:style>
  <w:style w:type="paragraph" w:styleId="7">
    <w:name w:val="footer"/>
    <w:basedOn w:val="1"/>
    <w:qFormat/>
    <w:uiPriority w:val="0"/>
    <w:pPr>
      <w:tabs>
        <w:tab w:val="center" w:pos="4153"/>
        <w:tab w:val="right" w:pos="8306"/>
      </w:tabs>
      <w:snapToGrid w:val="0"/>
      <w:jc w:val="left"/>
    </w:pPr>
    <w:rPr>
      <w:sz w:val="18"/>
    </w:rPr>
  </w:style>
  <w:style w:type="paragraph" w:styleId="8">
    <w:name w:val="Body Text First Indent 2"/>
    <w:basedOn w:val="5"/>
    <w:next w:val="1"/>
    <w:qFormat/>
    <w:uiPriority w:val="0"/>
    <w:pPr>
      <w:spacing w:after="0"/>
      <w:ind w:firstLine="420" w:firstLineChars="200"/>
    </w:pPr>
    <w:rPr>
      <w:rFonts w:ascii="Calibri" w:hAnsi="Calibri" w:cs="Times New Roman"/>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footnote text"/>
    <w:basedOn w:val="1"/>
    <w:qFormat/>
    <w:uiPriority w:val="0"/>
    <w:pPr>
      <w:snapToGrid w:val="0"/>
      <w:jc w:val="left"/>
    </w:pPr>
    <w:rPr>
      <w:sz w:val="18"/>
    </w:rPr>
  </w:style>
  <w:style w:type="character" w:styleId="12">
    <w:name w:val="footnote reference"/>
    <w:basedOn w:val="11"/>
    <w:qFormat/>
    <w:uiPriority w:val="0"/>
    <w:rPr>
      <w:vertAlign w:val="superscript"/>
    </w:rPr>
  </w:style>
  <w:style w:type="table" w:styleId="14">
    <w:name w:val="Table Grid"/>
    <w:basedOn w:val="13"/>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14</Pages>
  <Words>5806</Words>
  <Characters>6216</Characters>
  <Lines>0</Lines>
  <Paragraphs>0</Paragraphs>
  <TotalTime>4</TotalTime>
  <ScaleCrop>false</ScaleCrop>
  <LinksUpToDate>false</LinksUpToDate>
  <CharactersWithSpaces>6252</CharactersWithSpaces>
  <Application>WPS Office_10.8.2.7119_F1E327BC-269C-435d-A152-05C5408002CA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2022-07-26T01:15:00Z</dcterms:created>
  <dc:creator>Administrator</dc:creator>
  <cp:lastModifiedBy>Administrator</cp:lastModifiedBy>
  <cp:lastPrinted>2023-05-12T00:57:00Z</cp:lastPrinted>
  <dcterms:modified xsi:type="dcterms:W3CDTF">2023-08-18T08:22:09Z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2052-10.8.2.7119</vt:lpwstr>
  </property>
  <property fmtid="{D5CDD505-2E9C-101B-9397-08002B2CF9AE}" pid="3" name="ICV">
    <vt:lpwstr>1037DA2BF9294055847B61351D900C27</vt:lpwstr>
  </property>
</Properties>
</file>