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topLinePunct w:val="0"/>
        <w:autoSpaceDE/>
        <w:autoSpaceDN/>
        <w:bidi w:val="0"/>
        <w:adjustRightInd/>
        <w:snapToGrid/>
        <w:spacing w:line="560" w:lineRule="exact"/>
        <w:ind w:firstLine="0" w:firstLineChars="0"/>
        <w:jc w:val="both"/>
        <w:textAlignment w:val="auto"/>
        <w:rPr>
          <w:rFonts w:hint="eastAsia" w:ascii="黑体" w:hAnsi="黑体" w:eastAsia="黑体" w:cs="黑体"/>
          <w:color w:val="auto"/>
          <w:sz w:val="32"/>
          <w:szCs w:val="16"/>
          <w:shd w:val="clear" w:color="auto" w:fill="FFFFFF"/>
          <w:lang w:val="en-US" w:eastAsia="zh-CN"/>
        </w:rPr>
      </w:pPr>
      <w:r>
        <w:rPr>
          <w:rFonts w:hint="eastAsia" w:ascii="黑体" w:hAnsi="黑体" w:eastAsia="黑体" w:cs="黑体"/>
          <w:color w:val="auto"/>
          <w:sz w:val="32"/>
          <w:szCs w:val="16"/>
          <w:shd w:val="clear" w:color="auto" w:fill="FFFFFF"/>
          <w:lang w:val="en-US" w:eastAsia="zh-CN"/>
        </w:rPr>
        <w:t>附件</w:t>
      </w:r>
    </w:p>
    <w:p>
      <w:pPr>
        <w:keepNext w:val="0"/>
        <w:keepLines w:val="0"/>
        <w:pageBreakBefore w:val="0"/>
        <w:widowControl w:val="0"/>
        <w:kinsoku/>
        <w:wordWrap/>
        <w:topLinePunct w:val="0"/>
        <w:autoSpaceDE/>
        <w:autoSpaceDN/>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lang w:eastAsia="zh-CN"/>
        </w:rPr>
      </w:pPr>
      <w:r>
        <w:rPr>
          <w:rFonts w:hint="eastAsia" w:ascii="方正小标宋简体" w:hAnsi="Arial" w:eastAsia="方正小标宋简体" w:cs="Arial"/>
          <w:color w:val="auto"/>
          <w:sz w:val="44"/>
          <w:szCs w:val="21"/>
          <w:shd w:val="clear" w:color="auto" w:fill="FFFFFF"/>
          <w:lang w:eastAsia="zh-CN"/>
        </w:rPr>
        <w:t>关于“</w:t>
      </w:r>
      <w:r>
        <w:rPr>
          <w:rFonts w:hint="eastAsia" w:ascii="方正小标宋简体" w:hAnsi="Arial" w:eastAsia="方正小标宋简体" w:cs="Arial"/>
          <w:color w:val="auto"/>
          <w:sz w:val="44"/>
          <w:szCs w:val="21"/>
          <w:shd w:val="clear" w:color="auto" w:fill="FFFFFF"/>
          <w:lang w:val="en-US" w:eastAsia="zh-CN"/>
        </w:rPr>
        <w:t>4·16</w:t>
      </w:r>
      <w:r>
        <w:rPr>
          <w:rFonts w:hint="eastAsia" w:ascii="方正小标宋简体" w:hAnsi="Arial" w:eastAsia="方正小标宋简体" w:cs="Arial"/>
          <w:color w:val="auto"/>
          <w:sz w:val="44"/>
          <w:szCs w:val="21"/>
          <w:shd w:val="clear" w:color="auto" w:fill="FFFFFF"/>
          <w:lang w:eastAsia="zh-CN"/>
        </w:rPr>
        <w:t>”高处坠落一般生产安全</w:t>
      </w:r>
    </w:p>
    <w:p>
      <w:pPr>
        <w:keepNext w:val="0"/>
        <w:keepLines w:val="0"/>
        <w:pageBreakBefore w:val="0"/>
        <w:widowControl w:val="0"/>
        <w:kinsoku/>
        <w:wordWrap/>
        <w:topLinePunct w:val="0"/>
        <w:autoSpaceDE/>
        <w:autoSpaceDN/>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rPr>
      </w:pPr>
      <w:r>
        <w:rPr>
          <w:rFonts w:hint="eastAsia" w:ascii="方正小标宋简体" w:hAnsi="Arial" w:eastAsia="方正小标宋简体" w:cs="Arial"/>
          <w:color w:val="auto"/>
          <w:sz w:val="44"/>
          <w:szCs w:val="21"/>
          <w:shd w:val="clear" w:color="auto" w:fill="FFFFFF"/>
          <w:lang w:eastAsia="zh-CN"/>
        </w:rPr>
        <w:t>责任事故的调查报告</w:t>
      </w:r>
    </w:p>
    <w:p>
      <w:pPr>
        <w:keepNext w:val="0"/>
        <w:keepLines w:val="0"/>
        <w:pageBreakBefore w:val="0"/>
        <w:widowControl w:val="0"/>
        <w:kinsoku/>
        <w:wordWrap/>
        <w:topLinePunct w:val="0"/>
        <w:autoSpaceDE/>
        <w:autoSpaceDN/>
        <w:bidi w:val="0"/>
        <w:adjustRightInd/>
        <w:snapToGrid/>
        <w:spacing w:line="560" w:lineRule="exact"/>
        <w:textAlignment w:val="auto"/>
        <w:rPr>
          <w:color w:val="auto"/>
        </w:rPr>
      </w:pP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rPr>
      </w:pPr>
      <w:r>
        <w:rPr>
          <w:rFonts w:hint="eastAsia" w:ascii="仿宋_GB2312" w:hAnsi="仿宋_GB2312" w:eastAsia="仿宋_GB2312" w:cs="仿宋_GB2312"/>
        </w:rPr>
        <w:t>2023年4月16日13时50分左右，位于崇明区新海镇白新公路671号德鸿佳苑</w:t>
      </w:r>
      <w:r>
        <w:rPr>
          <w:rFonts w:hint="eastAsia" w:cs="仿宋_GB2312"/>
          <w:lang w:eastAsia="zh-CN"/>
        </w:rPr>
        <w:t>（</w:t>
      </w:r>
      <w:r>
        <w:rPr>
          <w:rFonts w:hint="eastAsia" w:ascii="仿宋_GB2312" w:hAnsi="仿宋_GB2312" w:eastAsia="仿宋_GB2312" w:cs="仿宋_GB2312"/>
        </w:rPr>
        <w:t>旧住房综合改造三期工程</w:t>
      </w:r>
      <w:r>
        <w:rPr>
          <w:rFonts w:hint="eastAsia" w:cs="仿宋_GB2312"/>
          <w:lang w:eastAsia="zh-CN"/>
        </w:rPr>
        <w:t>）</w:t>
      </w:r>
      <w:r>
        <w:rPr>
          <w:rFonts w:hint="eastAsia" w:ascii="仿宋_GB2312" w:hAnsi="仿宋_GB2312" w:eastAsia="仿宋_GB2312" w:cs="仿宋_GB2312"/>
        </w:rPr>
        <w:t>90号楼，上海辰尹建设发展有限公司发生一起高处坠落亡人事故</w:t>
      </w:r>
      <w:r>
        <w:rPr>
          <w:rFonts w:hint="eastAsia" w:cs="仿宋_GB2312"/>
          <w:lang w:eastAsia="zh-CN"/>
        </w:rPr>
        <w:t>（</w:t>
      </w:r>
      <w:r>
        <w:rPr>
          <w:rFonts w:hint="eastAsia" w:ascii="仿宋_GB2312" w:hAnsi="仿宋_GB2312" w:eastAsia="仿宋_GB2312" w:cs="仿宋_GB2312"/>
        </w:rPr>
        <w:t>以下简称“</w:t>
      </w:r>
      <w:r>
        <w:rPr>
          <w:rFonts w:hint="eastAsia" w:cs="仿宋_GB2312"/>
          <w:lang w:val="en-US" w:eastAsia="zh-CN"/>
        </w:rPr>
        <w:t>4</w:t>
      </w:r>
      <w:r>
        <w:rPr>
          <w:rFonts w:hint="eastAsia" w:ascii="仿宋_GB2312" w:hAnsi="仿宋_GB2312" w:eastAsia="仿宋_GB2312" w:cs="仿宋_GB2312"/>
        </w:rPr>
        <w:t>·</w:t>
      </w:r>
      <w:r>
        <w:rPr>
          <w:rFonts w:hint="eastAsia" w:cs="仿宋_GB2312"/>
          <w:lang w:val="en-US" w:eastAsia="zh-CN"/>
        </w:rPr>
        <w:t>16</w:t>
      </w:r>
      <w:r>
        <w:rPr>
          <w:rFonts w:hint="eastAsia" w:ascii="仿宋_GB2312" w:hAnsi="仿宋_GB2312" w:eastAsia="仿宋_GB2312" w:cs="仿宋_GB2312"/>
        </w:rPr>
        <w:t>”事故）。</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olor w:val="auto"/>
          <w:szCs w:val="32"/>
        </w:rPr>
      </w:pPr>
      <w:r>
        <w:rPr>
          <w:rFonts w:hint="eastAsia"/>
          <w:color w:val="auto"/>
          <w:szCs w:val="32"/>
        </w:rPr>
        <w:t>根据《中华人民共和国安全生产法》和《生产安全事故报告和调查处理条例》(国务院令第493号)及《上海市</w:t>
      </w:r>
      <w:r>
        <w:rPr>
          <w:rFonts w:hint="eastAsia"/>
          <w:color w:val="auto"/>
          <w:szCs w:val="32"/>
          <w:lang w:eastAsia="zh-CN"/>
        </w:rPr>
        <w:t>实施</w:t>
      </w:r>
      <w:r>
        <w:rPr>
          <w:rFonts w:hint="eastAsia"/>
          <w:color w:val="auto"/>
          <w:szCs w:val="32"/>
        </w:rPr>
        <w:t>〈生产安全事故报告和调查处理条例〉的若干规定》（沪府规〔2023〕5号）,受上海市崇明区人民政府委托，成立由上海市崇明区应急管理局（以下简称区应急局）牵头，上海市公安局崇明分局、上海市崇明区总工会、</w:t>
      </w:r>
      <w:r>
        <w:rPr>
          <w:rFonts w:hint="eastAsia"/>
          <w:color w:val="auto"/>
          <w:szCs w:val="32"/>
          <w:lang w:eastAsia="zh-CN"/>
        </w:rPr>
        <w:t>上海市崇明区建设和管理委员会、上海市崇明区新海镇人民政府</w:t>
      </w:r>
      <w:r>
        <w:rPr>
          <w:rFonts w:hint="eastAsia"/>
          <w:color w:val="auto"/>
          <w:szCs w:val="32"/>
        </w:rPr>
        <w:t>等单位组成的“</w:t>
      </w:r>
      <w:r>
        <w:rPr>
          <w:rFonts w:hint="eastAsia"/>
          <w:color w:val="auto"/>
          <w:szCs w:val="32"/>
          <w:lang w:val="en-US" w:eastAsia="zh-CN"/>
        </w:rPr>
        <w:t>4·16</w:t>
      </w:r>
      <w:r>
        <w:rPr>
          <w:rFonts w:hint="eastAsia"/>
          <w:color w:val="auto"/>
          <w:szCs w:val="32"/>
        </w:rPr>
        <w:t>”事故调查组（以下简称事故调查组），并邀请中共上海市崇明区纪律检查委员会（上海市崇明区监察委员会）监督，开展事故调查工作。现将调查主要情况报告如下：</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一、基本情况</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lang w:eastAsia="zh-CN"/>
        </w:rPr>
        <w:t>（一）涉事单位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lang w:val="en-US" w:eastAsia="zh-CN"/>
        </w:rPr>
      </w:pPr>
      <w:r>
        <w:rPr>
          <w:rFonts w:hint="eastAsia" w:cs="仿宋_GB2312"/>
          <w:color w:val="auto"/>
          <w:sz w:val="32"/>
          <w:szCs w:val="32"/>
          <w:lang w:val="en-US" w:eastAsia="zh-CN"/>
        </w:rPr>
        <w:t>1.光明食品集团上海崇明农场有限公司（以下简称光明公司）；法定代表人：张国江；住所：上海市崇明区前进农场。该公司为旧住房综合改造三期工程的建设单位。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eastAsia="仿宋_GB2312" w:cs="仿宋_GB2312"/>
          <w:color w:val="auto"/>
          <w:sz w:val="32"/>
          <w:szCs w:val="32"/>
          <w:lang w:val="en-US" w:eastAsia="zh-CN"/>
        </w:rPr>
      </w:pPr>
      <w:r>
        <w:rPr>
          <w:rFonts w:hint="eastAsia" w:cs="仿宋_GB2312"/>
          <w:color w:val="auto"/>
          <w:sz w:val="32"/>
          <w:szCs w:val="32"/>
          <w:lang w:val="en-US" w:eastAsia="zh-CN"/>
        </w:rPr>
        <w:t>2.上海跃光建筑工程有限公司（以下简称跃光公司）；法定代表人：张洪兵；住所：上海富盛经济开发区。该公司为旧住房综合改造三期工程的总承包单位。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cs="仿宋_GB2312"/>
          <w:color w:val="auto"/>
          <w:sz w:val="32"/>
          <w:szCs w:val="32"/>
          <w:lang w:val="en-US" w:eastAsia="zh-CN"/>
        </w:rPr>
      </w:pPr>
      <w:r>
        <w:rPr>
          <w:rFonts w:hint="eastAsia" w:cs="仿宋_GB2312"/>
          <w:color w:val="auto"/>
          <w:sz w:val="32"/>
          <w:szCs w:val="32"/>
          <w:lang w:val="en-US" w:eastAsia="zh-CN"/>
        </w:rPr>
        <w:t>3.利呈致远建筑工程（上海）有限公司;曾用名：上海焱赫劳务服务有限公司（以下简称焱赫公司）；法定代表人：林忠；住所：上海市崇明区港西镇三双公路1021号12幢H1213室（上海津桥经济开发区）。该公司为旧住房综合改造三期工程的劳务分包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cs="仿宋_GB2312"/>
          <w:color w:val="0000FF"/>
          <w:sz w:val="32"/>
          <w:szCs w:val="32"/>
          <w:lang w:val="en-US" w:eastAsia="zh-CN"/>
        </w:rPr>
      </w:pPr>
      <w:r>
        <w:rPr>
          <w:rFonts w:hint="eastAsia" w:cs="仿宋_GB2312"/>
          <w:color w:val="auto"/>
          <w:sz w:val="32"/>
          <w:szCs w:val="32"/>
          <w:lang w:val="en-US" w:eastAsia="zh-CN"/>
        </w:rPr>
        <w:t>4.上海辰尹建设发展有限公司（以下简称辰尹公司）；法定代表人：朱金其；住所：上海市崇明区三星镇宏海公路4588号3号楼315-12室（上海三星经济小区）。该公司为旧住房综合改造三期工程1号-5号楼</w:t>
      </w:r>
      <w:r>
        <w:rPr>
          <w:rFonts w:hint="eastAsia" w:ascii="仿宋_GB2312" w:hAnsi="仿宋_GB2312" w:cs="仿宋_GB2312"/>
          <w:b w:val="0"/>
          <w:bCs/>
          <w:color w:val="auto"/>
          <w:szCs w:val="32"/>
          <w:lang w:val="en-US" w:eastAsia="zh-CN"/>
        </w:rPr>
        <w:t>（现</w:t>
      </w:r>
      <w:r>
        <w:rPr>
          <w:rFonts w:hint="eastAsia" w:cs="仿宋_GB2312"/>
          <w:b w:val="0"/>
          <w:bCs/>
          <w:color w:val="auto"/>
          <w:szCs w:val="32"/>
          <w:lang w:val="en-US" w:eastAsia="zh-CN"/>
        </w:rPr>
        <w:t>73</w:t>
      </w:r>
      <w:r>
        <w:rPr>
          <w:rFonts w:hint="eastAsia" w:ascii="仿宋_GB2312" w:hAnsi="仿宋_GB2312" w:cs="仿宋_GB2312"/>
          <w:b w:val="0"/>
          <w:bCs/>
          <w:color w:val="auto"/>
          <w:szCs w:val="32"/>
          <w:lang w:val="en-US" w:eastAsia="zh-CN"/>
        </w:rPr>
        <w:t>号-</w:t>
      </w:r>
      <w:r>
        <w:rPr>
          <w:rFonts w:hint="eastAsia" w:cs="仿宋_GB2312"/>
          <w:b w:val="0"/>
          <w:bCs/>
          <w:color w:val="auto"/>
          <w:szCs w:val="32"/>
          <w:lang w:val="en-US" w:eastAsia="zh-CN"/>
        </w:rPr>
        <w:t>96</w:t>
      </w:r>
      <w:r>
        <w:rPr>
          <w:rFonts w:hint="eastAsia" w:ascii="仿宋_GB2312" w:hAnsi="仿宋_GB2312" w:cs="仿宋_GB2312"/>
          <w:b w:val="0"/>
          <w:bCs/>
          <w:color w:val="auto"/>
          <w:szCs w:val="32"/>
          <w:lang w:val="en-US" w:eastAsia="zh-CN"/>
        </w:rPr>
        <w:t>号楼）</w:t>
      </w:r>
      <w:r>
        <w:rPr>
          <w:rFonts w:hint="eastAsia" w:cs="仿宋_GB2312"/>
          <w:b w:val="0"/>
          <w:bCs/>
          <w:color w:val="auto"/>
          <w:szCs w:val="32"/>
          <w:lang w:val="en-US" w:eastAsia="zh-CN"/>
        </w:rPr>
        <w:t>空调外机隔板栏杆补漆作业单位</w:t>
      </w:r>
      <w:r>
        <w:rPr>
          <w:rFonts w:hint="eastAsia"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楷体_GB2312" w:hAnsi="楷体_GB2312" w:eastAsia="楷体_GB2312" w:cs="楷体_GB2312"/>
          <w:b/>
          <w:bCs w:val="0"/>
          <w:color w:val="auto"/>
          <w:szCs w:val="32"/>
          <w:lang w:eastAsia="zh-CN"/>
        </w:rPr>
      </w:pPr>
      <w:r>
        <w:rPr>
          <w:rFonts w:hint="eastAsia" w:ascii="楷体_GB2312" w:hAnsi="楷体_GB2312" w:eastAsia="楷体_GB2312" w:cs="楷体_GB2312"/>
          <w:b/>
          <w:bCs w:val="0"/>
          <w:color w:val="auto"/>
          <w:szCs w:val="32"/>
          <w:lang w:eastAsia="zh-CN"/>
        </w:rPr>
        <w:t>（二）合同签署情况</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cs="仿宋_GB2312"/>
          <w:b/>
          <w:bCs/>
          <w:color w:val="auto"/>
          <w:szCs w:val="32"/>
          <w:lang w:val="en-US" w:eastAsia="zh-CN"/>
        </w:rPr>
      </w:pPr>
      <w:r>
        <w:rPr>
          <w:rFonts w:hint="eastAsia" w:cs="仿宋_GB2312"/>
          <w:b/>
          <w:bCs/>
          <w:color w:val="auto"/>
          <w:szCs w:val="32"/>
          <w:lang w:val="en-US" w:eastAsia="zh-CN"/>
        </w:rPr>
        <w:t>1.施工总包合同</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default" w:eastAsia="仿宋_GB2312" w:cs="仿宋_GB2312"/>
          <w:color w:val="auto"/>
          <w:szCs w:val="32"/>
          <w:lang w:val="en-US" w:eastAsia="zh-CN"/>
        </w:rPr>
      </w:pPr>
      <w:r>
        <w:rPr>
          <w:rFonts w:hint="eastAsia" w:cs="仿宋_GB2312"/>
          <w:color w:val="auto"/>
          <w:szCs w:val="32"/>
          <w:lang w:val="en-US" w:eastAsia="zh-CN"/>
        </w:rPr>
        <w:t>2018年5月4日，光明</w:t>
      </w:r>
      <w:r>
        <w:rPr>
          <w:rFonts w:hint="eastAsia" w:cs="仿宋_GB2312"/>
          <w:color w:val="auto"/>
          <w:sz w:val="32"/>
          <w:szCs w:val="32"/>
          <w:lang w:val="en-US" w:eastAsia="zh-CN"/>
        </w:rPr>
        <w:t>公司与跃光公司签订《建设施工合同》,合同约定光明公司将旧住房综合改造三期工程发包给跃光公司。2022年7月1日，旧住房综合改造三期工程土建竣工，9月15日，跃光公司退场并委派两名人员对旧住房综合改造三期工程进行管理直至物业进场。</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ascii="仿宋_GB2312" w:hAnsi="仿宋_GB2312" w:eastAsia="仿宋_GB2312" w:cs="仿宋_GB2312"/>
          <w:b/>
          <w:bCs w:val="0"/>
          <w:color w:val="auto"/>
          <w:szCs w:val="32"/>
          <w:lang w:val="en-US" w:eastAsia="zh-CN"/>
        </w:rPr>
      </w:pPr>
      <w:r>
        <w:rPr>
          <w:rFonts w:hint="eastAsia" w:ascii="仿宋_GB2312" w:hAnsi="仿宋_GB2312" w:eastAsia="仿宋_GB2312" w:cs="仿宋_GB2312"/>
          <w:b/>
          <w:bCs w:val="0"/>
          <w:color w:val="auto"/>
          <w:szCs w:val="32"/>
          <w:lang w:val="en-US" w:eastAsia="zh-CN"/>
        </w:rPr>
        <w:t>2.</w:t>
      </w:r>
      <w:r>
        <w:rPr>
          <w:rFonts w:hint="eastAsia" w:cs="仿宋_GB2312"/>
          <w:b/>
          <w:bCs w:val="0"/>
          <w:color w:val="auto"/>
          <w:szCs w:val="32"/>
          <w:lang w:val="en-US" w:eastAsia="zh-CN"/>
        </w:rPr>
        <w:t>劳务分包合同</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cs="仿宋_GB2312"/>
          <w:b w:val="0"/>
          <w:bCs/>
          <w:color w:val="auto"/>
          <w:szCs w:val="32"/>
          <w:lang w:val="en-US" w:eastAsia="zh-CN"/>
        </w:rPr>
      </w:pPr>
      <w:r>
        <w:rPr>
          <w:rFonts w:hint="eastAsia" w:cs="仿宋_GB2312"/>
          <w:b w:val="0"/>
          <w:bCs/>
          <w:color w:val="auto"/>
          <w:szCs w:val="32"/>
          <w:lang w:val="en-US" w:eastAsia="zh-CN"/>
        </w:rPr>
        <w:t>2018年11月15日，跃光公司与焱赫公司签订《建设施工劳务分包合同》，合同约定跃光公司将旧住房综合改造三期工程中木工、抹灰、钢筋、脚手架搭设、砌筑、油漆等作业劳务分包给焱赫公司。</w:t>
      </w:r>
      <w:r>
        <w:rPr>
          <w:rFonts w:hint="eastAsia" w:ascii="仿宋_GB2312" w:hAnsi="仿宋_GB2312" w:cs="仿宋_GB2312"/>
          <w:b w:val="0"/>
          <w:bCs/>
          <w:color w:val="auto"/>
          <w:szCs w:val="32"/>
          <w:lang w:val="en-US" w:eastAsia="zh-CN"/>
        </w:rPr>
        <w:t>2022年4月，</w:t>
      </w:r>
      <w:r>
        <w:rPr>
          <w:rFonts w:hint="eastAsia" w:cs="仿宋_GB2312"/>
          <w:b w:val="0"/>
          <w:bCs/>
          <w:color w:val="auto"/>
          <w:szCs w:val="32"/>
          <w:lang w:val="en-US" w:eastAsia="zh-CN"/>
        </w:rPr>
        <w:t>双方签订的</w:t>
      </w:r>
      <w:r>
        <w:rPr>
          <w:rFonts w:hint="eastAsia" w:ascii="仿宋_GB2312" w:hAnsi="仿宋_GB2312" w:cs="仿宋_GB2312"/>
          <w:b w:val="0"/>
          <w:bCs/>
          <w:color w:val="auto"/>
          <w:szCs w:val="32"/>
          <w:lang w:val="en-US" w:eastAsia="zh-CN"/>
        </w:rPr>
        <w:t>《建设施工劳务分包合同》履行完毕</w:t>
      </w:r>
      <w:r>
        <w:rPr>
          <w:rFonts w:hint="eastAsia" w:cs="仿宋_GB2312"/>
          <w:b w:val="0"/>
          <w:bCs/>
          <w:color w:val="auto"/>
          <w:szCs w:val="32"/>
          <w:lang w:val="en-US" w:eastAsia="zh-CN"/>
        </w:rPr>
        <w:t>，焱赫公司退场。</w:t>
      </w:r>
    </w:p>
    <w:p>
      <w:pPr>
        <w:pStyle w:val="2"/>
        <w:keepNext w:val="0"/>
        <w:keepLines w:val="0"/>
        <w:pageBreakBefore w:val="0"/>
        <w:widowControl w:val="0"/>
        <w:kinsoku/>
        <w:wordWrap/>
        <w:topLinePunct w:val="0"/>
        <w:autoSpaceDE/>
        <w:autoSpaceDN/>
        <w:bidi w:val="0"/>
        <w:adjustRightInd/>
        <w:spacing w:line="560" w:lineRule="exact"/>
        <w:textAlignment w:val="auto"/>
        <w:rPr>
          <w:rFonts w:hint="eastAsia" w:ascii="仿宋_GB2312" w:hAnsi="仿宋_GB2312" w:eastAsia="仿宋_GB2312" w:cs="仿宋_GB2312"/>
          <w:b/>
          <w:bCs w:val="0"/>
          <w:color w:val="auto"/>
          <w:szCs w:val="32"/>
          <w:lang w:val="en-US" w:eastAsia="zh-CN"/>
        </w:rPr>
      </w:pPr>
      <w:r>
        <w:rPr>
          <w:rFonts w:hint="eastAsia" w:ascii="仿宋_GB2312" w:hAnsi="仿宋_GB2312" w:eastAsia="仿宋_GB2312" w:cs="仿宋_GB2312"/>
          <w:b/>
          <w:bCs w:val="0"/>
          <w:color w:val="auto"/>
          <w:szCs w:val="32"/>
          <w:lang w:val="en-US" w:eastAsia="zh-CN"/>
        </w:rPr>
        <w:t>3.</w:t>
      </w:r>
      <w:r>
        <w:rPr>
          <w:rFonts w:hint="eastAsia" w:ascii="仿宋_GB2312" w:hAnsi="仿宋_GB2312" w:cs="仿宋_GB2312"/>
          <w:b/>
          <w:bCs w:val="0"/>
          <w:color w:val="auto"/>
          <w:szCs w:val="32"/>
          <w:lang w:val="en-US" w:eastAsia="zh-CN"/>
        </w:rPr>
        <w:t>现场管理约定</w:t>
      </w:r>
    </w:p>
    <w:p>
      <w:pPr>
        <w:pStyle w:val="2"/>
        <w:keepNext w:val="0"/>
        <w:keepLines w:val="0"/>
        <w:pageBreakBefore w:val="0"/>
        <w:widowControl w:val="0"/>
        <w:kinsoku/>
        <w:wordWrap/>
        <w:topLinePunct w:val="0"/>
        <w:autoSpaceDE/>
        <w:autoSpaceDN/>
        <w:bidi w:val="0"/>
        <w:adjustRightInd/>
        <w:spacing w:line="560" w:lineRule="exact"/>
        <w:textAlignment w:val="auto"/>
        <w:rPr>
          <w:rFonts w:hint="eastAsia" w:ascii="仿宋_GB2312" w:hAnsi="仿宋_GB2312" w:cs="仿宋_GB2312"/>
          <w:b w:val="0"/>
          <w:bCs/>
          <w:color w:val="auto"/>
          <w:szCs w:val="32"/>
          <w:lang w:val="en-US" w:eastAsia="zh-CN"/>
        </w:rPr>
      </w:pPr>
      <w:r>
        <w:rPr>
          <w:rFonts w:hint="eastAsia" w:ascii="仿宋_GB2312" w:hAnsi="仿宋_GB2312" w:cs="仿宋_GB2312"/>
          <w:b w:val="0"/>
          <w:bCs/>
          <w:color w:val="auto"/>
          <w:szCs w:val="32"/>
          <w:lang w:val="en-US" w:eastAsia="zh-CN"/>
        </w:rPr>
        <w:t>2018年11月15日，焱赫公司口头委派朱金其负责旧住房综合改造三期工程中1号-5号楼（现73号-96号楼）的安全、质量、进度、施工、管理等。</w:t>
      </w:r>
    </w:p>
    <w:p>
      <w:pPr>
        <w:pStyle w:val="2"/>
        <w:keepNext w:val="0"/>
        <w:keepLines w:val="0"/>
        <w:pageBreakBefore w:val="0"/>
        <w:widowControl w:val="0"/>
        <w:kinsoku/>
        <w:wordWrap/>
        <w:topLinePunct w:val="0"/>
        <w:autoSpaceDE/>
        <w:autoSpaceDN/>
        <w:bidi w:val="0"/>
        <w:adjustRightInd/>
        <w:spacing w:line="560" w:lineRule="exact"/>
        <w:textAlignment w:val="auto"/>
        <w:rPr>
          <w:rFonts w:hint="eastAsia" w:ascii="仿宋_GB2312" w:hAnsi="仿宋_GB2312" w:eastAsia="仿宋_GB2312" w:cs="仿宋_GB2312"/>
          <w:b/>
          <w:bCs w:val="0"/>
          <w:color w:val="auto"/>
          <w:szCs w:val="32"/>
          <w:lang w:val="en-US" w:eastAsia="zh-CN"/>
        </w:rPr>
      </w:pPr>
      <w:r>
        <w:rPr>
          <w:rFonts w:hint="eastAsia" w:ascii="仿宋_GB2312" w:hAnsi="仿宋_GB2312" w:eastAsia="仿宋_GB2312" w:cs="仿宋_GB2312"/>
          <w:b/>
          <w:bCs w:val="0"/>
          <w:color w:val="auto"/>
          <w:szCs w:val="32"/>
          <w:lang w:val="en-US" w:eastAsia="zh-CN"/>
        </w:rPr>
        <w:t>4.</w:t>
      </w:r>
      <w:r>
        <w:rPr>
          <w:rFonts w:hint="eastAsia" w:ascii="仿宋_GB2312" w:hAnsi="仿宋_GB2312" w:cs="仿宋_GB2312"/>
          <w:b/>
          <w:bCs w:val="0"/>
          <w:color w:val="auto"/>
          <w:szCs w:val="32"/>
          <w:lang w:val="en-US" w:eastAsia="zh-CN"/>
        </w:rPr>
        <w:t>临聘用工约定</w:t>
      </w:r>
    </w:p>
    <w:p>
      <w:pPr>
        <w:pStyle w:val="2"/>
        <w:keepNext w:val="0"/>
        <w:keepLines w:val="0"/>
        <w:pageBreakBefore w:val="0"/>
        <w:widowControl w:val="0"/>
        <w:kinsoku/>
        <w:wordWrap/>
        <w:topLinePunct w:val="0"/>
        <w:autoSpaceDE/>
        <w:autoSpaceDN/>
        <w:bidi w:val="0"/>
        <w:adjustRightInd/>
        <w:spacing w:line="560" w:lineRule="exact"/>
        <w:textAlignment w:val="auto"/>
        <w:rPr>
          <w:rFonts w:hint="default"/>
          <w:lang w:val="en-US" w:eastAsia="zh-CN"/>
        </w:rPr>
      </w:pPr>
      <w:r>
        <w:rPr>
          <w:rFonts w:hint="eastAsia" w:cs="仿宋_GB2312"/>
          <w:b w:val="0"/>
          <w:bCs/>
          <w:color w:val="auto"/>
          <w:szCs w:val="32"/>
          <w:lang w:val="en-US" w:eastAsia="zh-CN"/>
        </w:rPr>
        <w:t>黄某某（死者）系辰尹公司临时聘用工，未签订劳动合同，从事油漆修补等工作。</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ascii="楷体_GB2312" w:hAnsi="楷体_GB2312" w:eastAsia="楷体_GB2312" w:cs="楷体_GB2312"/>
          <w:b/>
          <w:bCs w:val="0"/>
          <w:color w:val="auto"/>
          <w:szCs w:val="32"/>
          <w:lang w:val="en-US" w:eastAsia="zh-CN"/>
        </w:rPr>
      </w:pPr>
      <w:r>
        <w:rPr>
          <w:rFonts w:hint="eastAsia" w:ascii="楷体_GB2312" w:hAnsi="楷体_GB2312" w:eastAsia="楷体_GB2312" w:cs="楷体_GB2312"/>
          <w:b/>
          <w:bCs w:val="0"/>
          <w:color w:val="auto"/>
          <w:szCs w:val="32"/>
          <w:lang w:val="en-US" w:eastAsia="zh-CN"/>
        </w:rPr>
        <w:t>（三）项目基本情况</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cs="仿宋_GB2312"/>
          <w:b w:val="0"/>
          <w:bCs/>
          <w:color w:val="auto"/>
          <w:szCs w:val="32"/>
          <w:lang w:val="en-US" w:eastAsia="zh-CN"/>
        </w:rPr>
      </w:pPr>
      <w:r>
        <w:rPr>
          <w:rFonts w:hint="eastAsia" w:ascii="仿宋_GB2312" w:hAnsi="仿宋_GB2312" w:eastAsia="仿宋_GB2312" w:cs="仿宋_GB2312"/>
          <w:b w:val="0"/>
          <w:bCs/>
          <w:color w:val="auto"/>
          <w:szCs w:val="32"/>
          <w:lang w:eastAsia="zh-CN"/>
        </w:rPr>
        <w:t>旧住房综合改造三期工程</w:t>
      </w:r>
      <w:r>
        <w:rPr>
          <w:rFonts w:hint="eastAsia" w:cs="仿宋_GB2312"/>
          <w:b w:val="0"/>
          <w:bCs/>
          <w:color w:val="auto"/>
          <w:szCs w:val="32"/>
          <w:lang w:eastAsia="zh-CN"/>
        </w:rPr>
        <w:t>系光明公司为其公司职工建造的安置房，该工程包括多层住宅</w:t>
      </w:r>
      <w:r>
        <w:rPr>
          <w:rFonts w:hint="eastAsia" w:cs="仿宋_GB2312"/>
          <w:b w:val="0"/>
          <w:bCs/>
          <w:color w:val="auto"/>
          <w:szCs w:val="32"/>
          <w:lang w:val="en-US" w:eastAsia="zh-CN"/>
        </w:rPr>
        <w:t>20幢、配套建筑8幢等，开工日期为2018年9月，土建竣工日期为2022年1月。2022年12月18日，光明公司将安置房分配给职工，现阶段相关配套设施仍未完善，预计2023年年底职工正式入住。</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default"/>
          <w:lang w:val="en-US" w:eastAsia="zh-CN"/>
        </w:rPr>
      </w:pPr>
      <w:r>
        <w:rPr>
          <w:rFonts w:hint="eastAsia" w:ascii="仿宋_GB2312" w:hAnsi="仿宋_GB2312" w:cs="仿宋_GB2312"/>
          <w:b w:val="0"/>
          <w:bCs/>
          <w:color w:val="auto"/>
          <w:szCs w:val="32"/>
          <w:lang w:val="en-US" w:eastAsia="zh-CN"/>
        </w:rPr>
        <w:t>2023年4月，朱金其发现1号-5号楼（现73号-96号楼）空调外机隔板栏杆油漆脱落，便安排</w:t>
      </w:r>
      <w:r>
        <w:rPr>
          <w:rFonts w:hint="eastAsia" w:cs="仿宋_GB2312"/>
          <w:b w:val="0"/>
          <w:bCs/>
          <w:color w:val="auto"/>
          <w:szCs w:val="32"/>
          <w:lang w:val="en-US" w:eastAsia="zh-CN"/>
        </w:rPr>
        <w:t>临聘工</w:t>
      </w:r>
      <w:r>
        <w:rPr>
          <w:rFonts w:hint="eastAsia" w:ascii="仿宋_GB2312" w:hAnsi="仿宋_GB2312" w:cs="仿宋_GB2312"/>
          <w:b w:val="0"/>
          <w:bCs/>
          <w:color w:val="auto"/>
          <w:szCs w:val="32"/>
          <w:lang w:val="en-US" w:eastAsia="zh-CN"/>
        </w:rPr>
        <w:t>对空调外机隔板栏杆进行补漆作业。</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ascii="黑体" w:eastAsia="黑体"/>
          <w:b w:val="0"/>
          <w:bCs/>
          <w:color w:val="auto"/>
          <w:szCs w:val="32"/>
        </w:rPr>
      </w:pPr>
      <w:r>
        <w:rPr>
          <w:rFonts w:hint="eastAsia" w:ascii="黑体" w:eastAsia="黑体"/>
          <w:b w:val="0"/>
          <w:bCs/>
          <w:color w:val="auto"/>
          <w:szCs w:val="32"/>
          <w:lang w:eastAsia="zh-CN"/>
        </w:rPr>
        <w:t>二</w:t>
      </w:r>
      <w:r>
        <w:rPr>
          <w:rFonts w:hint="eastAsia" w:ascii="黑体" w:eastAsia="黑体"/>
          <w:b w:val="0"/>
          <w:bCs/>
          <w:color w:val="auto"/>
          <w:szCs w:val="32"/>
        </w:rPr>
        <w:t>、</w:t>
      </w:r>
      <w:r>
        <w:rPr>
          <w:rFonts w:hint="eastAsia" w:ascii="黑体" w:eastAsia="黑体"/>
          <w:b w:val="0"/>
          <w:bCs/>
          <w:color w:val="auto"/>
          <w:szCs w:val="32"/>
          <w:lang w:eastAsia="zh-CN"/>
        </w:rPr>
        <w:t>事故</w:t>
      </w:r>
      <w:r>
        <w:rPr>
          <w:rFonts w:hint="eastAsia" w:ascii="黑体" w:eastAsia="黑体"/>
          <w:b w:val="0"/>
          <w:bCs/>
          <w:color w:val="auto"/>
          <w:szCs w:val="32"/>
        </w:rPr>
        <w:t>经过</w:t>
      </w:r>
    </w:p>
    <w:p>
      <w:pPr>
        <w:keepNext w:val="0"/>
        <w:keepLines w:val="0"/>
        <w:pageBreakBefore w:val="0"/>
        <w:widowControl w:val="0"/>
        <w:kinsoku/>
        <w:wordWrap/>
        <w:overflowPunct w:val="0"/>
        <w:topLinePunct w:val="0"/>
        <w:autoSpaceDE/>
        <w:autoSpaceDN/>
        <w:bidi w:val="0"/>
        <w:adjustRightInd/>
        <w:snapToGrid w:val="0"/>
        <w:spacing w:line="560" w:lineRule="exact"/>
        <w:ind w:firstLine="643"/>
        <w:jc w:val="both"/>
        <w:textAlignment w:val="auto"/>
        <w:outlineLvl w:val="9"/>
        <w:rPr>
          <w:rFonts w:hint="eastAsia" w:cs="仿宋_GB2312"/>
          <w:color w:val="auto"/>
          <w:kern w:val="2"/>
          <w:sz w:val="32"/>
          <w:szCs w:val="32"/>
          <w:u w:val="none"/>
          <w:lang w:val="en-US" w:eastAsia="zh-CN" w:bidi="ar-SA"/>
        </w:rPr>
      </w:pPr>
      <w:r>
        <w:rPr>
          <w:rFonts w:hint="eastAsia" w:cs="仿宋_GB2312"/>
          <w:color w:val="auto"/>
          <w:kern w:val="2"/>
          <w:sz w:val="32"/>
          <w:szCs w:val="32"/>
          <w:u w:val="none"/>
          <w:lang w:val="en-US" w:eastAsia="zh-CN" w:bidi="ar-SA"/>
        </w:rPr>
        <w:t>2023年4月16日，朱金其安排临聘工朱爱兵、沈惠仙、黄某某（死者）对空调外机隔板栏杆进行补漆作业。</w:t>
      </w:r>
    </w:p>
    <w:p>
      <w:pPr>
        <w:pStyle w:val="2"/>
        <w:keepNext w:val="0"/>
        <w:keepLines w:val="0"/>
        <w:pageBreakBefore w:val="0"/>
        <w:widowControl w:val="0"/>
        <w:kinsoku/>
        <w:wordWrap/>
        <w:overflowPunct w:val="0"/>
        <w:topLinePunct w:val="0"/>
        <w:autoSpaceDE/>
        <w:autoSpaceDN/>
        <w:bidi w:val="0"/>
        <w:adjustRightInd/>
        <w:snapToGrid w:val="0"/>
        <w:spacing w:line="560" w:lineRule="exact"/>
        <w:textAlignment w:val="auto"/>
        <w:rPr>
          <w:rFonts w:hint="eastAsia" w:ascii="仿宋_GB2312" w:hAnsi="仿宋_GB2312" w:cs="仿宋_GB2312"/>
          <w:lang w:val="en-US" w:eastAsia="zh-CN"/>
        </w:rPr>
      </w:pPr>
      <w:r>
        <w:rPr>
          <w:rFonts w:hint="eastAsia" w:ascii="仿宋_GB2312" w:hAnsi="仿宋_GB2312" w:cs="仿宋_GB2312"/>
          <w:lang w:val="en-US" w:eastAsia="zh-CN"/>
        </w:rPr>
        <w:t>13时50分左右，朱爱兵和沈惠仙分别在92号楼4层和92号楼2层对空调外机隔板栏杆进行补漆作业，黄某某在90号楼501室对空调外机隔板栏杆进行补漆作业。黄某某用自制木梯爬上窗台，翻越窗台后，手拿油漆桶借助另一把自制木梯爬下窗台时，木梯重心失衡向外侧发生倾倒，黄某某随即从五层空调外机隔板处摔落至二层平台。</w:t>
      </w:r>
    </w:p>
    <w:p>
      <w:pPr>
        <w:pStyle w:val="2"/>
        <w:keepNext w:val="0"/>
        <w:keepLines w:val="0"/>
        <w:pageBreakBefore w:val="0"/>
        <w:widowControl w:val="0"/>
        <w:kinsoku/>
        <w:wordWrap/>
        <w:overflowPunct w:val="0"/>
        <w:topLinePunct w:val="0"/>
        <w:autoSpaceDE/>
        <w:autoSpaceDN/>
        <w:bidi w:val="0"/>
        <w:adjustRightInd/>
        <w:snapToGrid w:val="0"/>
        <w:spacing w:line="560" w:lineRule="exact"/>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事故发生后，</w:t>
      </w:r>
      <w:r>
        <w:rPr>
          <w:rFonts w:hint="eastAsia" w:ascii="仿宋_GB2312" w:hAnsi="仿宋_GB2312" w:cs="仿宋_GB2312"/>
          <w:lang w:val="en-US" w:eastAsia="zh-CN"/>
        </w:rPr>
        <w:t>在90号楼西侧的辰尹公司机械师顾徐虎发现黄某某摔落后，随即拨打120并联系朱爱兵、沈惠仙，朱爱兵、沈惠仙来到90号楼二层平台查看</w:t>
      </w:r>
      <w:bookmarkStart w:id="0" w:name="_GoBack"/>
      <w:bookmarkEnd w:id="0"/>
      <w:r>
        <w:rPr>
          <w:rFonts w:hint="eastAsia" w:ascii="仿宋_GB2312" w:hAnsi="仿宋_GB2312" w:cs="仿宋_GB2312"/>
          <w:lang w:val="en-US" w:eastAsia="zh-CN"/>
        </w:rPr>
        <w:t>黄某某伤势，黄某某未有反应，14时10分左右，120到场将黄某某送至庙镇医院救治，15时20分左右，黄某某经抢救无效死亡，死亡原因为颅骨骨折。</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ascii="黑体" w:eastAsia="黑体"/>
          <w:b w:val="0"/>
          <w:bCs/>
          <w:color w:val="auto"/>
          <w:szCs w:val="32"/>
        </w:rPr>
      </w:pPr>
      <w:r>
        <w:rPr>
          <w:rFonts w:hint="eastAsia" w:ascii="黑体" w:eastAsia="黑体"/>
          <w:b w:val="0"/>
          <w:bCs/>
          <w:color w:val="auto"/>
          <w:szCs w:val="32"/>
        </w:rPr>
        <w:t>三、人员伤亡和经济损失</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ascii="楷体_GB2312" w:eastAsia="楷体_GB2312"/>
          <w:b/>
          <w:bCs w:val="0"/>
          <w:color w:val="auto"/>
          <w:szCs w:val="32"/>
        </w:rPr>
      </w:pPr>
      <w:r>
        <w:rPr>
          <w:rFonts w:hint="eastAsia" w:ascii="楷体_GB2312" w:eastAsia="楷体_GB2312"/>
          <w:b/>
          <w:bCs w:val="0"/>
          <w:color w:val="auto"/>
          <w:szCs w:val="32"/>
        </w:rPr>
        <w:t>（一）伤亡情况</w:t>
      </w:r>
    </w:p>
    <w:p>
      <w:pPr>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color w:val="auto"/>
          <w:szCs w:val="32"/>
          <w:lang w:eastAsia="zh-CN"/>
        </w:rPr>
      </w:pPr>
      <w:r>
        <w:rPr>
          <w:rFonts w:hint="eastAsia" w:ascii="仿宋_GB2312" w:hAnsi="仿宋_GB2312" w:eastAsia="仿宋_GB2312" w:cs="仿宋_GB2312"/>
          <w:color w:val="auto"/>
          <w:szCs w:val="32"/>
        </w:rPr>
        <w:t>本起事故造成1人死亡</w:t>
      </w:r>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color w:val="auto"/>
          <w:szCs w:val="32"/>
        </w:rPr>
        <w:t>死者：</w:t>
      </w:r>
      <w:r>
        <w:rPr>
          <w:rFonts w:hint="eastAsia" w:cs="仿宋_GB2312"/>
          <w:color w:val="auto"/>
          <w:szCs w:val="32"/>
          <w:lang w:eastAsia="zh-CN"/>
        </w:rPr>
        <w:t>黄某某</w:t>
      </w:r>
      <w:r>
        <w:rPr>
          <w:rFonts w:hint="eastAsia" w:ascii="仿宋_GB2312" w:hAnsi="仿宋_GB2312" w:eastAsia="仿宋_GB2312" w:cs="仿宋_GB2312"/>
          <w:color w:val="auto"/>
          <w:szCs w:val="32"/>
          <w:lang w:eastAsia="zh-CN"/>
        </w:rPr>
        <w:t>；性别：</w:t>
      </w:r>
      <w:r>
        <w:rPr>
          <w:rFonts w:hint="eastAsia" w:cs="仿宋_GB2312"/>
          <w:color w:val="auto"/>
          <w:szCs w:val="32"/>
          <w:lang w:eastAsia="zh-CN"/>
        </w:rPr>
        <w:t>女</w:t>
      </w:r>
      <w:r>
        <w:rPr>
          <w:rFonts w:hint="eastAsia" w:ascii="仿宋_GB2312" w:hAnsi="仿宋_GB2312" w:eastAsia="仿宋_GB2312" w:cs="仿宋_GB2312"/>
          <w:color w:val="auto"/>
          <w:szCs w:val="32"/>
          <w:lang w:eastAsia="zh-CN"/>
        </w:rPr>
        <w:t>；籍贯：</w:t>
      </w:r>
      <w:r>
        <w:rPr>
          <w:rFonts w:hint="eastAsia" w:cs="仿宋_GB2312"/>
          <w:color w:val="auto"/>
          <w:szCs w:val="32"/>
          <w:lang w:eastAsia="zh-CN"/>
        </w:rPr>
        <w:t>上海崇明</w:t>
      </w:r>
      <w:r>
        <w:rPr>
          <w:rFonts w:hint="eastAsia" w:ascii="仿宋_GB2312" w:hAnsi="仿宋_GB2312" w:eastAsia="仿宋_GB2312" w:cs="仿宋_GB2312"/>
          <w:color w:val="auto"/>
          <w:szCs w:val="32"/>
          <w:lang w:eastAsia="zh-CN"/>
        </w:rPr>
        <w:t>；文化程度：</w:t>
      </w:r>
      <w:r>
        <w:rPr>
          <w:rFonts w:hint="eastAsia" w:cs="仿宋_GB2312"/>
          <w:color w:val="auto"/>
          <w:szCs w:val="32"/>
          <w:lang w:eastAsia="zh-CN"/>
        </w:rPr>
        <w:t>初中</w:t>
      </w:r>
      <w:r>
        <w:rPr>
          <w:rFonts w:hint="eastAsia" w:ascii="仿宋_GB2312" w:hAnsi="仿宋_GB2312" w:eastAsia="仿宋_GB2312" w:cs="仿宋_GB2312"/>
          <w:color w:val="auto"/>
          <w:szCs w:val="32"/>
          <w:lang w:eastAsia="zh-CN"/>
        </w:rPr>
        <w:t>；出生年月：</w:t>
      </w:r>
      <w:r>
        <w:rPr>
          <w:rFonts w:hint="eastAsia" w:cs="仿宋_GB2312"/>
          <w:color w:val="auto"/>
          <w:szCs w:val="32"/>
          <w:lang w:val="en-US" w:eastAsia="zh-CN"/>
        </w:rPr>
        <w:t>1963</w:t>
      </w:r>
      <w:r>
        <w:rPr>
          <w:rFonts w:hint="eastAsia" w:ascii="仿宋_GB2312" w:hAnsi="仿宋_GB2312" w:eastAsia="仿宋_GB2312" w:cs="仿宋_GB2312"/>
          <w:color w:val="auto"/>
          <w:szCs w:val="32"/>
          <w:lang w:val="en-US" w:eastAsia="zh-CN"/>
        </w:rPr>
        <w:t>年</w:t>
      </w:r>
      <w:r>
        <w:rPr>
          <w:rFonts w:hint="eastAsia" w:cs="仿宋_GB2312"/>
          <w:color w:val="auto"/>
          <w:szCs w:val="32"/>
          <w:lang w:val="en-US" w:eastAsia="zh-CN"/>
        </w:rPr>
        <w:t>6</w:t>
      </w:r>
      <w:r>
        <w:rPr>
          <w:rFonts w:hint="eastAsia" w:ascii="仿宋_GB2312" w:hAnsi="仿宋_GB2312" w:eastAsia="仿宋_GB2312" w:cs="仿宋_GB2312"/>
          <w:color w:val="auto"/>
          <w:szCs w:val="32"/>
          <w:lang w:val="en-US" w:eastAsia="zh-CN"/>
        </w:rPr>
        <w:t>月</w:t>
      </w:r>
      <w:r>
        <w:rPr>
          <w:rFonts w:hint="eastAsia" w:cs="仿宋_GB2312"/>
          <w:color w:val="auto"/>
          <w:szCs w:val="32"/>
          <w:lang w:val="en-US" w:eastAsia="zh-CN"/>
        </w:rPr>
        <w:t>3</w:t>
      </w:r>
      <w:r>
        <w:rPr>
          <w:rFonts w:hint="eastAsia" w:ascii="仿宋_GB2312" w:hAnsi="仿宋_GB2312" w:eastAsia="仿宋_GB2312" w:cs="仿宋_GB2312"/>
          <w:color w:val="auto"/>
          <w:szCs w:val="32"/>
          <w:lang w:val="en-US" w:eastAsia="zh-CN"/>
        </w:rPr>
        <w:t>日；</w:t>
      </w:r>
      <w:r>
        <w:rPr>
          <w:rFonts w:hint="eastAsia" w:cs="仿宋_GB2312"/>
          <w:color w:val="auto"/>
          <w:szCs w:val="32"/>
          <w:lang w:val="en-US" w:eastAsia="zh-CN"/>
        </w:rPr>
        <w:t>户籍地址：上海市崇明区XX镇XX村XX号</w:t>
      </w:r>
      <w:r>
        <w:rPr>
          <w:rFonts w:hint="eastAsia" w:ascii="仿宋_GB2312" w:hAnsi="仿宋_GB2312" w:eastAsia="仿宋_GB2312" w:cs="仿宋_GB2312"/>
          <w:color w:val="auto"/>
          <w:szCs w:val="32"/>
          <w:lang w:val="en-US" w:eastAsia="zh-CN"/>
        </w:rPr>
        <w:t>；</w:t>
      </w:r>
      <w:r>
        <w:rPr>
          <w:rFonts w:hint="eastAsia" w:ascii="仿宋_GB2312" w:hAnsi="仿宋_GB2312" w:eastAsia="仿宋_GB2312" w:cs="仿宋_GB2312"/>
          <w:color w:val="auto"/>
          <w:szCs w:val="32"/>
        </w:rPr>
        <w:t>身份证号：</w:t>
      </w:r>
      <w:r>
        <w:rPr>
          <w:rFonts w:hint="eastAsia" w:cs="仿宋_GB2312"/>
          <w:color w:val="auto"/>
          <w:szCs w:val="32"/>
          <w:lang w:val="en-US" w:eastAsia="zh-CN"/>
        </w:rPr>
        <w:t>3102301963060XXXXX</w:t>
      </w:r>
      <w:r>
        <w:rPr>
          <w:rFonts w:hint="eastAsia" w:ascii="仿宋_GB2312" w:hAnsi="仿宋_GB2312" w:eastAsia="仿宋_GB2312" w:cs="仿宋_GB2312"/>
          <w:color w:val="auto"/>
          <w:szCs w:val="32"/>
        </w:rPr>
        <w:t>。</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eastAsia="楷体_GB2312"/>
          <w:b/>
          <w:bCs w:val="0"/>
          <w:color w:val="auto"/>
          <w:szCs w:val="32"/>
        </w:rPr>
      </w:pPr>
      <w:r>
        <w:rPr>
          <w:rFonts w:hint="eastAsia" w:ascii="楷体_GB2312" w:eastAsia="楷体_GB2312"/>
          <w:b/>
          <w:bCs w:val="0"/>
          <w:color w:val="auto"/>
          <w:szCs w:val="32"/>
        </w:rPr>
        <w:t>（二）经济损失</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b w:val="0"/>
          <w:bCs w:val="0"/>
          <w:color w:val="auto"/>
          <w:szCs w:val="32"/>
        </w:rPr>
      </w:pPr>
      <w:r>
        <w:rPr>
          <w:rFonts w:hint="eastAsia"/>
          <w:b w:val="0"/>
          <w:bCs w:val="0"/>
          <w:color w:val="auto"/>
          <w:szCs w:val="32"/>
        </w:rPr>
        <w:t>本起事故造成直接经济损失约人民币</w:t>
      </w:r>
      <w:r>
        <w:rPr>
          <w:rFonts w:hint="eastAsia"/>
          <w:b w:val="0"/>
          <w:bCs w:val="0"/>
          <w:color w:val="auto"/>
          <w:szCs w:val="32"/>
          <w:lang w:val="en-US" w:eastAsia="zh-CN"/>
        </w:rPr>
        <w:t>130</w:t>
      </w:r>
      <w:r>
        <w:rPr>
          <w:rFonts w:hint="eastAsia"/>
          <w:b w:val="0"/>
          <w:bCs w:val="0"/>
          <w:color w:val="auto"/>
          <w:szCs w:val="32"/>
        </w:rPr>
        <w:t>万元。</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黑体" w:hAnsi="黑体" w:eastAsia="黑体" w:cs="黑体"/>
          <w:b w:val="0"/>
          <w:bCs w:val="0"/>
          <w:color w:val="auto"/>
        </w:rPr>
      </w:pPr>
      <w:r>
        <w:rPr>
          <w:rFonts w:hint="eastAsia" w:ascii="黑体" w:eastAsia="黑体"/>
          <w:b w:val="0"/>
          <w:bCs/>
          <w:color w:val="auto"/>
          <w:szCs w:val="32"/>
        </w:rPr>
        <w:t>四</w:t>
      </w:r>
      <w:r>
        <w:rPr>
          <w:rFonts w:hint="eastAsia" w:ascii="黑体" w:eastAsia="黑体"/>
          <w:b w:val="0"/>
          <w:bCs/>
          <w:color w:val="auto"/>
          <w:szCs w:val="32"/>
          <w:lang w:eastAsia="zh-CN"/>
        </w:rPr>
        <w:t>、</w:t>
      </w:r>
      <w:r>
        <w:rPr>
          <w:rFonts w:hint="eastAsia" w:ascii="黑体" w:hAnsi="黑体" w:eastAsia="黑体" w:cs="黑体"/>
          <w:b w:val="0"/>
          <w:bCs w:val="0"/>
          <w:color w:val="auto"/>
          <w:lang w:eastAsia="zh-CN"/>
        </w:rPr>
        <w:t>事故</w:t>
      </w:r>
      <w:r>
        <w:rPr>
          <w:rFonts w:hint="eastAsia" w:ascii="黑体" w:hAnsi="黑体" w:eastAsia="黑体" w:cs="黑体"/>
          <w:b w:val="0"/>
          <w:bCs w:val="0"/>
          <w:color w:val="auto"/>
        </w:rPr>
        <w:t>原因</w:t>
      </w:r>
      <w:r>
        <w:rPr>
          <w:rFonts w:hint="eastAsia" w:ascii="黑体" w:hAnsi="黑体" w:eastAsia="黑体" w:cs="黑体"/>
          <w:b w:val="0"/>
          <w:bCs w:val="0"/>
          <w:color w:val="auto"/>
          <w:lang w:eastAsia="zh-CN"/>
        </w:rPr>
        <w:t>及</w:t>
      </w:r>
      <w:r>
        <w:rPr>
          <w:rFonts w:hint="eastAsia" w:ascii="黑体" w:hAnsi="黑体" w:eastAsia="黑体" w:cs="黑体"/>
          <w:b w:val="0"/>
          <w:bCs w:val="0"/>
          <w:color w:val="auto"/>
        </w:rPr>
        <w:t>性质</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hAnsi="Times New Roman" w:eastAsia="楷体_GB2312"/>
          <w:b/>
          <w:bCs w:val="0"/>
          <w:color w:val="auto"/>
          <w:szCs w:val="32"/>
        </w:rPr>
      </w:pPr>
      <w:r>
        <w:rPr>
          <w:rFonts w:hint="eastAsia" w:ascii="楷体_GB2312" w:hAnsi="Times New Roman" w:eastAsia="楷体_GB2312"/>
          <w:b/>
          <w:bCs w:val="0"/>
          <w:color w:val="auto"/>
          <w:szCs w:val="32"/>
        </w:rPr>
        <w:t>（一）</w:t>
      </w:r>
      <w:r>
        <w:rPr>
          <w:rFonts w:hint="eastAsia" w:ascii="楷体_GB2312" w:hAnsi="Times New Roman" w:eastAsia="楷体_GB2312"/>
          <w:b/>
          <w:bCs w:val="0"/>
          <w:color w:val="auto"/>
          <w:szCs w:val="32"/>
          <w:lang w:eastAsia="zh-CN"/>
        </w:rPr>
        <w:t>事故</w:t>
      </w:r>
      <w:r>
        <w:rPr>
          <w:rFonts w:hint="eastAsia" w:ascii="楷体_GB2312" w:hAnsi="Times New Roman" w:eastAsia="楷体_GB2312"/>
          <w:b/>
          <w:bCs w:val="0"/>
          <w:color w:val="auto"/>
          <w:szCs w:val="32"/>
        </w:rPr>
        <w:t>原因</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color w:val="auto"/>
          <w:szCs w:val="32"/>
        </w:rPr>
      </w:pPr>
      <w:r>
        <w:rPr>
          <w:rFonts w:hint="eastAsia"/>
          <w:b/>
          <w:color w:val="auto"/>
          <w:szCs w:val="32"/>
        </w:rPr>
        <w:t>1.直接原因</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default" w:cs="仿宋_GB2312"/>
          <w:color w:val="auto"/>
          <w:kern w:val="2"/>
          <w:sz w:val="32"/>
          <w:szCs w:val="22"/>
          <w:lang w:val="en-US" w:eastAsia="zh-CN" w:bidi="ar-SA"/>
        </w:rPr>
      </w:pPr>
      <w:r>
        <w:rPr>
          <w:rFonts w:hint="eastAsia" w:cs="仿宋_GB2312"/>
          <w:color w:val="auto"/>
          <w:kern w:val="2"/>
          <w:sz w:val="32"/>
          <w:szCs w:val="22"/>
          <w:lang w:val="en-US" w:eastAsia="zh-CN" w:bidi="ar-SA"/>
        </w:rPr>
        <w:t>作业人员未佩戴安全防护装备，盲目使用无防倾倒措施的自制木梯爬下窗台，木梯重心失衡向外侧倾倒，导致事故发生。</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auto"/>
          <w:szCs w:val="32"/>
          <w:lang w:eastAsia="zh-CN"/>
        </w:rPr>
      </w:pPr>
      <w:r>
        <w:rPr>
          <w:rFonts w:hint="eastAsia"/>
          <w:b/>
          <w:bCs/>
          <w:color w:val="auto"/>
        </w:rPr>
        <w:t>2.间接原因</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ascii="仿宋_GB2312" w:hAnsi="仿宋_GB2312" w:eastAsia="仿宋_GB2312" w:cs="仿宋_GB2312"/>
          <w:lang w:eastAsia="zh-CN"/>
        </w:rPr>
      </w:pPr>
      <w:r>
        <w:rPr>
          <w:rFonts w:hint="eastAsia" w:ascii="仿宋_GB2312" w:hAnsi="仿宋_GB2312" w:eastAsia="仿宋_GB2312" w:cs="仿宋_GB2312"/>
        </w:rPr>
        <w:t>（1）</w:t>
      </w:r>
      <w:r>
        <w:rPr>
          <w:rFonts w:hint="eastAsia" w:cs="仿宋_GB2312"/>
          <w:lang w:eastAsia="zh-CN"/>
        </w:rPr>
        <w:t>辰尹公司法定代表人朱金其未落实安全生产管理职责。未经报备、未开展三级安全教育培训、未提供劳动防护用品的情况下，组织无《中华人民共和国特种作业操作证》的超龄人员从事高处临边作业；未落实生产安全事故隐患排查工作，对作业项目未实施实际管理。</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ascii="仿宋_GB2312" w:hAnsi="仿宋_GB2312" w:eastAsia="仿宋_GB2312" w:cs="仿宋_GB2312"/>
          <w:b w:val="0"/>
          <w:bCs/>
          <w:color w:val="auto"/>
          <w:szCs w:val="32"/>
          <w:lang w:val="en-US" w:eastAsia="zh-CN"/>
        </w:rPr>
      </w:pPr>
      <w:r>
        <w:rPr>
          <w:rFonts w:hint="eastAsia" w:ascii="仿宋_GB2312" w:hAnsi="仿宋_GB2312" w:eastAsia="仿宋_GB2312" w:cs="仿宋_GB2312"/>
          <w:b w:val="0"/>
          <w:bCs/>
          <w:color w:val="auto"/>
          <w:szCs w:val="32"/>
          <w:lang w:val="en-US" w:eastAsia="zh-CN"/>
        </w:rPr>
        <w:t>（</w:t>
      </w:r>
      <w:r>
        <w:rPr>
          <w:rFonts w:hint="eastAsia" w:cs="仿宋_GB2312"/>
          <w:b w:val="0"/>
          <w:bCs/>
          <w:color w:val="auto"/>
          <w:szCs w:val="32"/>
          <w:lang w:val="en-US" w:eastAsia="zh-CN"/>
        </w:rPr>
        <w:t>2</w:t>
      </w:r>
      <w:r>
        <w:rPr>
          <w:rFonts w:hint="eastAsia" w:ascii="仿宋_GB2312" w:hAnsi="仿宋_GB2312" w:eastAsia="仿宋_GB2312" w:cs="仿宋_GB2312"/>
          <w:b w:val="0"/>
          <w:bCs/>
          <w:color w:val="auto"/>
          <w:szCs w:val="32"/>
          <w:lang w:val="en-US" w:eastAsia="zh-CN"/>
        </w:rPr>
        <w:t>）</w:t>
      </w:r>
      <w:r>
        <w:rPr>
          <w:rFonts w:hint="eastAsia" w:cs="仿宋_GB2312"/>
          <w:b w:val="0"/>
          <w:bCs/>
          <w:color w:val="auto"/>
          <w:szCs w:val="32"/>
          <w:lang w:val="en-US" w:eastAsia="zh-CN"/>
        </w:rPr>
        <w:t>跃光公司未尽到承包方管理责任。对作业现场失控漏管，未能及时发现并消除事故隐患。</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ascii="楷体_GB2312" w:hAnsi="楷体_GB2312" w:eastAsia="楷体_GB2312" w:cs="楷体_GB2312"/>
          <w:b/>
          <w:bCs w:val="0"/>
          <w:color w:val="auto"/>
          <w:szCs w:val="32"/>
        </w:rPr>
      </w:pPr>
      <w:r>
        <w:rPr>
          <w:rFonts w:hint="eastAsia" w:ascii="楷体_GB2312" w:hAnsi="楷体_GB2312" w:eastAsia="楷体_GB2312" w:cs="楷体_GB2312"/>
          <w:b/>
          <w:bCs w:val="0"/>
          <w:color w:val="auto"/>
          <w:szCs w:val="32"/>
        </w:rPr>
        <w:t>（二）事故性质</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olor w:val="auto"/>
        </w:rPr>
      </w:pPr>
      <w:r>
        <w:rPr>
          <w:rFonts w:hint="eastAsia" w:ascii="仿宋_GB2312" w:hAnsi="仿宋_GB2312" w:eastAsia="仿宋_GB2312" w:cs="仿宋_GB2312"/>
          <w:color w:val="auto"/>
        </w:rPr>
        <w:t>经事故调查组调查认定，</w:t>
      </w:r>
      <w:r>
        <w:rPr>
          <w:rFonts w:hint="eastAsia" w:cs="仿宋_GB2312"/>
          <w:color w:val="auto"/>
          <w:lang w:eastAsia="zh-CN"/>
        </w:rPr>
        <w:t>该事故系一般</w:t>
      </w:r>
      <w:r>
        <w:rPr>
          <w:rFonts w:hint="eastAsia" w:ascii="仿宋_GB2312" w:hAnsi="仿宋_GB2312" w:eastAsia="仿宋_GB2312" w:cs="仿宋_GB2312"/>
          <w:color w:val="auto"/>
        </w:rPr>
        <w:t>生产安全责任事故。</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hAnsi="Times New Roman" w:eastAsia="楷体_GB2312"/>
          <w:b w:val="0"/>
          <w:bCs w:val="0"/>
          <w:color w:val="auto"/>
          <w:szCs w:val="32"/>
        </w:rPr>
      </w:pPr>
      <w:r>
        <w:rPr>
          <w:rFonts w:hint="eastAsia" w:ascii="黑体" w:hAnsi="黑体" w:eastAsia="黑体" w:cs="黑体"/>
          <w:b w:val="0"/>
          <w:bCs w:val="0"/>
          <w:color w:val="auto"/>
          <w:lang w:eastAsia="zh-CN"/>
        </w:rPr>
        <w:t>五</w:t>
      </w:r>
      <w:r>
        <w:rPr>
          <w:rFonts w:hint="eastAsia" w:ascii="黑体" w:hAnsi="黑体" w:eastAsia="黑体" w:cs="黑体"/>
          <w:b w:val="0"/>
          <w:bCs w:val="0"/>
          <w:color w:val="auto"/>
        </w:rPr>
        <w:t>、责任认定及处理建议</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b/>
          <w:bCs w:val="0"/>
          <w:i w:val="0"/>
          <w:iCs w:val="0"/>
          <w:color w:val="auto"/>
          <w:szCs w:val="32"/>
        </w:rPr>
      </w:pPr>
      <w:r>
        <w:rPr>
          <w:rFonts w:hint="eastAsia" w:ascii="楷体_GB2312" w:eastAsia="楷体_GB2312"/>
          <w:b/>
          <w:bCs w:val="0"/>
          <w:i w:val="0"/>
          <w:iCs w:val="0"/>
          <w:color w:val="auto"/>
          <w:szCs w:val="32"/>
        </w:rPr>
        <w:t>（</w:t>
      </w:r>
      <w:r>
        <w:rPr>
          <w:rFonts w:hint="eastAsia" w:ascii="楷体_GB2312" w:eastAsia="楷体_GB2312"/>
          <w:b/>
          <w:bCs w:val="0"/>
          <w:i w:val="0"/>
          <w:iCs w:val="0"/>
          <w:color w:val="auto"/>
          <w:szCs w:val="32"/>
          <w:lang w:eastAsia="zh-CN"/>
        </w:rPr>
        <w:t>一</w:t>
      </w:r>
      <w:r>
        <w:rPr>
          <w:rFonts w:hint="eastAsia" w:ascii="楷体_GB2312" w:eastAsia="楷体_GB2312"/>
          <w:b/>
          <w:bCs w:val="0"/>
          <w:i w:val="0"/>
          <w:iCs w:val="0"/>
          <w:color w:val="auto"/>
          <w:szCs w:val="32"/>
        </w:rPr>
        <w:t>）责任单位</w:t>
      </w:r>
      <w:r>
        <w:rPr>
          <w:rFonts w:hint="eastAsia" w:ascii="楷体_GB2312" w:eastAsia="楷体_GB2312"/>
          <w:b/>
          <w:bCs w:val="0"/>
          <w:i w:val="0"/>
          <w:iCs w:val="0"/>
          <w:color w:val="auto"/>
          <w:szCs w:val="32"/>
          <w:lang w:eastAsia="zh-CN"/>
        </w:rPr>
        <w:t>的</w:t>
      </w:r>
      <w:r>
        <w:rPr>
          <w:rFonts w:hint="eastAsia" w:ascii="楷体_GB2312" w:eastAsia="楷体_GB2312"/>
          <w:b/>
          <w:bCs w:val="0"/>
          <w:i w:val="0"/>
          <w:iCs w:val="0"/>
          <w:color w:val="auto"/>
          <w:szCs w:val="32"/>
        </w:rPr>
        <w:t>认定</w:t>
      </w:r>
      <w:r>
        <w:rPr>
          <w:rFonts w:hint="eastAsia" w:ascii="楷体_GB2312" w:eastAsia="楷体_GB2312"/>
          <w:b/>
          <w:bCs w:val="0"/>
          <w:i w:val="0"/>
          <w:iCs w:val="0"/>
          <w:color w:val="auto"/>
          <w:szCs w:val="32"/>
          <w:lang w:eastAsia="zh-CN"/>
        </w:rPr>
        <w:t>及</w:t>
      </w:r>
      <w:r>
        <w:rPr>
          <w:rFonts w:hint="eastAsia" w:ascii="楷体_GB2312" w:eastAsia="楷体_GB2312"/>
          <w:b/>
          <w:bCs w:val="0"/>
          <w:i w:val="0"/>
          <w:iCs w:val="0"/>
          <w:color w:val="auto"/>
          <w:szCs w:val="32"/>
        </w:rPr>
        <w:t>处理</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b w:val="0"/>
          <w:bCs/>
          <w:color w:val="auto"/>
          <w:szCs w:val="32"/>
        </w:rPr>
      </w:pPr>
      <w:r>
        <w:rPr>
          <w:rFonts w:hint="eastAsia" w:ascii="仿宋_GB2312" w:hAnsi="仿宋_GB2312" w:eastAsia="仿宋_GB2312" w:cs="仿宋_GB2312"/>
          <w:b w:val="0"/>
          <w:bCs/>
          <w:color w:val="auto"/>
          <w:szCs w:val="32"/>
        </w:rPr>
        <w:t>跃光公司未尽到承包方管理责任。对作业现场失控漏管，未能及时发现并消除事故隐患。</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default" w:eastAsia="仿宋_GB2312"/>
          <w:lang w:val="en-US" w:eastAsia="zh-CN"/>
        </w:rPr>
      </w:pPr>
      <w:r>
        <w:rPr>
          <w:rFonts w:hint="eastAsia" w:ascii="仿宋_GB2312" w:hAnsi="仿宋_GB2312" w:eastAsia="仿宋_GB2312" w:cs="仿宋_GB2312"/>
          <w:color w:val="auto"/>
          <w:szCs w:val="32"/>
        </w:rPr>
        <w:t>建议</w:t>
      </w:r>
      <w:r>
        <w:rPr>
          <w:rFonts w:hint="eastAsia" w:cs="仿宋_GB2312"/>
          <w:color w:val="auto"/>
          <w:szCs w:val="32"/>
          <w:lang w:eastAsia="zh-CN"/>
        </w:rPr>
        <w:t>光明</w:t>
      </w:r>
      <w:r>
        <w:rPr>
          <w:rFonts w:hint="eastAsia" w:ascii="仿宋_GB2312" w:hAnsi="仿宋_GB2312" w:eastAsia="仿宋_GB2312" w:cs="仿宋_GB2312"/>
          <w:color w:val="auto"/>
          <w:szCs w:val="32"/>
        </w:rPr>
        <w:t>公司对</w:t>
      </w:r>
      <w:r>
        <w:rPr>
          <w:rFonts w:hint="eastAsia" w:cs="仿宋_GB2312"/>
          <w:color w:val="auto"/>
          <w:szCs w:val="32"/>
          <w:lang w:eastAsia="zh-CN"/>
        </w:rPr>
        <w:t>跃光</w:t>
      </w:r>
      <w:r>
        <w:rPr>
          <w:rFonts w:hint="eastAsia" w:ascii="仿宋_GB2312" w:hAnsi="仿宋_GB2312" w:eastAsia="仿宋_GB2312" w:cs="仿宋_GB2312"/>
          <w:color w:val="auto"/>
          <w:szCs w:val="32"/>
        </w:rPr>
        <w:t>公司予以</w:t>
      </w:r>
      <w:r>
        <w:rPr>
          <w:rFonts w:hint="eastAsia" w:cs="仿宋_GB2312"/>
          <w:color w:val="auto"/>
          <w:szCs w:val="32"/>
          <w:lang w:eastAsia="zh-CN"/>
        </w:rPr>
        <w:t>处理，处理结果报区应急局</w:t>
      </w:r>
      <w:r>
        <w:rPr>
          <w:rFonts w:hint="eastAsia" w:ascii="仿宋_GB2312" w:hAnsi="仿宋_GB2312" w:eastAsia="仿宋_GB2312" w:cs="仿宋_GB2312"/>
          <w:color w:val="auto"/>
          <w:szCs w:val="32"/>
        </w:rPr>
        <w:t>。</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hAnsi="Times New Roman" w:eastAsia="楷体_GB2312"/>
          <w:b/>
          <w:bCs w:val="0"/>
          <w:color w:val="auto"/>
          <w:szCs w:val="32"/>
        </w:rPr>
      </w:pPr>
      <w:r>
        <w:rPr>
          <w:rFonts w:hint="eastAsia" w:ascii="楷体_GB2312" w:hAnsi="Times New Roman" w:eastAsia="楷体_GB2312"/>
          <w:b/>
          <w:bCs w:val="0"/>
          <w:color w:val="auto"/>
          <w:szCs w:val="32"/>
        </w:rPr>
        <w:t>（</w:t>
      </w:r>
      <w:r>
        <w:rPr>
          <w:rFonts w:hint="eastAsia" w:ascii="楷体_GB2312" w:hAnsi="Times New Roman" w:eastAsia="楷体_GB2312"/>
          <w:b/>
          <w:bCs w:val="0"/>
          <w:color w:val="auto"/>
          <w:szCs w:val="32"/>
          <w:lang w:eastAsia="zh-CN"/>
        </w:rPr>
        <w:t>二</w:t>
      </w:r>
      <w:r>
        <w:rPr>
          <w:rFonts w:hint="eastAsia" w:ascii="楷体_GB2312" w:hAnsi="Times New Roman" w:eastAsia="楷体_GB2312"/>
          <w:b/>
          <w:bCs w:val="0"/>
          <w:color w:val="auto"/>
          <w:szCs w:val="32"/>
        </w:rPr>
        <w:t>）责任人员的认定及处理</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1.黄某某，辰尹公司临聘工。安全意识淡薄，在未取得《中华人民共和国特种作业操作证》、未使用安全防护用品的情况下冒险作业。对事故发生负有责任，鉴于已在事故中死亡，建议不追究责任。</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2.朱爱兵，辰尹公司临聘工，现场班组长。高处作业风险辨识不足，对作业人员安全交底流于形式，现场安全监护不到位。对事故发生负有责任。</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cs="仿宋_GB2312"/>
          <w:color w:val="auto"/>
          <w:lang w:val="en-US" w:eastAsia="zh-CN"/>
        </w:rPr>
      </w:pPr>
      <w:r>
        <w:rPr>
          <w:rFonts w:hint="eastAsia" w:ascii="仿宋_GB2312" w:hAnsi="仿宋_GB2312" w:eastAsia="仿宋_GB2312" w:cs="仿宋_GB2312"/>
          <w:color w:val="auto"/>
          <w:lang w:eastAsia="zh-CN"/>
        </w:rPr>
        <w:t>建议</w:t>
      </w:r>
      <w:r>
        <w:rPr>
          <w:rFonts w:hint="eastAsia" w:cs="仿宋_GB2312"/>
          <w:color w:val="auto"/>
          <w:lang w:val="en-US" w:eastAsia="zh-CN"/>
        </w:rPr>
        <w:t>辰尹公司</w:t>
      </w:r>
      <w:r>
        <w:rPr>
          <w:rFonts w:hint="eastAsia" w:ascii="仿宋_GB2312" w:hAnsi="仿宋_GB2312" w:eastAsia="仿宋_GB2312" w:cs="仿宋_GB2312"/>
          <w:color w:val="auto"/>
          <w:lang w:eastAsia="zh-CN"/>
        </w:rPr>
        <w:t>对</w:t>
      </w:r>
      <w:r>
        <w:rPr>
          <w:rFonts w:hint="eastAsia" w:cs="仿宋_GB2312"/>
          <w:color w:val="auto"/>
          <w:lang w:eastAsia="zh-CN"/>
        </w:rPr>
        <w:t>朱爱兵</w:t>
      </w:r>
      <w:r>
        <w:rPr>
          <w:rFonts w:hint="eastAsia" w:ascii="仿宋_GB2312" w:hAnsi="仿宋_GB2312" w:eastAsia="仿宋_GB2312" w:cs="仿宋_GB2312"/>
          <w:color w:val="auto"/>
          <w:lang w:eastAsia="zh-CN"/>
        </w:rPr>
        <w:t>按照企业规定给予处理</w:t>
      </w:r>
      <w:r>
        <w:rPr>
          <w:rFonts w:hint="eastAsia" w:cs="仿宋_GB2312"/>
          <w:color w:val="auto"/>
          <w:lang w:eastAsia="zh-CN"/>
        </w:rPr>
        <w:t>，处理结果报区应急局</w:t>
      </w:r>
      <w:r>
        <w:rPr>
          <w:rFonts w:hint="eastAsia" w:ascii="仿宋_GB2312" w:hAnsi="仿宋_GB2312" w:eastAsia="仿宋_GB2312" w:cs="仿宋_GB2312"/>
          <w:color w:val="auto"/>
          <w:lang w:eastAsia="zh-CN"/>
        </w:rPr>
        <w:t>。</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cs="仿宋_GB2312"/>
          <w:color w:val="auto"/>
          <w:lang w:val="en-US" w:eastAsia="zh-CN"/>
        </w:rPr>
      </w:pPr>
      <w:r>
        <w:rPr>
          <w:rFonts w:hint="eastAsia" w:cs="仿宋_GB2312"/>
          <w:color w:val="auto"/>
          <w:lang w:val="en-US" w:eastAsia="zh-CN"/>
        </w:rPr>
        <w:t>3.朱金其，辰尹公司法定代表人。未落实安全生产管理职责。未经报备组织无《中华人民共和国特种作业操作证》的超龄人员从事高处临边作业，未开展三级安全教育培训、未提供劳动防护用品；未落实生产安全事故隐患排查工作，对作业项目未实施实际管理。对事故发生负有责任。</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建议区应急局依据相关法律法规对</w:t>
      </w:r>
      <w:r>
        <w:rPr>
          <w:rFonts w:hint="eastAsia" w:cs="仿宋_GB2312"/>
          <w:color w:val="auto"/>
          <w:lang w:eastAsia="zh-CN"/>
        </w:rPr>
        <w:t>朱金其</w:t>
      </w:r>
      <w:r>
        <w:rPr>
          <w:rFonts w:hint="eastAsia" w:ascii="仿宋_GB2312" w:hAnsi="仿宋_GB2312" w:eastAsia="仿宋_GB2312" w:cs="仿宋_GB2312"/>
          <w:color w:val="auto"/>
          <w:lang w:eastAsia="zh-CN"/>
        </w:rPr>
        <w:t>给予行政处罚。</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六</w:t>
      </w:r>
      <w:r>
        <w:rPr>
          <w:rFonts w:hint="eastAsia" w:ascii="黑体" w:eastAsia="黑体"/>
          <w:b w:val="0"/>
          <w:bCs/>
          <w:color w:val="auto"/>
          <w:szCs w:val="32"/>
        </w:rPr>
        <w:t>、事故</w:t>
      </w:r>
      <w:r>
        <w:rPr>
          <w:rFonts w:hint="eastAsia" w:ascii="黑体" w:eastAsia="黑体"/>
          <w:b w:val="0"/>
          <w:bCs/>
          <w:color w:val="auto"/>
          <w:szCs w:val="32"/>
          <w:lang w:eastAsia="zh-CN"/>
        </w:rPr>
        <w:t>教训</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针对“</w:t>
      </w:r>
      <w:r>
        <w:rPr>
          <w:rFonts w:hint="eastAsia" w:cs="仿宋_GB2312"/>
          <w:color w:val="auto"/>
          <w:szCs w:val="32"/>
          <w:lang w:val="en-US" w:eastAsia="zh-CN"/>
        </w:rPr>
        <w:t>4·16</w:t>
      </w:r>
      <w:r>
        <w:rPr>
          <w:rFonts w:hint="eastAsia" w:ascii="仿宋_GB2312" w:hAnsi="仿宋_GB2312" w:eastAsia="仿宋_GB2312" w:cs="仿宋_GB2312"/>
          <w:color w:val="auto"/>
          <w:szCs w:val="32"/>
        </w:rPr>
        <w:t>”事故暴露出的问题，相关</w:t>
      </w:r>
      <w:r>
        <w:rPr>
          <w:rFonts w:hint="eastAsia" w:cs="仿宋_GB2312"/>
          <w:color w:val="auto"/>
          <w:szCs w:val="32"/>
          <w:lang w:eastAsia="zh-CN"/>
        </w:rPr>
        <w:t>单位</w:t>
      </w:r>
      <w:r>
        <w:rPr>
          <w:rFonts w:hint="eastAsia" w:ascii="仿宋_GB2312" w:hAnsi="仿宋_GB2312" w:eastAsia="仿宋_GB2312" w:cs="仿宋_GB2312"/>
          <w:color w:val="auto"/>
          <w:szCs w:val="32"/>
        </w:rPr>
        <w:t>思想上要高度重视，深刻吸取事故教训，加强风险防控，抓好源头治理和事故预防，坚决</w:t>
      </w:r>
      <w:r>
        <w:rPr>
          <w:rFonts w:hint="eastAsia" w:cs="仿宋_GB2312"/>
          <w:color w:val="auto"/>
          <w:szCs w:val="32"/>
          <w:lang w:eastAsia="zh-CN"/>
        </w:rPr>
        <w:t>杜绝</w:t>
      </w:r>
      <w:r>
        <w:rPr>
          <w:rFonts w:hint="eastAsia" w:ascii="仿宋_GB2312" w:hAnsi="仿宋_GB2312" w:eastAsia="仿宋_GB2312" w:cs="仿宋_GB2312"/>
          <w:color w:val="auto"/>
          <w:szCs w:val="32"/>
        </w:rPr>
        <w:t>类似事故发生。</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rPr>
        <w:t>（</w:t>
      </w:r>
      <w:r>
        <w:rPr>
          <w:rFonts w:hint="eastAsia" w:ascii="楷体_GB2312" w:hAnsi="楷体_GB2312" w:eastAsia="楷体_GB2312" w:cs="楷体_GB2312"/>
          <w:b/>
          <w:bCs/>
          <w:color w:val="auto"/>
          <w:szCs w:val="32"/>
          <w:lang w:eastAsia="zh-CN"/>
        </w:rPr>
        <w:t>一</w:t>
      </w:r>
      <w:r>
        <w:rPr>
          <w:rFonts w:hint="eastAsia" w:ascii="楷体_GB2312" w:hAnsi="楷体_GB2312" w:eastAsia="楷体_GB2312" w:cs="楷体_GB2312"/>
          <w:b/>
          <w:bCs/>
          <w:color w:val="auto"/>
          <w:szCs w:val="32"/>
        </w:rPr>
        <w:t>）吸取事故教训，落实主体责任</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b w:val="0"/>
          <w:bCs w:val="0"/>
          <w:color w:val="auto"/>
          <w:szCs w:val="32"/>
        </w:rPr>
      </w:pPr>
      <w:r>
        <w:rPr>
          <w:rFonts w:hint="eastAsia" w:cs="仿宋_GB2312"/>
          <w:color w:val="auto"/>
          <w:szCs w:val="32"/>
          <w:lang w:eastAsia="zh-CN"/>
        </w:rPr>
        <w:t>相关</w:t>
      </w:r>
      <w:r>
        <w:rPr>
          <w:rFonts w:hint="eastAsia" w:ascii="仿宋_GB2312" w:hAnsi="仿宋_GB2312" w:eastAsia="仿宋_GB2312" w:cs="仿宋_GB2312"/>
          <w:color w:val="auto"/>
          <w:szCs w:val="32"/>
        </w:rPr>
        <w:t>企业要认真剖析导致事故发生的原因，要充分认识并深刻吸取事故带来的教训，</w:t>
      </w:r>
      <w:r>
        <w:rPr>
          <w:rFonts w:hint="eastAsia" w:cs="仿宋_GB2312"/>
          <w:color w:val="auto"/>
          <w:szCs w:val="32"/>
          <w:lang w:eastAsia="zh-CN"/>
        </w:rPr>
        <w:t>牢固树立红线意识，有效落实全员安全生产责任制</w:t>
      </w:r>
      <w:r>
        <w:rPr>
          <w:rFonts w:hint="eastAsia" w:ascii="仿宋_GB2312" w:hAnsi="仿宋_GB2312" w:eastAsia="仿宋_GB2312" w:cs="仿宋_GB2312"/>
          <w:color w:val="auto"/>
          <w:szCs w:val="32"/>
        </w:rPr>
        <w:t>，认真开展事故隐患排查治理，夯实安全生产各项基础工作，切实履行安全生产主体责任，及时有效化解事故风险隐患。</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b/>
          <w:bCs/>
          <w:color w:val="auto"/>
          <w:szCs w:val="32"/>
        </w:rPr>
      </w:pPr>
      <w:r>
        <w:rPr>
          <w:rFonts w:hint="eastAsia" w:ascii="楷体_GB2312" w:hAnsi="楷体_GB2312" w:eastAsia="楷体_GB2312" w:cs="楷体_GB2312"/>
          <w:b/>
          <w:bCs/>
          <w:color w:val="auto"/>
          <w:szCs w:val="32"/>
        </w:rPr>
        <w:t>（</w:t>
      </w:r>
      <w:r>
        <w:rPr>
          <w:rFonts w:hint="eastAsia" w:ascii="楷体_GB2312" w:hAnsi="楷体_GB2312" w:eastAsia="楷体_GB2312" w:cs="楷体_GB2312"/>
          <w:b/>
          <w:bCs/>
          <w:color w:val="auto"/>
          <w:szCs w:val="32"/>
          <w:lang w:eastAsia="zh-CN"/>
        </w:rPr>
        <w:t>二</w:t>
      </w:r>
      <w:r>
        <w:rPr>
          <w:rFonts w:hint="eastAsia" w:ascii="楷体_GB2312" w:hAnsi="楷体_GB2312" w:eastAsia="楷体_GB2312" w:cs="楷体_GB2312"/>
          <w:b/>
          <w:bCs/>
          <w:color w:val="auto"/>
          <w:szCs w:val="32"/>
        </w:rPr>
        <w:t>）加强人员培训，强化现场管控</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b w:val="0"/>
          <w:bCs w:val="0"/>
          <w:color w:val="auto"/>
          <w:szCs w:val="32"/>
        </w:rPr>
      </w:pPr>
      <w:r>
        <w:rPr>
          <w:rFonts w:hint="eastAsia" w:cs="仿宋_GB2312"/>
          <w:b w:val="0"/>
          <w:bCs w:val="0"/>
          <w:color w:val="auto"/>
          <w:szCs w:val="32"/>
          <w:lang w:eastAsia="zh-CN"/>
        </w:rPr>
        <w:t>相关</w:t>
      </w:r>
      <w:r>
        <w:rPr>
          <w:rFonts w:hint="eastAsia" w:ascii="仿宋_GB2312" w:hAnsi="仿宋_GB2312" w:eastAsia="仿宋_GB2312" w:cs="仿宋_GB2312"/>
          <w:b w:val="0"/>
          <w:bCs w:val="0"/>
          <w:color w:val="auto"/>
          <w:szCs w:val="32"/>
        </w:rPr>
        <w:t>企业要进一步强化对</w:t>
      </w:r>
      <w:r>
        <w:rPr>
          <w:rFonts w:hint="eastAsia" w:cs="仿宋_GB2312"/>
          <w:b w:val="0"/>
          <w:bCs w:val="0"/>
          <w:color w:val="auto"/>
          <w:szCs w:val="32"/>
          <w:lang w:eastAsia="zh-CN"/>
        </w:rPr>
        <w:t>现场作业人员安全防护技能、安全防护意识的教育培训。对于高处补漆作业，开展有针对性的安全教育培训，告知作业场所和工作岗位存在的危险因素，防范措施以及事故应急措施，严禁无证作业、超龄作业。现场管理人员要加大对作业现场，特别是劳务派遣员工作业过程的现场管控，</w:t>
      </w:r>
      <w:r>
        <w:rPr>
          <w:rFonts w:hint="eastAsia" w:ascii="仿宋_GB2312" w:hAnsi="仿宋_GB2312" w:eastAsia="仿宋_GB2312" w:cs="仿宋_GB2312"/>
          <w:b w:val="0"/>
          <w:bCs w:val="0"/>
          <w:color w:val="auto"/>
          <w:szCs w:val="32"/>
        </w:rPr>
        <w:t>督促作业人员切实担负起作业过程中的安全防范责任。</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rPr>
        <w:t>（</w:t>
      </w:r>
      <w:r>
        <w:rPr>
          <w:rFonts w:hint="eastAsia" w:ascii="楷体_GB2312" w:hAnsi="楷体_GB2312" w:eastAsia="楷体_GB2312" w:cs="楷体_GB2312"/>
          <w:b/>
          <w:bCs/>
          <w:color w:val="auto"/>
          <w:szCs w:val="32"/>
          <w:lang w:eastAsia="zh-CN"/>
        </w:rPr>
        <w:t>三</w:t>
      </w:r>
      <w:r>
        <w:rPr>
          <w:rFonts w:hint="eastAsia" w:ascii="楷体_GB2312" w:hAnsi="楷体_GB2312" w:eastAsia="楷体_GB2312" w:cs="楷体_GB2312"/>
          <w:b/>
          <w:bCs/>
          <w:color w:val="auto"/>
          <w:szCs w:val="32"/>
        </w:rPr>
        <w:t>）</w:t>
      </w:r>
      <w:r>
        <w:rPr>
          <w:rFonts w:hint="eastAsia" w:ascii="楷体_GB2312" w:hAnsi="楷体_GB2312" w:eastAsia="楷体_GB2312" w:cs="楷体_GB2312"/>
          <w:b/>
          <w:bCs/>
          <w:color w:val="auto"/>
          <w:szCs w:val="32"/>
          <w:lang w:eastAsia="zh-CN"/>
        </w:rPr>
        <w:t>规范劳务分包</w:t>
      </w:r>
      <w:r>
        <w:rPr>
          <w:rFonts w:hint="eastAsia" w:ascii="楷体_GB2312" w:hAnsi="楷体_GB2312" w:eastAsia="楷体_GB2312" w:cs="楷体_GB2312"/>
          <w:b/>
          <w:bCs/>
          <w:color w:val="auto"/>
          <w:szCs w:val="32"/>
        </w:rPr>
        <w:t>，</w:t>
      </w:r>
      <w:r>
        <w:rPr>
          <w:rFonts w:hint="eastAsia" w:ascii="楷体_GB2312" w:hAnsi="楷体_GB2312" w:eastAsia="楷体_GB2312" w:cs="楷体_GB2312"/>
          <w:b/>
          <w:bCs/>
          <w:color w:val="auto"/>
          <w:szCs w:val="32"/>
          <w:lang w:eastAsia="zh-CN"/>
        </w:rPr>
        <w:t>严禁层层分包</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color w:val="auto"/>
          <w:lang w:val="en-US" w:eastAsia="zh-CN"/>
        </w:rPr>
      </w:pPr>
      <w:r>
        <w:rPr>
          <w:rFonts w:hint="eastAsia" w:cs="仿宋_GB2312"/>
          <w:b w:val="0"/>
          <w:bCs w:val="0"/>
          <w:color w:val="auto"/>
          <w:szCs w:val="32"/>
          <w:lang w:eastAsia="zh-CN"/>
        </w:rPr>
        <w:t>相关企业要进一步规范劳务分包模式，坚决制止层层分包、转包、挂靠等行为，在建筑施工合同中明确总分包的权利与义务，增强法制观念，维护合同法律效力，签订安全生产管理协议，严把劳务队伍审核关，加强对劳务队伍的资质管理，特种作业人员必须人证相符、特种作业必须持证上岗。</w:t>
      </w:r>
    </w:p>
    <w:p>
      <w:pPr>
        <w:pStyle w:val="2"/>
        <w:ind w:left="0" w:leftChars="0" w:firstLine="0" w:firstLineChars="0"/>
        <w:rPr>
          <w:rFonts w:hint="eastAsia"/>
          <w:lang w:val="en-US" w:eastAsia="zh-CN"/>
        </w:rPr>
      </w:pPr>
    </w:p>
    <w:p>
      <w:pPr>
        <w:ind w:left="0" w:leftChars="0" w:firstLine="0" w:firstLineChars="0"/>
        <w:rPr>
          <w:rFonts w:hint="eastAsia"/>
          <w:lang w:val="en-US" w:eastAsia="zh-CN"/>
        </w:rPr>
      </w:pPr>
    </w:p>
    <w:p>
      <w:pPr>
        <w:keepNext w:val="0"/>
        <w:keepLines w:val="0"/>
        <w:pageBreakBefore w:val="0"/>
        <w:widowControl w:val="0"/>
        <w:kinsoku/>
        <w:wordWrap/>
        <w:topLinePunct w:val="0"/>
        <w:autoSpaceDE/>
        <w:autoSpaceDN/>
        <w:bidi w:val="0"/>
        <w:adjustRightInd/>
        <w:snapToGrid/>
        <w:spacing w:line="560" w:lineRule="exact"/>
        <w:ind w:firstLine="3520" w:firstLineChars="1100"/>
        <w:jc w:val="both"/>
        <w:textAlignment w:val="auto"/>
        <w:rPr>
          <w:rFonts w:hint="eastAsia"/>
          <w:color w:val="auto"/>
          <w:lang w:eastAsia="zh-CN"/>
        </w:rPr>
      </w:pPr>
      <w:r>
        <w:rPr>
          <w:rFonts w:hint="eastAsia"/>
          <w:color w:val="auto"/>
          <w:lang w:val="en-US" w:eastAsia="zh-CN"/>
        </w:rPr>
        <w:t xml:space="preserve">           </w:t>
      </w:r>
      <w:r>
        <w:rPr>
          <w:rFonts w:hint="eastAsia"/>
          <w:color w:val="auto"/>
          <w:lang w:eastAsia="zh-CN"/>
        </w:rPr>
        <w:t>“</w:t>
      </w:r>
      <w:r>
        <w:rPr>
          <w:rFonts w:hint="eastAsia"/>
          <w:color w:val="auto"/>
          <w:lang w:val="en-US" w:eastAsia="zh-CN"/>
        </w:rPr>
        <w:t>4</w:t>
      </w:r>
      <w:r>
        <w:rPr>
          <w:rFonts w:hint="eastAsia"/>
          <w:color w:val="auto"/>
          <w:lang w:eastAsia="zh-CN"/>
        </w:rPr>
        <w:t>·</w:t>
      </w:r>
      <w:r>
        <w:rPr>
          <w:rFonts w:hint="eastAsia"/>
          <w:color w:val="auto"/>
          <w:lang w:val="en-US" w:eastAsia="zh-CN"/>
        </w:rPr>
        <w:t>16”高处坠落</w:t>
      </w:r>
      <w:r>
        <w:rPr>
          <w:rFonts w:hint="eastAsia"/>
          <w:color w:val="auto"/>
          <w:lang w:eastAsia="zh-CN"/>
        </w:rPr>
        <w:t>一般</w:t>
      </w:r>
    </w:p>
    <w:p>
      <w:pPr>
        <w:keepNext w:val="0"/>
        <w:keepLines w:val="0"/>
        <w:pageBreakBefore w:val="0"/>
        <w:widowControl w:val="0"/>
        <w:kinsoku/>
        <w:wordWrap/>
        <w:topLinePunct w:val="0"/>
        <w:autoSpaceDE/>
        <w:autoSpaceDN/>
        <w:bidi w:val="0"/>
        <w:adjustRightInd/>
        <w:snapToGrid/>
        <w:spacing w:line="560" w:lineRule="exact"/>
        <w:ind w:firstLine="640"/>
        <w:jc w:val="right"/>
        <w:textAlignment w:val="auto"/>
        <w:rPr>
          <w:rFonts w:hint="eastAsia" w:eastAsia="仿宋_GB2312"/>
          <w:color w:val="auto"/>
          <w:lang w:val="en-US" w:eastAsia="zh-CN"/>
        </w:rPr>
      </w:pPr>
      <w:r>
        <w:rPr>
          <w:rFonts w:hint="eastAsia"/>
          <w:color w:val="auto"/>
          <w:lang w:eastAsia="zh-CN"/>
        </w:rPr>
        <w:t>生产安全责任</w:t>
      </w:r>
      <w:r>
        <w:rPr>
          <w:rFonts w:hint="eastAsia"/>
          <w:color w:val="auto"/>
        </w:rPr>
        <w:t>事故调查</w:t>
      </w:r>
      <w:r>
        <w:rPr>
          <w:rFonts w:hint="eastAsia"/>
          <w:color w:val="auto"/>
          <w:lang w:eastAsia="zh-CN"/>
        </w:rPr>
        <w:t>组</w:t>
      </w:r>
    </w:p>
    <w:p>
      <w:pPr>
        <w:keepNext w:val="0"/>
        <w:keepLines w:val="0"/>
        <w:pageBreakBefore w:val="0"/>
        <w:widowControl w:val="0"/>
        <w:kinsoku/>
        <w:wordWrap/>
        <w:topLinePunct w:val="0"/>
        <w:autoSpaceDE/>
        <w:autoSpaceDN/>
        <w:bidi w:val="0"/>
        <w:adjustRightInd/>
        <w:snapToGrid/>
        <w:spacing w:line="560" w:lineRule="exact"/>
        <w:ind w:firstLine="640"/>
        <w:jc w:val="center"/>
        <w:textAlignment w:val="auto"/>
        <w:rPr>
          <w:color w:val="auto"/>
        </w:rPr>
      </w:pPr>
      <w:r>
        <w:rPr>
          <w:rFonts w:hint="eastAsia"/>
          <w:color w:val="auto"/>
          <w:lang w:val="en-US" w:eastAsia="zh-CN"/>
        </w:rPr>
        <w:t xml:space="preserve">                             2</w:t>
      </w:r>
      <w:r>
        <w:rPr>
          <w:rFonts w:hint="eastAsia"/>
          <w:color w:val="auto"/>
        </w:rPr>
        <w:t>02</w:t>
      </w:r>
      <w:r>
        <w:rPr>
          <w:rFonts w:hint="eastAsia"/>
          <w:color w:val="auto"/>
          <w:lang w:val="en-US" w:eastAsia="zh-CN"/>
        </w:rPr>
        <w:t>3</w:t>
      </w:r>
      <w:r>
        <w:rPr>
          <w:rFonts w:hint="eastAsia"/>
          <w:color w:val="auto"/>
        </w:rPr>
        <w:t>年</w:t>
      </w:r>
      <w:r>
        <w:rPr>
          <w:rFonts w:hint="eastAsia"/>
          <w:color w:val="auto"/>
          <w:lang w:val="en-US" w:eastAsia="zh-CN"/>
        </w:rPr>
        <w:t>7</w:t>
      </w:r>
      <w:r>
        <w:rPr>
          <w:rFonts w:hint="eastAsia"/>
          <w:color w:val="auto"/>
        </w:rPr>
        <w:t>月</w:t>
      </w:r>
      <w:r>
        <w:rPr>
          <w:rFonts w:hint="eastAsia"/>
          <w:color w:val="auto"/>
          <w:lang w:val="en-US" w:eastAsia="zh-CN"/>
        </w:rPr>
        <w:t>6</w:t>
      </w:r>
      <w:r>
        <w:rPr>
          <w:rFonts w:hint="eastAsia"/>
          <w:color w:val="auto"/>
        </w:rPr>
        <w:t>日</w:t>
      </w:r>
    </w:p>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DF777F"/>
    <w:rsid w:val="0C335B4B"/>
    <w:rsid w:val="297F1AFA"/>
    <w:rsid w:val="2D702F4B"/>
    <w:rsid w:val="49DF777F"/>
    <w:rsid w:val="5838356E"/>
    <w:rsid w:val="77763D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spacing w:line="560" w:lineRule="exact"/>
      <w:ind w:firstLine="880" w:firstLineChars="200"/>
      <w:jc w:val="both"/>
    </w:pPr>
    <w:rPr>
      <w:rFonts w:ascii="仿宋_GB2312" w:hAnsi="仿宋_GB2312" w:eastAsia="仿宋_GB2312" w:cs="Times New Roman"/>
      <w:kern w:val="2"/>
      <w:sz w:val="32"/>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1"/>
    <w:qFormat/>
    <w:uiPriority w:val="0"/>
    <w:pPr>
      <w:spacing w:after="0"/>
      <w:ind w:firstLine="420" w:firstLineChars="200"/>
    </w:pPr>
    <w:rPr>
      <w:rFonts w:ascii="Calibri" w:hAnsi="Calibri" w:cs="Times New Roman"/>
    </w:rPr>
  </w:style>
  <w:style w:type="paragraph" w:styleId="3">
    <w:name w:val="Body Text Indent"/>
    <w:basedOn w:val="1"/>
    <w:next w:val="4"/>
    <w:qFormat/>
    <w:uiPriority w:val="0"/>
    <w:pPr>
      <w:spacing w:line="600" w:lineRule="exact"/>
      <w:ind w:firstLine="630"/>
    </w:pPr>
    <w:rPr>
      <w:rFonts w:ascii="仿宋_GB2312" w:eastAsia="仿宋_GB2312"/>
      <w:sz w:val="32"/>
    </w:rPr>
  </w:style>
  <w:style w:type="paragraph" w:styleId="4">
    <w:name w:val="Normal Indent"/>
    <w:basedOn w:val="1"/>
    <w:next w:val="1"/>
    <w:qFormat/>
    <w:uiPriority w:val="0"/>
    <w:pPr>
      <w:ind w:firstLine="420" w:firstLineChars="200"/>
    </w:pPr>
    <w:rPr>
      <w:rFonts w:eastAsia="仿宋"/>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上海市崇明区应急管理局</Company>
  <Pages>1</Pages>
  <Words>0</Words>
  <Characters>0</Characters>
  <Lines>0</Lines>
  <Paragraphs>0</Paragraphs>
  <TotalTime>6</TotalTime>
  <ScaleCrop>false</ScaleCrop>
  <LinksUpToDate>false</LinksUpToDate>
  <CharactersWithSpaces>0</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2023-11-20T08:56:00Z</dcterms:created>
  <dc:creator>Administrator</dc:creator>
  <cp:lastModifiedBy>Administrator</cp:lastModifiedBy>
  <dcterms:modified xsi:type="dcterms:W3CDTF">2023-11-22T02:05:25Z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