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关于“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val="en-US" w:eastAsia="zh-CN"/>
        </w:rPr>
        <w:t>11·3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”重伤一般生产安全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责任事故的调查报告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2023年11月3日9时30分左右，位于崇明区城桥镇CMC10303单元06A-01A地块</w:t>
      </w:r>
      <w:r>
        <w:rPr>
          <w:rFonts w:hint="eastAsia" w:cs="仿宋_GB2312"/>
          <w:lang w:eastAsia="zh-CN"/>
        </w:rPr>
        <w:t>（以下简称金融街二期项目）</w:t>
      </w:r>
      <w:r>
        <w:rPr>
          <w:rFonts w:hint="eastAsia" w:ascii="仿宋_GB2312" w:hAnsi="仿宋_GB2312" w:eastAsia="仿宋_GB2312" w:cs="仿宋_GB2312"/>
        </w:rPr>
        <w:t>施工工地，分包单位迪亚爱柯建设工程（上海）有限公司在</w:t>
      </w:r>
      <w:r>
        <w:rPr>
          <w:rFonts w:hint="eastAsia" w:cs="仿宋_GB2312"/>
          <w:lang w:eastAsia="zh-CN"/>
        </w:rPr>
        <w:t>外墙涂料过程中</w:t>
      </w:r>
      <w:r>
        <w:rPr>
          <w:rFonts w:hint="eastAsia" w:ascii="仿宋_GB2312" w:hAnsi="仿宋_GB2312" w:eastAsia="仿宋_GB2312" w:cs="仿宋_GB2312"/>
        </w:rPr>
        <w:t>发生一起高处坠落重伤事故</w:t>
      </w:r>
      <w:r>
        <w:rPr>
          <w:rFonts w:hint="eastAsia" w:cs="仿宋_GB231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</w:rPr>
        <w:t>根据《中华人民共和国安全生产法》和《生产安全事故报告和调查处理条例》(国务院令第493号)及《上海市</w:t>
      </w:r>
      <w:r>
        <w:rPr>
          <w:rFonts w:hint="eastAsia"/>
          <w:color w:val="auto"/>
          <w:szCs w:val="32"/>
          <w:lang w:eastAsia="zh-CN"/>
        </w:rPr>
        <w:t>实施</w:t>
      </w:r>
      <w:r>
        <w:rPr>
          <w:rFonts w:hint="eastAsia"/>
          <w:color w:val="auto"/>
          <w:szCs w:val="32"/>
        </w:rPr>
        <w:t>〈生产安全事故报告和调查处理条例〉的若干规定》（沪府规〔2023〕5号）,受上海市崇明区人民政府委托，成立由上海市崇明区应急管理局（以下简称区应急局）牵头，</w:t>
      </w:r>
      <w:r>
        <w:rPr>
          <w:rFonts w:hint="eastAsia"/>
          <w:color w:val="auto"/>
          <w:szCs w:val="32"/>
          <w:lang w:eastAsia="zh-CN"/>
        </w:rPr>
        <w:t>上海市公安局崇明分局</w:t>
      </w:r>
      <w:r>
        <w:rPr>
          <w:rFonts w:hint="eastAsia"/>
          <w:color w:val="auto"/>
          <w:szCs w:val="32"/>
        </w:rPr>
        <w:t>、上海市崇明区总工会</w:t>
      </w:r>
      <w:r>
        <w:rPr>
          <w:rFonts w:hint="eastAsia"/>
          <w:color w:val="auto"/>
          <w:szCs w:val="32"/>
          <w:lang w:eastAsia="zh-CN"/>
        </w:rPr>
        <w:t>、上海市崇明区建设和管理委员会、城桥镇人民政府</w:t>
      </w:r>
      <w:r>
        <w:rPr>
          <w:rFonts w:hint="eastAsia"/>
          <w:color w:val="auto"/>
          <w:szCs w:val="32"/>
        </w:rPr>
        <w:t>等单位组成的“</w:t>
      </w:r>
      <w:r>
        <w:rPr>
          <w:rFonts w:hint="eastAsia"/>
          <w:color w:val="auto"/>
          <w:szCs w:val="32"/>
          <w:lang w:val="en-US" w:eastAsia="zh-CN"/>
        </w:rPr>
        <w:t>11·3</w:t>
      </w:r>
      <w:r>
        <w:rPr>
          <w:rFonts w:hint="eastAsia"/>
          <w:color w:val="auto"/>
          <w:szCs w:val="32"/>
        </w:rPr>
        <w:t>”事故调查组（以下简称事故调查组），并邀请中共上海市崇明区纪律检查委员会（上海市崇明区监察委员会）监督，开展事故调查工作。现将调查主要情况报告如下：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（一）涉事单位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1.上海融迈置业有限公司（以下简称融迈公司），系金融街二期项目的建设单位；法定代表人：袁俊杰；住所：上海市崇明区城桥镇乔松路492号（上海城桥经济开发区）。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2.中延（上海）建设工程有限公司（以下简称中延公司），系金融街二期项目的总包单位；法定代表人：何伟；住所：上海市静安区万荣路1256、1258号720室。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3.迪亚爱柯建设工程（上海）有限公司（以下简称迪亚爱柯公司），系金融街二期项目的专业分包单位；法定代表人：仲皓亮；住所：上海市嘉定区众仁路399号1幢12层B区J11460室。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  <w:lang w:eastAsia="zh-CN"/>
        </w:rPr>
        <w:t>（二）合同签署情况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b/>
          <w:bCs/>
          <w:color w:val="auto"/>
          <w:szCs w:val="32"/>
          <w:lang w:val="en-US" w:eastAsia="zh-CN"/>
        </w:rPr>
      </w:pPr>
      <w:r>
        <w:rPr>
          <w:rFonts w:hint="eastAsia" w:cs="仿宋_GB2312"/>
          <w:b/>
          <w:bCs/>
          <w:color w:val="auto"/>
          <w:szCs w:val="32"/>
          <w:lang w:val="en-US" w:eastAsia="zh-CN"/>
        </w:rPr>
        <w:t>1.总包合同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eastAsia="仿宋_GB2312" w:cs="仿宋_GB2312"/>
          <w:strike w:val="0"/>
          <w:dstrike w:val="0"/>
          <w:color w:val="auto"/>
          <w:szCs w:val="32"/>
          <w:lang w:val="en-US" w:eastAsia="zh-CN"/>
        </w:rPr>
      </w:pPr>
      <w:r>
        <w:rPr>
          <w:rFonts w:hint="eastAsia" w:cs="仿宋_GB2312"/>
          <w:strike w:val="0"/>
          <w:dstrike w:val="0"/>
          <w:color w:val="auto"/>
          <w:szCs w:val="32"/>
          <w:lang w:val="en-US" w:eastAsia="zh-CN"/>
        </w:rPr>
        <w:t>2023年3月23日，融迈公司与中延公司签订《建设工程施工合同》，合同约定融迈公司将金融街二期项目发包给中延公司。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Cs w:val="32"/>
          <w:lang w:val="en-US" w:eastAsia="zh-CN"/>
        </w:rPr>
        <w:t>2.</w:t>
      </w:r>
      <w:r>
        <w:rPr>
          <w:rFonts w:hint="eastAsia" w:cs="仿宋_GB2312"/>
          <w:b/>
          <w:bCs w:val="0"/>
          <w:color w:val="auto"/>
          <w:szCs w:val="32"/>
          <w:lang w:val="en-US" w:eastAsia="zh-CN"/>
        </w:rPr>
        <w:t>专业分包合同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b w:val="0"/>
          <w:bCs/>
          <w:color w:val="auto"/>
          <w:szCs w:val="32"/>
          <w:lang w:val="en-US" w:eastAsia="zh-CN"/>
        </w:rPr>
      </w:pP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2023年9月27日，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中延公司</w:t>
      </w: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与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迪亚爱柯公司</w:t>
      </w: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签订《劳务分包协议书》，合同约定中延公司将</w:t>
      </w:r>
      <w:r>
        <w:rPr>
          <w:rFonts w:hint="eastAsia" w:cs="仿宋_GB2312"/>
          <w:strike w:val="0"/>
          <w:dstrike w:val="0"/>
          <w:color w:val="auto"/>
          <w:szCs w:val="32"/>
          <w:lang w:val="en-US" w:eastAsia="zh-CN"/>
        </w:rPr>
        <w:t>金融街二期项目</w:t>
      </w: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商品房外墙涂料工程分包给迪亚爱柯公司。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二</w:t>
      </w:r>
      <w:r>
        <w:rPr>
          <w:rFonts w:hint="eastAsia" w:ascii="黑体" w:eastAsia="黑体"/>
          <w:b w:val="0"/>
          <w:bCs/>
          <w:color w:val="auto"/>
          <w:szCs w:val="32"/>
        </w:rPr>
        <w:t>、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事故</w:t>
      </w:r>
      <w:r>
        <w:rPr>
          <w:rFonts w:hint="eastAsia" w:ascii="黑体" w:eastAsia="黑体"/>
          <w:b w:val="0"/>
          <w:bCs/>
          <w:color w:val="auto"/>
          <w:szCs w:val="32"/>
        </w:rPr>
        <w:t>经过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  <w:t>2023年11月3日，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迪亚爱柯公司安排</w:t>
      </w: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高XX（伤者）对29栋楼外墙批腻子，9时30分左右，高XX在29栋楼30号202室4层北露台的脚手架上批外墙腻子，受限于脚手架的高度，在其踮脚对较高处的外墙装饰条批腻子时，重心失稳向后倾倒，从脚手架上摔落至1层混凝土水坑内（坠落高度约11米），后送至上海健康医学院附属崇明医院救治，经医院诊断高XX左侧颞顶骨、左颧弓骨、左侧锁骨远段、左侧肩胛骨、左侧第3、8、9肋骨骨折，于12月18日出院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三、人员伤亡和经济损失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（一）伤亡情况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本起事故造成1人</w:t>
      </w:r>
      <w:r>
        <w:rPr>
          <w:rFonts w:hint="eastAsia" w:cs="仿宋_GB2312"/>
          <w:color w:val="auto"/>
          <w:szCs w:val="32"/>
          <w:lang w:eastAsia="zh-CN"/>
        </w:rPr>
        <w:t>受伤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。</w:t>
      </w:r>
      <w:r>
        <w:rPr>
          <w:rFonts w:hint="eastAsia" w:cs="仿宋_GB2312"/>
          <w:color w:val="auto"/>
          <w:szCs w:val="32"/>
          <w:lang w:eastAsia="zh-CN"/>
        </w:rPr>
        <w:t>伤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者：</w:t>
      </w:r>
      <w:r>
        <w:rPr>
          <w:rFonts w:hint="eastAsia" w:cs="仿宋_GB2312"/>
          <w:color w:val="auto"/>
          <w:szCs w:val="32"/>
          <w:lang w:eastAsia="zh-CN"/>
        </w:rPr>
        <w:t>高XX；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性别：</w:t>
      </w:r>
      <w:r>
        <w:rPr>
          <w:rFonts w:hint="eastAsia" w:cs="仿宋_GB2312"/>
          <w:color w:val="auto"/>
          <w:szCs w:val="32"/>
          <w:lang w:eastAsia="zh-CN"/>
        </w:rPr>
        <w:t>男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；籍贯：</w:t>
      </w:r>
      <w:r>
        <w:rPr>
          <w:rFonts w:hint="eastAsia" w:cs="仿宋_GB2312"/>
          <w:color w:val="auto"/>
          <w:szCs w:val="32"/>
          <w:lang w:eastAsia="zh-CN"/>
        </w:rPr>
        <w:t>安徽省颍上县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；出生年月：</w:t>
      </w:r>
      <w:r>
        <w:rPr>
          <w:rFonts w:hint="eastAsia" w:cs="仿宋_GB2312"/>
          <w:color w:val="auto"/>
          <w:szCs w:val="32"/>
          <w:lang w:val="en-US" w:eastAsia="zh-CN"/>
        </w:rPr>
        <w:t>1998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日；</w:t>
      </w:r>
      <w:r>
        <w:rPr>
          <w:rFonts w:hint="eastAsia" w:cs="仿宋_GB2312"/>
          <w:color w:val="auto"/>
          <w:szCs w:val="32"/>
          <w:lang w:val="en-US" w:eastAsia="zh-CN"/>
        </w:rPr>
        <w:t>户籍地址：安徽</w:t>
      </w:r>
      <w:r>
        <w:rPr>
          <w:rFonts w:hint="eastAsia" w:cs="仿宋_GB2312"/>
          <w:color w:val="auto"/>
          <w:spacing w:val="-17"/>
          <w:szCs w:val="32"/>
          <w:lang w:val="en-US" w:eastAsia="zh-CN"/>
        </w:rPr>
        <w:t>省颍上县谢桥镇XX村XXXX</w:t>
      </w:r>
      <w:bookmarkStart w:id="0" w:name="_GoBack"/>
      <w:bookmarkEnd w:id="0"/>
      <w:r>
        <w:rPr>
          <w:rFonts w:hint="eastAsia" w:cs="仿宋_GB2312"/>
          <w:color w:val="auto"/>
          <w:spacing w:val="-17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color w:val="auto"/>
          <w:spacing w:val="-17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pacing w:val="-17"/>
          <w:szCs w:val="32"/>
        </w:rPr>
        <w:t>身份证号：</w:t>
      </w:r>
      <w:r>
        <w:rPr>
          <w:rFonts w:hint="eastAsia" w:cs="仿宋_GB2312"/>
          <w:color w:val="auto"/>
          <w:spacing w:val="-17"/>
          <w:szCs w:val="32"/>
          <w:lang w:val="en-US" w:eastAsia="zh-CN"/>
        </w:rPr>
        <w:t>3412261998XXXXXXXX</w:t>
      </w:r>
      <w:r>
        <w:rPr>
          <w:rFonts w:hint="eastAsia" w:ascii="仿宋_GB2312" w:hAnsi="仿宋_GB2312" w:eastAsia="仿宋_GB2312" w:cs="仿宋_GB2312"/>
          <w:color w:val="auto"/>
          <w:spacing w:val="-17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（二）经济损失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8640" w:leftChars="200" w:hanging="8000" w:hangingChars="2500"/>
        <w:textAlignment w:val="auto"/>
        <w:rPr>
          <w:b w:val="0"/>
          <w:bCs w:val="0"/>
          <w:color w:val="auto"/>
          <w:szCs w:val="32"/>
        </w:rPr>
      </w:pPr>
      <w:r>
        <w:rPr>
          <w:rFonts w:hint="eastAsia"/>
          <w:b w:val="0"/>
          <w:bCs w:val="0"/>
          <w:color w:val="auto"/>
          <w:szCs w:val="32"/>
        </w:rPr>
        <w:t>本起事故造成直接经济损失约人民币</w:t>
      </w:r>
      <w:r>
        <w:rPr>
          <w:rFonts w:hint="eastAsia"/>
          <w:b w:val="0"/>
          <w:bCs w:val="0"/>
          <w:color w:val="auto"/>
          <w:szCs w:val="32"/>
          <w:lang w:val="en-US" w:eastAsia="zh-CN"/>
        </w:rPr>
        <w:t>13.2万元。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黑体" w:hAnsi="黑体" w:eastAsia="黑体" w:cs="黑体"/>
          <w:b w:val="0"/>
          <w:bCs w:val="0"/>
          <w:color w:val="auto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四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事故</w:t>
      </w:r>
      <w:r>
        <w:rPr>
          <w:rFonts w:hint="eastAsia" w:ascii="黑体" w:hAnsi="黑体" w:eastAsia="黑体" w:cs="黑体"/>
          <w:b w:val="0"/>
          <w:bCs w:val="0"/>
          <w:color w:val="auto"/>
        </w:rPr>
        <w:t>原因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及</w:t>
      </w:r>
      <w:r>
        <w:rPr>
          <w:rFonts w:hint="eastAsia" w:ascii="黑体" w:hAnsi="黑体" w:eastAsia="黑体" w:cs="黑体"/>
          <w:b w:val="0"/>
          <w:bCs w:val="0"/>
          <w:color w:val="auto"/>
        </w:rPr>
        <w:t>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（一）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事故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color w:val="auto"/>
          <w:szCs w:val="32"/>
        </w:rPr>
      </w:pPr>
      <w:r>
        <w:rPr>
          <w:rFonts w:hint="eastAsia"/>
          <w:b/>
          <w:color w:val="auto"/>
          <w:szCs w:val="32"/>
        </w:rPr>
        <w:t>1.直接原因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eastAsia="仿宋_GB2312"/>
          <w:b w:val="0"/>
          <w:bCs w:val="0"/>
          <w:color w:val="auto"/>
          <w:lang w:eastAsia="zh-CN"/>
        </w:rPr>
      </w:pPr>
      <w:r>
        <w:rPr>
          <w:rFonts w:hint="eastAsia"/>
          <w:b w:val="0"/>
          <w:bCs w:val="0"/>
          <w:color w:val="auto"/>
          <w:lang w:eastAsia="zh-CN"/>
        </w:rPr>
        <w:t>作业人员未系挂安全绳在无临边防护措施的高处作业，重心失稳从高处坠落。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/>
          <w:b/>
          <w:bCs/>
          <w:color w:val="auto"/>
        </w:rPr>
        <w:t>2.间接原因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cs="仿宋_GB2312"/>
          <w:lang w:val="en-US" w:eastAsia="zh-CN"/>
        </w:rPr>
        <w:t>1.</w:t>
      </w:r>
      <w:r>
        <w:rPr>
          <w:rFonts w:hint="eastAsia" w:cs="仿宋_GB2312"/>
          <w:lang w:eastAsia="zh-CN"/>
        </w:rPr>
        <w:t>迪亚爱柯公司未尽到分包方主体责任。</w:t>
      </w:r>
      <w:r>
        <w:rPr>
          <w:rFonts w:hint="eastAsia" w:cs="仿宋_GB2312"/>
          <w:strike w:val="0"/>
          <w:dstrike w:val="0"/>
          <w:lang w:eastAsia="zh-CN"/>
        </w:rPr>
        <w:t>对外墙涂料作业风险辨识不足</w:t>
      </w:r>
      <w:r>
        <w:rPr>
          <w:rFonts w:hint="eastAsia" w:cs="仿宋_GB2312"/>
          <w:lang w:eastAsia="zh-CN"/>
        </w:rPr>
        <w:t>，未设置高处临边防护措施，现场作业安全监护不力；对作业人员的安全教育培训流于形式，未能确保作业人员正确系挂安全绳。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cs="仿宋_GB2312"/>
          <w:lang w:eastAsia="zh-CN"/>
        </w:rPr>
        <w:t>2.中延公司未有效落实总包方管理责任。对分包单位统一协调管理不力，未能及时消除生产安全事故隐患。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cs="仿宋_GB2312"/>
          <w:lang w:eastAsia="zh-CN"/>
        </w:rPr>
        <w:t>3.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融迈</w:t>
      </w:r>
      <w:r>
        <w:rPr>
          <w:rFonts w:hint="eastAsia" w:cs="仿宋_GB2312"/>
          <w:lang w:eastAsia="zh-CN"/>
        </w:rPr>
        <w:t>公司未有效落实建设方管理责任。未能有效督促承包单位落实安全生产工作，对施工项目安全检查流于形式。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  <w:t>（二）事故性质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经事故调查组调查认定，</w:t>
      </w:r>
      <w:r>
        <w:rPr>
          <w:rFonts w:hint="eastAsia" w:cs="仿宋_GB2312"/>
          <w:color w:val="auto"/>
          <w:lang w:eastAsia="zh-CN"/>
        </w:rPr>
        <w:t>该事故系一般</w:t>
      </w:r>
      <w:r>
        <w:rPr>
          <w:rFonts w:hint="eastAsia" w:ascii="仿宋_GB2312" w:hAnsi="仿宋_GB2312" w:eastAsia="仿宋_GB2312" w:cs="仿宋_GB2312"/>
          <w:color w:val="auto"/>
        </w:rPr>
        <w:t>生产安全责任事故。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 w:val="0"/>
          <w:bCs w:val="0"/>
          <w:color w:val="auto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</w:rPr>
        <w:t>、责任认定及处理建议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b/>
          <w:bCs w:val="0"/>
          <w:i w:val="0"/>
          <w:i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（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一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）责任单位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的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认定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及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</w:pPr>
      <w:r>
        <w:rPr>
          <w:rFonts w:hint="eastAsia" w:cs="仿宋_GB2312"/>
          <w:lang w:val="en-US" w:eastAsia="zh-CN"/>
        </w:rPr>
        <w:t>1.</w:t>
      </w:r>
      <w:r>
        <w:rPr>
          <w:rFonts w:hint="eastAsia" w:cs="仿宋_GB2312"/>
          <w:lang w:eastAsia="zh-CN"/>
        </w:rPr>
        <w:t>迪亚爱柯公司未尽到分包方主体责任。对外墙涂料作业风险辨识不足，未设置高处临边防护措施，现场作业安全监护不力；对作业人员的安全教育培训流于形式，未能确保作业人员正确系挂安全绳。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  <w:t>应当依法承担赔偿责任。</w:t>
      </w:r>
    </w:p>
    <w:p>
      <w:pPr>
        <w:pStyle w:val="2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2.中延公司未有效落实总包方管理责任。对分包单位统一协调管理不力，未能及时消除生产安全事故隐患。应当依法承担赔偿责任。</w:t>
      </w:r>
    </w:p>
    <w:p>
      <w:pPr>
        <w:pStyle w:val="2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3.融迈公司未有效落实建设方管理责任。未能有效督促承包单位落实安全生产工作，对</w:t>
      </w:r>
      <w:r>
        <w:rPr>
          <w:rFonts w:hint="eastAsia" w:ascii="仿宋_GB2312" w:hAnsi="仿宋_GB2312" w:cs="仿宋_GB2312"/>
          <w:lang w:eastAsia="zh-CN"/>
        </w:rPr>
        <w:t>施工项目</w:t>
      </w:r>
      <w:r>
        <w:rPr>
          <w:rFonts w:hint="eastAsia" w:ascii="仿宋_GB2312" w:hAnsi="仿宋_GB2312" w:eastAsia="仿宋_GB2312" w:cs="仿宋_GB2312"/>
          <w:lang w:eastAsia="zh-CN"/>
        </w:rPr>
        <w:t>安全检查流于形式。应当依法承担赔偿责任。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二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）责任人员的认定及处理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default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1.高XX，</w:t>
      </w:r>
      <w:r>
        <w:rPr>
          <w:rFonts w:hint="eastAsia" w:cs="仿宋_GB2312"/>
          <w:color w:val="auto"/>
          <w:lang w:eastAsia="zh-CN"/>
        </w:rPr>
        <w:t>迪亚爱柯公司油漆工</w:t>
      </w:r>
      <w:r>
        <w:rPr>
          <w:rFonts w:hint="eastAsia" w:cs="仿宋_GB2312"/>
          <w:color w:val="auto"/>
          <w:lang w:val="en-US" w:eastAsia="zh-CN"/>
        </w:rPr>
        <w:t>。安全意识薄弱，对事故发生负有责任，鉴于已在事故中受伤，建议不追究责任。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2.钱同华，</w:t>
      </w:r>
      <w:r>
        <w:rPr>
          <w:rFonts w:hint="eastAsia" w:cs="仿宋_GB2312"/>
          <w:color w:val="auto"/>
          <w:lang w:eastAsia="zh-CN"/>
        </w:rPr>
        <w:t>迪亚爱柯公司</w:t>
      </w:r>
      <w:r>
        <w:rPr>
          <w:rFonts w:hint="eastAsia" w:cs="仿宋_GB2312"/>
          <w:color w:val="auto"/>
          <w:lang w:val="en-US" w:eastAsia="zh-CN"/>
        </w:rPr>
        <w:t>安全员。对作业人员的安全教育培训不到位，未能有效开展现场巡查并消除生产安全事故隐患。对事故发生负有责任。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</w:t>
      </w:r>
      <w:r>
        <w:rPr>
          <w:rFonts w:hint="eastAsia" w:cs="仿宋_GB2312"/>
          <w:color w:val="auto"/>
          <w:lang w:eastAsia="zh-CN"/>
        </w:rPr>
        <w:t>迪亚爱柯公司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</w:t>
      </w:r>
      <w:r>
        <w:rPr>
          <w:rFonts w:hint="eastAsia" w:cs="仿宋_GB2312"/>
          <w:color w:val="auto"/>
          <w:lang w:val="en-US" w:eastAsia="zh-CN"/>
        </w:rPr>
        <w:t>钱同华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按照企业规定给予处理</w:t>
      </w:r>
      <w:r>
        <w:rPr>
          <w:rFonts w:hint="eastAsia" w:cs="仿宋_GB2312"/>
          <w:color w:val="auto"/>
          <w:lang w:eastAsia="zh-CN"/>
        </w:rPr>
        <w:t>，处理结果报区应急局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3.胡太平，迪亚爱柯公司项目负责人。对外墙涂料作业风险辨识不足，督促、检查本单位的安全生产工作不力，对现场存在的生产安全事故隐患失管失察。对事故发生负有责任。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建议区应急局依据</w:t>
      </w:r>
      <w:r>
        <w:rPr>
          <w:rFonts w:hint="eastAsia" w:cs="仿宋_GB2312"/>
          <w:color w:val="auto"/>
          <w:lang w:eastAsia="zh-CN"/>
        </w:rPr>
        <w:t>《中华人民共和国安全生产法》第九十六条的规定，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</w:t>
      </w:r>
      <w:r>
        <w:rPr>
          <w:rFonts w:hint="eastAsia" w:cs="仿宋_GB2312"/>
          <w:color w:val="auto"/>
          <w:lang w:eastAsia="zh-CN"/>
        </w:rPr>
        <w:t>胡太平处上一年年收入百分之二十以上百分之五下的罚款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六</w:t>
      </w:r>
      <w:r>
        <w:rPr>
          <w:rFonts w:hint="eastAsia" w:ascii="黑体" w:eastAsia="黑体"/>
          <w:b w:val="0"/>
          <w:bCs/>
          <w:color w:val="auto"/>
          <w:szCs w:val="32"/>
        </w:rPr>
        <w:t>、事故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教训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针对“</w:t>
      </w:r>
      <w:r>
        <w:rPr>
          <w:rFonts w:hint="eastAsia" w:cs="仿宋_GB2312"/>
          <w:color w:val="auto"/>
          <w:szCs w:val="32"/>
          <w:lang w:val="en-US" w:eastAsia="zh-CN"/>
        </w:rPr>
        <w:t>11·3</w:t>
      </w:r>
      <w:r>
        <w:rPr>
          <w:rFonts w:hint="eastAsia" w:ascii="仿宋_GB2312" w:hAnsi="仿宋_GB2312" w:eastAsia="仿宋_GB2312" w:cs="仿宋_GB2312"/>
          <w:color w:val="auto"/>
          <w:szCs w:val="32"/>
        </w:rPr>
        <w:t>”事故暴露出的问题，相关</w:t>
      </w:r>
      <w:r>
        <w:rPr>
          <w:rFonts w:hint="eastAsia" w:cs="仿宋_GB2312"/>
          <w:color w:val="auto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思想上要高度重视，深刻吸取事故教训，加强风险防控，抓好源头治理和事故预防，坚决</w:t>
      </w:r>
      <w:r>
        <w:rPr>
          <w:rFonts w:hint="eastAsia" w:cs="仿宋_GB2312"/>
          <w:color w:val="auto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类似事故发生。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）吸取事故教训，落实主体责任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</w:rPr>
      </w:pPr>
      <w:r>
        <w:rPr>
          <w:rFonts w:hint="eastAsia" w:cs="仿宋_GB2312"/>
          <w:color w:val="auto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企业要认真剖析导致事故发生的原因，要充分认识并深刻吸取事故带来的教训，</w:t>
      </w:r>
      <w:r>
        <w:rPr>
          <w:rFonts w:hint="eastAsia" w:cs="仿宋_GB2312"/>
          <w:color w:val="auto"/>
          <w:szCs w:val="32"/>
          <w:lang w:eastAsia="zh-CN"/>
        </w:rPr>
        <w:t>牢固树立红线意识，有效落实全员安全生产责任制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，认真开展事故隐患排查治理，夯实安全生产各项基础工作，切实履行安全生产主体责任，及时有效化解事故风险隐患。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）加强人员培训，强化现场管控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  <w:lang w:eastAsia="zh-CN"/>
        </w:rPr>
      </w:pP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</w:rPr>
        <w:t>企业要进一步强化对</w:t>
      </w: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现场作业人员安全防护技能、安全防护意识的教育培训，对常规性作业开展有针对性的安全教育培训，落实现场安全监护，防范措施以及事故应急措施，严禁无证违章等作业行为。要认真开展作业项目中事故隐患排查治理，安排专业人员对接、负责作业现场安全管理工作，确保安全管控及防范措施切实落到实处，及时有效化解事故风险隐患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加强分包管理，提升本质安全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cs="仿宋_GB2312"/>
          <w:b w:val="0"/>
          <w:bCs w:val="0"/>
          <w:color w:val="auto"/>
          <w:szCs w:val="32"/>
          <w:lang w:eastAsia="zh-CN"/>
        </w:rPr>
      </w:pP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相关企业要进一步加强对分包单位的安全管理，全面审核各类分包单位的安全生产现状，加强对各类分包单位的考核力度，督促相关企业落实安全生产主体责任，消除安全生产管理过程中的盲区死角，确保各类作业处于受控状态，有效防范、遏制各类事故发生。</w:t>
      </w: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   </w:t>
      </w:r>
      <w:r>
        <w:rPr>
          <w:rFonts w:hint="eastAsia"/>
          <w:color w:val="auto"/>
          <w:lang w:eastAsia="zh-CN"/>
        </w:rPr>
        <w:t>“</w:t>
      </w:r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  <w:lang w:eastAsia="zh-CN"/>
        </w:rPr>
        <w:t>·</w:t>
      </w:r>
      <w:r>
        <w:rPr>
          <w:rFonts w:hint="eastAsia"/>
          <w:color w:val="auto"/>
          <w:lang w:val="en-US" w:eastAsia="zh-CN"/>
        </w:rPr>
        <w:t>3”重伤</w:t>
      </w:r>
      <w:r>
        <w:rPr>
          <w:rFonts w:hint="eastAsia"/>
          <w:color w:val="auto"/>
          <w:lang w:eastAsia="zh-CN"/>
        </w:rPr>
        <w:t>一般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生产安全责任</w:t>
      </w:r>
      <w:r>
        <w:rPr>
          <w:rFonts w:hint="eastAsia"/>
          <w:color w:val="auto"/>
        </w:rPr>
        <w:t>事故调查</w:t>
      </w:r>
      <w:r>
        <w:rPr>
          <w:rFonts w:hint="eastAsia"/>
          <w:color w:val="auto"/>
          <w:lang w:eastAsia="zh-CN"/>
        </w:rPr>
        <w:t>组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eastAsia="仿宋_GB2312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                   2</w:t>
      </w:r>
      <w:r>
        <w:rPr>
          <w:rFonts w:hint="eastAsia"/>
          <w:color w:val="auto"/>
        </w:rPr>
        <w:t>02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0" w:leftChars="0" w:firstLine="0" w:firstLineChars="0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0" w:leftChars="0" w:firstLine="0" w:firstLineChars="0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0" w:leftChars="0" w:firstLine="0" w:firstLineChars="0"/>
      <w:rPr>
        <w:rFonts w:hint="default" w:eastAsia="仿宋_GB231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DD1FF7"/>
    <w:rsid w:val="07D1581A"/>
    <w:rsid w:val="093D038B"/>
    <w:rsid w:val="0A3A160D"/>
    <w:rsid w:val="0A652AB4"/>
    <w:rsid w:val="0C6E7D5C"/>
    <w:rsid w:val="0CD93848"/>
    <w:rsid w:val="0CDD06D4"/>
    <w:rsid w:val="13602EAF"/>
    <w:rsid w:val="1497649A"/>
    <w:rsid w:val="175442D8"/>
    <w:rsid w:val="18CD1E34"/>
    <w:rsid w:val="1A194545"/>
    <w:rsid w:val="1C816D48"/>
    <w:rsid w:val="1E261AD6"/>
    <w:rsid w:val="207D5576"/>
    <w:rsid w:val="218476B9"/>
    <w:rsid w:val="2291073B"/>
    <w:rsid w:val="22AF2022"/>
    <w:rsid w:val="23D12D69"/>
    <w:rsid w:val="25CF5505"/>
    <w:rsid w:val="26086554"/>
    <w:rsid w:val="26BD414F"/>
    <w:rsid w:val="2AF46517"/>
    <w:rsid w:val="2CE96C3B"/>
    <w:rsid w:val="2DF104A7"/>
    <w:rsid w:val="2F7F66EE"/>
    <w:rsid w:val="31D86CFC"/>
    <w:rsid w:val="32236F52"/>
    <w:rsid w:val="33B37DBB"/>
    <w:rsid w:val="34C42166"/>
    <w:rsid w:val="34DC11ED"/>
    <w:rsid w:val="35DE741E"/>
    <w:rsid w:val="36105B22"/>
    <w:rsid w:val="38E55DC0"/>
    <w:rsid w:val="39CE51B5"/>
    <w:rsid w:val="39E27834"/>
    <w:rsid w:val="3A394813"/>
    <w:rsid w:val="3A53042C"/>
    <w:rsid w:val="3B8E6D8C"/>
    <w:rsid w:val="3CC139BA"/>
    <w:rsid w:val="3D190DF1"/>
    <w:rsid w:val="3E2C710E"/>
    <w:rsid w:val="40072D28"/>
    <w:rsid w:val="41A943FE"/>
    <w:rsid w:val="43C72468"/>
    <w:rsid w:val="47C17665"/>
    <w:rsid w:val="48435999"/>
    <w:rsid w:val="48FE4D59"/>
    <w:rsid w:val="4AEB7170"/>
    <w:rsid w:val="4B084E61"/>
    <w:rsid w:val="4D112C13"/>
    <w:rsid w:val="4D577559"/>
    <w:rsid w:val="4E85315C"/>
    <w:rsid w:val="4E9E05A3"/>
    <w:rsid w:val="52A62F9C"/>
    <w:rsid w:val="54104E3D"/>
    <w:rsid w:val="575F328D"/>
    <w:rsid w:val="578F400B"/>
    <w:rsid w:val="579C7712"/>
    <w:rsid w:val="58227D7A"/>
    <w:rsid w:val="58671358"/>
    <w:rsid w:val="58B337CB"/>
    <w:rsid w:val="591A36AF"/>
    <w:rsid w:val="5937227C"/>
    <w:rsid w:val="5AC51137"/>
    <w:rsid w:val="5F1A61B4"/>
    <w:rsid w:val="61361D45"/>
    <w:rsid w:val="65314A89"/>
    <w:rsid w:val="65E40A3D"/>
    <w:rsid w:val="67121C9F"/>
    <w:rsid w:val="687663FB"/>
    <w:rsid w:val="6C013EE8"/>
    <w:rsid w:val="6C4C7824"/>
    <w:rsid w:val="710A4E5C"/>
    <w:rsid w:val="719851E2"/>
    <w:rsid w:val="71FF3F4E"/>
    <w:rsid w:val="73156460"/>
    <w:rsid w:val="734F04E7"/>
    <w:rsid w:val="73D904A5"/>
    <w:rsid w:val="77B93247"/>
    <w:rsid w:val="7A024834"/>
    <w:rsid w:val="7A340AED"/>
    <w:rsid w:val="7DDF1F17"/>
    <w:rsid w:val="7DE13835"/>
    <w:rsid w:val="7E16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firstLine="420" w:firstLineChars="200"/>
    </w:pPr>
    <w:rPr>
      <w:rFonts w:ascii="Calibri" w:hAnsi="Calibri" w:cs="Times New Roman"/>
    </w:rPr>
  </w:style>
  <w:style w:type="paragraph" w:styleId="3">
    <w:name w:val="Body Text Indent"/>
    <w:basedOn w:val="1"/>
    <w:next w:val="4"/>
    <w:qFormat/>
    <w:uiPriority w:val="0"/>
    <w:pPr>
      <w:spacing w:line="600" w:lineRule="exact"/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5">
    <w:name w:val="Date"/>
    <w:basedOn w:val="1"/>
    <w:next w:val="1"/>
    <w:qFormat/>
    <w:uiPriority w:val="0"/>
    <w:rPr>
      <w:rFonts w:ascii="仿宋_GB2312" w:eastAsia="仿宋_GB2312"/>
      <w:sz w:val="28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2024-01-10T01:42:00Z</cp:lastPrinted>
  <dcterms:modified xsi:type="dcterms:W3CDTF">2024-04-25T08:24:14Z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