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autoSpaceDE/>
        <w:autoSpaceDN/>
        <w:bidi w:val="0"/>
        <w:adjustRightInd/>
        <w:snapToGrid/>
        <w:spacing w:line="560" w:lineRule="exact"/>
        <w:ind w:firstLine="0" w:firstLineChars="0"/>
        <w:jc w:val="left"/>
        <w:textAlignment w:val="auto"/>
        <w:rPr>
          <w:rFonts w:hint="eastAsia" w:ascii="黑体" w:hAnsi="黑体" w:eastAsia="黑体" w:cs="黑体"/>
          <w:color w:val="auto"/>
          <w:sz w:val="32"/>
          <w:szCs w:val="16"/>
          <w:shd w:val="clear" w:color="auto" w:fill="FFFFFF"/>
          <w:lang w:eastAsia="zh-CN"/>
        </w:rPr>
      </w:pPr>
      <w:r>
        <w:rPr>
          <w:rFonts w:hint="eastAsia" w:ascii="黑体" w:hAnsi="黑体" w:eastAsia="黑体" w:cs="黑体"/>
          <w:color w:val="auto"/>
          <w:sz w:val="32"/>
          <w:szCs w:val="16"/>
          <w:shd w:val="clear" w:color="auto" w:fill="FFFFFF"/>
          <w:lang w:eastAsia="zh-CN"/>
        </w:rPr>
        <w:t>附件</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lang w:eastAsia="zh-CN"/>
        </w:rPr>
      </w:pPr>
      <w:bookmarkStart w:id="0" w:name="_GoBack"/>
      <w:r>
        <w:rPr>
          <w:rFonts w:hint="eastAsia" w:ascii="方正小标宋简体" w:hAnsi="Arial" w:eastAsia="方正小标宋简体" w:cs="Arial"/>
          <w:color w:val="auto"/>
          <w:sz w:val="44"/>
          <w:szCs w:val="21"/>
          <w:shd w:val="clear" w:color="auto" w:fill="FFFFFF"/>
          <w:lang w:eastAsia="zh-CN"/>
        </w:rPr>
        <w:t>关于“</w:t>
      </w:r>
      <w:r>
        <w:rPr>
          <w:rFonts w:hint="eastAsia" w:ascii="方正小标宋简体" w:hAnsi="Arial" w:eastAsia="方正小标宋简体" w:cs="Arial"/>
          <w:color w:val="auto"/>
          <w:sz w:val="44"/>
          <w:szCs w:val="21"/>
          <w:shd w:val="clear" w:color="auto" w:fill="FFFFFF"/>
          <w:lang w:val="en-US" w:eastAsia="zh-CN"/>
        </w:rPr>
        <w:t>12·7</w:t>
      </w:r>
      <w:r>
        <w:rPr>
          <w:rFonts w:hint="eastAsia" w:ascii="方正小标宋简体" w:hAnsi="Arial" w:eastAsia="方正小标宋简体" w:cs="Arial"/>
          <w:color w:val="auto"/>
          <w:sz w:val="44"/>
          <w:szCs w:val="21"/>
          <w:shd w:val="clear" w:color="auto" w:fill="FFFFFF"/>
          <w:lang w:eastAsia="zh-CN"/>
        </w:rPr>
        <w:t>”一般生产安全</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rPr>
      </w:pPr>
      <w:r>
        <w:rPr>
          <w:rFonts w:hint="eastAsia" w:ascii="方正小标宋简体" w:hAnsi="Arial" w:eastAsia="方正小标宋简体" w:cs="Arial"/>
          <w:color w:val="auto"/>
          <w:sz w:val="44"/>
          <w:szCs w:val="21"/>
          <w:shd w:val="clear" w:color="auto" w:fill="FFFFFF"/>
          <w:lang w:eastAsia="zh-CN"/>
        </w:rPr>
        <w:t>责任事故的调查报告</w:t>
      </w:r>
      <w:bookmarkEnd w:id="0"/>
    </w:p>
    <w:p>
      <w:pPr>
        <w:keepNext w:val="0"/>
        <w:keepLines w:val="0"/>
        <w:pageBreakBefore w:val="0"/>
        <w:widowControl w:val="0"/>
        <w:kinsoku/>
        <w:wordWrap/>
        <w:topLinePunct w:val="0"/>
        <w:autoSpaceDE/>
        <w:autoSpaceDN/>
        <w:bidi w:val="0"/>
        <w:adjustRightInd/>
        <w:snapToGrid/>
        <w:spacing w:line="560" w:lineRule="exact"/>
        <w:textAlignment w:val="auto"/>
        <w:rPr>
          <w:color w:val="auto"/>
        </w:rPr>
      </w:pP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rPr>
      </w:pPr>
      <w:r>
        <w:rPr>
          <w:rFonts w:hint="eastAsia" w:ascii="仿宋_GB2312" w:hAnsi="仿宋_GB2312" w:eastAsia="仿宋_GB2312" w:cs="仿宋_GB2312"/>
        </w:rPr>
        <w:t>2023年12月7日7时10分左右，</w:t>
      </w:r>
      <w:r>
        <w:rPr>
          <w:rFonts w:hint="eastAsia" w:cs="仿宋_GB2312"/>
          <w:lang w:eastAsia="zh-CN"/>
        </w:rPr>
        <w:t>在</w:t>
      </w:r>
      <w:r>
        <w:rPr>
          <w:rFonts w:hint="eastAsia" w:ascii="仿宋_GB2312" w:hAnsi="仿宋_GB2312" w:eastAsia="仿宋_GB2312" w:cs="仿宋_GB2312"/>
        </w:rPr>
        <w:t>崇明区长兴镇长明村11街坊5丘的38亩堆场，上海捷庆机械设备安装有限公司作业人员在堆放塔吊标准节时发生一起亡人事故。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olor w:val="auto"/>
          <w:szCs w:val="32"/>
        </w:rPr>
      </w:pPr>
      <w:r>
        <w:rPr>
          <w:rFonts w:hint="eastAsia"/>
          <w:color w:val="auto"/>
          <w:szCs w:val="32"/>
        </w:rPr>
        <w:t>根据《中华人民共和国安全生产法》和《生产安全事故报告和调查处理条例》(国务院令第493号)及《上海市</w:t>
      </w:r>
      <w:r>
        <w:rPr>
          <w:rFonts w:hint="eastAsia"/>
          <w:color w:val="auto"/>
          <w:szCs w:val="32"/>
          <w:lang w:eastAsia="zh-CN"/>
        </w:rPr>
        <w:t>实施</w:t>
      </w:r>
      <w:r>
        <w:rPr>
          <w:rFonts w:hint="eastAsia"/>
          <w:color w:val="auto"/>
          <w:szCs w:val="32"/>
        </w:rPr>
        <w:t>〈生产安全事故报告和调查处理条例〉的若干规定》（沪府规〔2023〕5号）,受上海市崇明区人民政府委托，成立由上海市崇明区应急管理局（以下简称区应急局）牵头，</w:t>
      </w:r>
      <w:r>
        <w:rPr>
          <w:rFonts w:hint="eastAsia"/>
          <w:color w:val="auto"/>
          <w:szCs w:val="32"/>
          <w:lang w:eastAsia="zh-CN"/>
        </w:rPr>
        <w:t>上海市公安局崇明分局</w:t>
      </w:r>
      <w:r>
        <w:rPr>
          <w:rFonts w:hint="eastAsia"/>
          <w:color w:val="auto"/>
          <w:szCs w:val="32"/>
        </w:rPr>
        <w:t>、上海市崇明区总工会、</w:t>
      </w:r>
      <w:r>
        <w:rPr>
          <w:rFonts w:hint="eastAsia"/>
          <w:color w:val="auto"/>
          <w:szCs w:val="32"/>
          <w:lang w:eastAsia="zh-CN"/>
        </w:rPr>
        <w:t>上海市崇明区长兴镇人民政府</w:t>
      </w:r>
      <w:r>
        <w:rPr>
          <w:rFonts w:hint="eastAsia"/>
          <w:color w:val="auto"/>
          <w:szCs w:val="32"/>
        </w:rPr>
        <w:t>等单位组成的“</w:t>
      </w:r>
      <w:r>
        <w:rPr>
          <w:rFonts w:hint="eastAsia"/>
          <w:color w:val="auto"/>
          <w:szCs w:val="32"/>
          <w:lang w:val="en-US" w:eastAsia="zh-CN"/>
        </w:rPr>
        <w:t>12·7</w:t>
      </w:r>
      <w:r>
        <w:rPr>
          <w:rFonts w:hint="eastAsia"/>
          <w:color w:val="auto"/>
          <w:szCs w:val="32"/>
        </w:rPr>
        <w:t>”事故调查组（以下简称事故调查组），并邀请中共上海市崇明区纪律检查委员会（上海市崇明区监察委员会）监督，开展事故调查工作。现将调查主要情况报告如下：</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黑体" w:eastAsia="黑体"/>
          <w:b w:val="0"/>
          <w:bCs/>
          <w:color w:val="auto"/>
          <w:szCs w:val="32"/>
          <w:lang w:val="en-US" w:eastAsia="zh-CN"/>
        </w:rPr>
      </w:pPr>
      <w:r>
        <w:rPr>
          <w:rFonts w:hint="eastAsia" w:ascii="黑体" w:eastAsia="黑体"/>
          <w:b w:val="0"/>
          <w:bCs/>
          <w:color w:val="auto"/>
          <w:szCs w:val="32"/>
          <w:lang w:eastAsia="zh-CN"/>
        </w:rPr>
        <w:t>一、</w:t>
      </w:r>
      <w:r>
        <w:rPr>
          <w:rFonts w:hint="eastAsia" w:ascii="黑体" w:hAnsi="黑体" w:eastAsia="黑体" w:cs="黑体"/>
          <w:b w:val="0"/>
          <w:bCs w:val="0"/>
          <w:color w:val="auto"/>
          <w:szCs w:val="32"/>
          <w:lang w:eastAsia="zh-CN"/>
        </w:rPr>
        <w:t>涉事单位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lang w:val="en-US" w:eastAsia="zh-CN"/>
        </w:rPr>
      </w:pPr>
      <w:r>
        <w:rPr>
          <w:rFonts w:hint="eastAsia" w:cs="仿宋_GB2312"/>
          <w:color w:val="auto"/>
          <w:sz w:val="32"/>
          <w:szCs w:val="32"/>
          <w:lang w:val="en-US" w:eastAsia="zh-CN"/>
        </w:rPr>
        <w:t>1.上海捷庆机械设备安装有限公司（以下简称捷庆公司）；法定代表人：蔡庆；住所：上海市崇明区新河镇新申路921弄2号A区248室（上海富盛经济开发区）。</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eastAsia="仿宋_GB2312" w:cs="仿宋_GB2312"/>
          <w:b w:val="0"/>
          <w:bCs w:val="0"/>
          <w:color w:val="auto"/>
          <w:szCs w:val="32"/>
          <w:lang w:val="en-US" w:eastAsia="zh-CN"/>
        </w:rPr>
      </w:pPr>
      <w:r>
        <w:rPr>
          <w:rFonts w:hint="eastAsia" w:cs="仿宋_GB2312"/>
          <w:b w:val="0"/>
          <w:bCs w:val="0"/>
          <w:color w:val="auto"/>
          <w:szCs w:val="32"/>
          <w:lang w:val="en-US" w:eastAsia="zh-CN"/>
        </w:rPr>
        <w:t>2</w:t>
      </w:r>
      <w:r>
        <w:rPr>
          <w:rFonts w:hint="eastAsia" w:ascii="仿宋_GB2312" w:hAnsi="仿宋_GB2312" w:eastAsia="仿宋_GB2312" w:cs="仿宋_GB2312"/>
          <w:b w:val="0"/>
          <w:bCs w:val="0"/>
          <w:color w:val="auto"/>
          <w:szCs w:val="32"/>
          <w:lang w:val="en-US" w:eastAsia="zh-CN"/>
        </w:rPr>
        <w:t>.</w:t>
      </w:r>
      <w:r>
        <w:rPr>
          <w:rFonts w:hint="eastAsia" w:cs="仿宋_GB2312"/>
          <w:b w:val="0"/>
          <w:bCs w:val="0"/>
          <w:color w:val="auto"/>
          <w:szCs w:val="32"/>
          <w:lang w:val="en-US" w:eastAsia="zh-CN"/>
        </w:rPr>
        <w:t>上海鼎淳机械设备有限公司（以下简称鼎淳公司）；法定代表人：杜王新；住所：上海市崇明区长兴镇潘园公路1800号（上海泰和经济发展区）。</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ascii="黑体" w:eastAsia="黑体"/>
          <w:b w:val="0"/>
          <w:bCs/>
          <w:color w:val="auto"/>
          <w:szCs w:val="32"/>
        </w:rPr>
      </w:pPr>
      <w:r>
        <w:rPr>
          <w:rFonts w:hint="eastAsia" w:ascii="黑体" w:eastAsia="黑体"/>
          <w:b w:val="0"/>
          <w:bCs/>
          <w:color w:val="auto"/>
          <w:szCs w:val="32"/>
          <w:lang w:eastAsia="zh-CN"/>
        </w:rPr>
        <w:t>二</w:t>
      </w:r>
      <w:r>
        <w:rPr>
          <w:rFonts w:hint="eastAsia" w:ascii="黑体" w:eastAsia="黑体"/>
          <w:b w:val="0"/>
          <w:bCs/>
          <w:color w:val="auto"/>
          <w:szCs w:val="32"/>
        </w:rPr>
        <w:t>、</w:t>
      </w:r>
      <w:r>
        <w:rPr>
          <w:rFonts w:hint="eastAsia" w:ascii="黑体" w:eastAsia="黑体"/>
          <w:b w:val="0"/>
          <w:bCs/>
          <w:color w:val="auto"/>
          <w:szCs w:val="32"/>
          <w:lang w:eastAsia="zh-CN"/>
        </w:rPr>
        <w:t>事故</w:t>
      </w:r>
      <w:r>
        <w:rPr>
          <w:rFonts w:hint="eastAsia" w:ascii="黑体" w:eastAsia="黑体"/>
          <w:b w:val="0"/>
          <w:bCs/>
          <w:color w:val="auto"/>
          <w:szCs w:val="32"/>
        </w:rPr>
        <w:t>经过</w:t>
      </w:r>
    </w:p>
    <w:p>
      <w:pPr>
        <w:keepNext w:val="0"/>
        <w:keepLines w:val="0"/>
        <w:pageBreakBefore w:val="0"/>
        <w:widowControl w:val="0"/>
        <w:kinsoku/>
        <w:wordWrap/>
        <w:overflowPunct w:val="0"/>
        <w:topLinePunct w:val="0"/>
        <w:autoSpaceDE/>
        <w:autoSpaceDN/>
        <w:bidi w:val="0"/>
        <w:adjustRightInd/>
        <w:snapToGrid w:val="0"/>
        <w:spacing w:line="560" w:lineRule="exact"/>
        <w:ind w:firstLine="643"/>
        <w:jc w:val="both"/>
        <w:textAlignment w:val="auto"/>
        <w:outlineLvl w:val="9"/>
        <w:rPr>
          <w:rFonts w:hint="default"/>
          <w:lang w:val="en-US" w:eastAsia="zh-CN"/>
        </w:rPr>
      </w:pPr>
      <w:r>
        <w:rPr>
          <w:rFonts w:hint="eastAsia" w:cs="仿宋_GB2312"/>
          <w:color w:val="auto"/>
          <w:kern w:val="2"/>
          <w:sz w:val="32"/>
          <w:szCs w:val="32"/>
          <w:u w:val="none"/>
          <w:lang w:val="en-US" w:eastAsia="zh-CN" w:bidi="ar-SA"/>
        </w:rPr>
        <w:t>2023年12月7日，</w:t>
      </w:r>
      <w:r>
        <w:rPr>
          <w:rFonts w:hint="eastAsia" w:cs="仿宋_GB2312"/>
          <w:color w:val="auto"/>
          <w:sz w:val="32"/>
          <w:szCs w:val="32"/>
          <w:lang w:val="en-US" w:eastAsia="zh-CN"/>
        </w:rPr>
        <w:t>捷庆公司主要负责人朱卫平安排安装拆卸工徐成华、孟大鹏，现场指挥工杨XX（死者）到</w:t>
      </w:r>
      <w:r>
        <w:rPr>
          <w:rFonts w:hint="eastAsia" w:ascii="仿宋_GB2312" w:hAnsi="仿宋_GB2312" w:eastAsia="仿宋_GB2312" w:cs="仿宋_GB2312"/>
          <w:b w:val="0"/>
          <w:bCs w:val="0"/>
          <w:color w:val="auto"/>
          <w:szCs w:val="32"/>
          <w:lang w:val="en-US" w:eastAsia="zh-CN"/>
        </w:rPr>
        <w:t>38亩堆场</w:t>
      </w:r>
      <w:r>
        <w:rPr>
          <w:rFonts w:hint="eastAsia" w:ascii="仿宋_GB2312" w:hAnsi="仿宋_GB2312" w:eastAsia="仿宋_GB2312" w:cs="仿宋_GB2312"/>
          <w:b w:val="0"/>
          <w:bCs w:val="0"/>
          <w:color w:val="auto"/>
          <w:sz w:val="32"/>
          <w:szCs w:val="32"/>
          <w:lang w:val="en-US" w:eastAsia="zh-CN"/>
        </w:rPr>
        <w:t>堆放塔吊</w:t>
      </w:r>
      <w:r>
        <w:rPr>
          <w:rFonts w:hint="eastAsia" w:cs="仿宋_GB2312"/>
          <w:color w:val="auto"/>
          <w:sz w:val="32"/>
          <w:szCs w:val="32"/>
          <w:lang w:val="en-US" w:eastAsia="zh-CN"/>
        </w:rPr>
        <w:t>标准节，并租用鼎淳公司的汽车吊配合三人吊运作业。7时左右，鼎淳公司汽车吊司机程刘涛操作汽车吊将半挂车上的塔吊标准节由西向东吊运至堆放位置上空，杨XX指挥汽车吊下放标准节。7时10分左右，标准节下放至离地2米处时碰撞到东侧的塔吊操作室，由于操作室部分悬空放置，失稳后向西倾倒，压住杨XX的上半身。事故发生后，程刘涛操作汽车吊吊起操作室，救出杨XX并拨打120，120到场后确认杨XX死亡，死亡原因为被重物砸到头部损伤。</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hint="eastAsia" w:ascii="黑体" w:eastAsia="黑体"/>
          <w:b w:val="0"/>
          <w:bCs/>
          <w:color w:val="auto"/>
          <w:szCs w:val="32"/>
          <w:lang w:eastAsia="zh-CN"/>
        </w:rPr>
      </w:pPr>
      <w:r>
        <w:rPr>
          <w:rFonts w:hint="eastAsia" w:ascii="黑体" w:eastAsia="黑体"/>
          <w:b w:val="0"/>
          <w:bCs/>
          <w:color w:val="auto"/>
          <w:szCs w:val="32"/>
        </w:rPr>
        <w:t>三、人员伤亡</w:t>
      </w:r>
      <w:r>
        <w:rPr>
          <w:rFonts w:hint="eastAsia" w:ascii="黑体" w:eastAsia="黑体"/>
          <w:b w:val="0"/>
          <w:bCs/>
          <w:color w:val="auto"/>
          <w:szCs w:val="32"/>
          <w:lang w:eastAsia="zh-CN"/>
        </w:rPr>
        <w:t>情况</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楷体_GB2312" w:eastAsia="楷体_GB2312"/>
          <w:b/>
          <w:bCs w:val="0"/>
          <w:color w:val="auto"/>
          <w:szCs w:val="32"/>
        </w:rPr>
      </w:pPr>
      <w:r>
        <w:rPr>
          <w:rFonts w:hint="eastAsia" w:ascii="楷体_GB2312" w:eastAsia="楷体_GB2312"/>
          <w:b/>
          <w:bCs w:val="0"/>
          <w:color w:val="auto"/>
          <w:szCs w:val="32"/>
        </w:rPr>
        <w:t>（一）伤亡情况</w:t>
      </w:r>
    </w:p>
    <w:p>
      <w:pPr>
        <w:keepNext w:val="0"/>
        <w:keepLines w:val="0"/>
        <w:pageBreakBefore w:val="0"/>
        <w:widowControl w:val="0"/>
        <w:kinsoku/>
        <w:wordWrap/>
        <w:overflowPunct w:val="0"/>
        <w:topLinePunct w:val="0"/>
        <w:autoSpaceDE/>
        <w:autoSpaceDN/>
        <w:bidi w:val="0"/>
        <w:adjustRightInd/>
        <w:snapToGrid/>
        <w:spacing w:line="560" w:lineRule="exact"/>
        <w:ind w:firstLine="640"/>
        <w:jc w:val="left"/>
        <w:textAlignment w:val="auto"/>
        <w:outlineLvl w:val="9"/>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rPr>
        <w:t>本起事故造成1人</w:t>
      </w:r>
      <w:r>
        <w:rPr>
          <w:rFonts w:hint="eastAsia" w:cs="仿宋_GB2312"/>
          <w:color w:val="auto"/>
          <w:szCs w:val="32"/>
          <w:lang w:eastAsia="zh-CN"/>
        </w:rPr>
        <w:t>死亡</w:t>
      </w:r>
      <w:r>
        <w:rPr>
          <w:rFonts w:hint="eastAsia" w:ascii="仿宋_GB2312" w:hAnsi="仿宋_GB2312" w:eastAsia="仿宋_GB2312" w:cs="仿宋_GB2312"/>
          <w:color w:val="auto"/>
          <w:szCs w:val="32"/>
          <w:lang w:eastAsia="zh-CN"/>
        </w:rPr>
        <w:t>。</w:t>
      </w:r>
      <w:r>
        <w:rPr>
          <w:rFonts w:hint="eastAsia" w:cs="仿宋_GB2312"/>
          <w:color w:val="auto"/>
          <w:szCs w:val="32"/>
          <w:lang w:eastAsia="zh-CN"/>
        </w:rPr>
        <w:t>死者</w:t>
      </w:r>
      <w:r>
        <w:rPr>
          <w:rFonts w:hint="eastAsia" w:ascii="仿宋_GB2312" w:hAnsi="仿宋_GB2312" w:eastAsia="仿宋_GB2312" w:cs="仿宋_GB2312"/>
          <w:color w:val="auto"/>
          <w:szCs w:val="32"/>
        </w:rPr>
        <w:t>：</w:t>
      </w:r>
      <w:r>
        <w:rPr>
          <w:rFonts w:hint="eastAsia" w:cs="仿宋_GB2312"/>
          <w:color w:val="auto"/>
          <w:szCs w:val="32"/>
          <w:lang w:eastAsia="zh-CN"/>
        </w:rPr>
        <w:t>杨XX；</w:t>
      </w:r>
      <w:r>
        <w:rPr>
          <w:rFonts w:hint="eastAsia" w:ascii="仿宋_GB2312" w:hAnsi="仿宋_GB2312" w:eastAsia="仿宋_GB2312" w:cs="仿宋_GB2312"/>
          <w:color w:val="auto"/>
          <w:szCs w:val="32"/>
          <w:lang w:eastAsia="zh-CN"/>
        </w:rPr>
        <w:t>性别：</w:t>
      </w:r>
      <w:r>
        <w:rPr>
          <w:rFonts w:hint="eastAsia" w:cs="仿宋_GB2312"/>
          <w:color w:val="auto"/>
          <w:szCs w:val="32"/>
          <w:lang w:eastAsia="zh-CN"/>
        </w:rPr>
        <w:t>男</w:t>
      </w:r>
      <w:r>
        <w:rPr>
          <w:rFonts w:hint="eastAsia" w:ascii="仿宋_GB2312" w:hAnsi="仿宋_GB2312" w:eastAsia="仿宋_GB2312" w:cs="仿宋_GB2312"/>
          <w:color w:val="auto"/>
          <w:szCs w:val="32"/>
          <w:lang w:eastAsia="zh-CN"/>
        </w:rPr>
        <w:t>；籍贯：</w:t>
      </w:r>
      <w:r>
        <w:rPr>
          <w:rFonts w:hint="eastAsia" w:cs="仿宋_GB2312"/>
          <w:color w:val="auto"/>
          <w:szCs w:val="32"/>
          <w:lang w:eastAsia="zh-CN"/>
        </w:rPr>
        <w:t>四川遂宁</w:t>
      </w:r>
      <w:r>
        <w:rPr>
          <w:rFonts w:hint="eastAsia" w:ascii="仿宋_GB2312" w:hAnsi="仿宋_GB2312" w:eastAsia="仿宋_GB2312" w:cs="仿宋_GB2312"/>
          <w:color w:val="auto"/>
          <w:szCs w:val="32"/>
          <w:lang w:eastAsia="zh-CN"/>
        </w:rPr>
        <w:t>；出生年月：</w:t>
      </w:r>
      <w:r>
        <w:rPr>
          <w:rFonts w:hint="eastAsia" w:cs="仿宋_GB2312"/>
          <w:color w:val="auto"/>
          <w:szCs w:val="32"/>
          <w:lang w:val="en-US" w:eastAsia="zh-CN"/>
        </w:rPr>
        <w:t>1966</w:t>
      </w:r>
      <w:r>
        <w:rPr>
          <w:rFonts w:hint="eastAsia" w:ascii="仿宋_GB2312" w:hAnsi="仿宋_GB2312" w:eastAsia="仿宋_GB2312" w:cs="仿宋_GB2312"/>
          <w:color w:val="auto"/>
          <w:szCs w:val="32"/>
          <w:lang w:val="en-US" w:eastAsia="zh-CN"/>
        </w:rPr>
        <w:t>年</w:t>
      </w:r>
      <w:r>
        <w:rPr>
          <w:rFonts w:hint="eastAsia" w:cs="仿宋_GB2312"/>
          <w:color w:val="auto"/>
          <w:szCs w:val="32"/>
          <w:lang w:val="en-US" w:eastAsia="zh-CN"/>
        </w:rPr>
        <w:t>3</w:t>
      </w:r>
      <w:r>
        <w:rPr>
          <w:rFonts w:hint="eastAsia" w:ascii="仿宋_GB2312" w:hAnsi="仿宋_GB2312" w:eastAsia="仿宋_GB2312" w:cs="仿宋_GB2312"/>
          <w:color w:val="auto"/>
          <w:szCs w:val="32"/>
          <w:lang w:val="en-US" w:eastAsia="zh-CN"/>
        </w:rPr>
        <w:t>月</w:t>
      </w:r>
      <w:r>
        <w:rPr>
          <w:rFonts w:hint="eastAsia" w:cs="仿宋_GB2312"/>
          <w:color w:val="auto"/>
          <w:szCs w:val="32"/>
          <w:lang w:val="en-US" w:eastAsia="zh-CN"/>
        </w:rPr>
        <w:t>5</w:t>
      </w:r>
      <w:r>
        <w:rPr>
          <w:rFonts w:hint="eastAsia" w:ascii="仿宋_GB2312" w:hAnsi="仿宋_GB2312" w:eastAsia="仿宋_GB2312" w:cs="仿宋_GB2312"/>
          <w:color w:val="auto"/>
          <w:szCs w:val="32"/>
          <w:lang w:val="en-US" w:eastAsia="zh-CN"/>
        </w:rPr>
        <w:t>日；</w:t>
      </w:r>
      <w:r>
        <w:rPr>
          <w:rFonts w:hint="eastAsia" w:cs="仿宋_GB2312"/>
          <w:color w:val="auto"/>
          <w:szCs w:val="32"/>
          <w:lang w:val="en-US" w:eastAsia="zh-CN"/>
        </w:rPr>
        <w:t>户籍地址：四川省遂宁市船山区保升乡XX街XX号</w:t>
      </w:r>
      <w:r>
        <w:rPr>
          <w:rFonts w:hint="eastAsia" w:ascii="仿宋_GB2312" w:hAnsi="仿宋_GB2312" w:eastAsia="仿宋_GB2312" w:cs="仿宋_GB2312"/>
          <w:color w:val="auto"/>
          <w:spacing w:val="-17"/>
          <w:szCs w:val="32"/>
          <w:lang w:val="en-US" w:eastAsia="zh-CN"/>
        </w:rPr>
        <w:t>；</w:t>
      </w:r>
      <w:r>
        <w:rPr>
          <w:rFonts w:hint="eastAsia" w:ascii="仿宋_GB2312" w:hAnsi="仿宋_GB2312" w:eastAsia="仿宋_GB2312" w:cs="仿宋_GB2312"/>
          <w:color w:val="auto"/>
          <w:spacing w:val="-17"/>
          <w:szCs w:val="32"/>
        </w:rPr>
        <w:t>身份证号：</w:t>
      </w:r>
      <w:r>
        <w:rPr>
          <w:rFonts w:hint="eastAsia" w:cs="仿宋_GB2312"/>
          <w:color w:val="auto"/>
          <w:spacing w:val="-17"/>
          <w:szCs w:val="32"/>
          <w:lang w:val="en-US" w:eastAsia="zh-CN"/>
        </w:rPr>
        <w:t>51090219660XXXXXXXX</w:t>
      </w:r>
      <w:r>
        <w:rPr>
          <w:rFonts w:hint="eastAsia" w:ascii="仿宋_GB2312" w:hAnsi="仿宋_GB2312" w:eastAsia="仿宋_GB2312" w:cs="仿宋_GB2312"/>
          <w:color w:val="auto"/>
          <w:spacing w:val="-17"/>
          <w:szCs w:val="32"/>
        </w:rPr>
        <w:t>。</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eastAsia="楷体_GB2312"/>
          <w:b/>
          <w:bCs w:val="0"/>
          <w:color w:val="auto"/>
          <w:szCs w:val="32"/>
        </w:rPr>
      </w:pPr>
      <w:r>
        <w:rPr>
          <w:rFonts w:hint="eastAsia" w:ascii="楷体_GB2312" w:eastAsia="楷体_GB2312"/>
          <w:b/>
          <w:bCs w:val="0"/>
          <w:color w:val="auto"/>
          <w:szCs w:val="32"/>
        </w:rPr>
        <w:t>（二）经济损失</w:t>
      </w:r>
    </w:p>
    <w:p>
      <w:pPr>
        <w:keepNext w:val="0"/>
        <w:keepLines w:val="0"/>
        <w:pageBreakBefore w:val="0"/>
        <w:widowControl w:val="0"/>
        <w:kinsoku/>
        <w:wordWrap/>
        <w:topLinePunct w:val="0"/>
        <w:autoSpaceDE/>
        <w:autoSpaceDN/>
        <w:bidi w:val="0"/>
        <w:adjustRightInd/>
        <w:snapToGrid/>
        <w:spacing w:line="560" w:lineRule="exact"/>
        <w:ind w:left="8640" w:leftChars="200" w:hanging="8000" w:hangingChars="2500"/>
        <w:textAlignment w:val="auto"/>
        <w:rPr>
          <w:rFonts w:hint="eastAsia" w:ascii="仿宋_GB2312" w:hAnsi="仿宋_GB2312" w:eastAsia="仿宋_GB2312" w:cs="仿宋_GB2312"/>
          <w:color w:val="auto"/>
          <w:szCs w:val="32"/>
          <w:lang w:eastAsia="zh-CN"/>
        </w:rPr>
      </w:pPr>
      <w:r>
        <w:rPr>
          <w:rFonts w:hint="eastAsia"/>
          <w:b w:val="0"/>
          <w:bCs w:val="0"/>
          <w:color w:val="auto"/>
          <w:szCs w:val="32"/>
        </w:rPr>
        <w:t>本起事故造成直接经济损失约人民币</w:t>
      </w:r>
      <w:r>
        <w:rPr>
          <w:rFonts w:hint="eastAsia"/>
          <w:b w:val="0"/>
          <w:bCs w:val="0"/>
          <w:color w:val="auto"/>
          <w:szCs w:val="32"/>
          <w:lang w:val="en-US" w:eastAsia="zh-CN"/>
        </w:rPr>
        <w:t>120万元。</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黑体" w:hAnsi="黑体" w:eastAsia="黑体" w:cs="黑体"/>
          <w:b w:val="0"/>
          <w:bCs w:val="0"/>
          <w:color w:val="auto"/>
        </w:rPr>
      </w:pPr>
      <w:r>
        <w:rPr>
          <w:rFonts w:hint="eastAsia" w:ascii="黑体" w:eastAsia="黑体"/>
          <w:b w:val="0"/>
          <w:bCs/>
          <w:color w:val="auto"/>
          <w:szCs w:val="32"/>
        </w:rPr>
        <w:t>四</w:t>
      </w:r>
      <w:r>
        <w:rPr>
          <w:rFonts w:hint="eastAsia" w:ascii="黑体" w:eastAsia="黑体"/>
          <w:b w:val="0"/>
          <w:bCs/>
          <w:color w:val="auto"/>
          <w:szCs w:val="32"/>
          <w:lang w:eastAsia="zh-CN"/>
        </w:rPr>
        <w:t>、</w:t>
      </w:r>
      <w:r>
        <w:rPr>
          <w:rFonts w:hint="eastAsia" w:ascii="黑体" w:hAnsi="黑体" w:eastAsia="黑体" w:cs="黑体"/>
          <w:b w:val="0"/>
          <w:bCs w:val="0"/>
          <w:color w:val="auto"/>
          <w:lang w:eastAsia="zh-CN"/>
        </w:rPr>
        <w:t>事故</w:t>
      </w:r>
      <w:r>
        <w:rPr>
          <w:rFonts w:hint="eastAsia" w:ascii="黑体" w:hAnsi="黑体" w:eastAsia="黑体" w:cs="黑体"/>
          <w:b w:val="0"/>
          <w:bCs w:val="0"/>
          <w:color w:val="auto"/>
        </w:rPr>
        <w:t>原因</w:t>
      </w:r>
      <w:r>
        <w:rPr>
          <w:rFonts w:hint="eastAsia" w:ascii="黑体" w:hAnsi="黑体" w:eastAsia="黑体" w:cs="黑体"/>
          <w:b w:val="0"/>
          <w:bCs w:val="0"/>
          <w:color w:val="auto"/>
          <w:lang w:eastAsia="zh-CN"/>
        </w:rPr>
        <w:t>及</w:t>
      </w:r>
      <w:r>
        <w:rPr>
          <w:rFonts w:hint="eastAsia" w:ascii="黑体" w:hAnsi="黑体" w:eastAsia="黑体" w:cs="黑体"/>
          <w:b w:val="0"/>
          <w:bCs w:val="0"/>
          <w:color w:val="auto"/>
        </w:rPr>
        <w:t>性质</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（一）</w:t>
      </w:r>
      <w:r>
        <w:rPr>
          <w:rFonts w:hint="eastAsia" w:ascii="楷体_GB2312" w:hAnsi="Times New Roman" w:eastAsia="楷体_GB2312"/>
          <w:b/>
          <w:bCs w:val="0"/>
          <w:color w:val="auto"/>
          <w:szCs w:val="32"/>
          <w:lang w:eastAsia="zh-CN"/>
        </w:rPr>
        <w:t>事故</w:t>
      </w:r>
      <w:r>
        <w:rPr>
          <w:rFonts w:hint="eastAsia" w:ascii="楷体_GB2312" w:hAnsi="Times New Roman" w:eastAsia="楷体_GB2312"/>
          <w:b/>
          <w:bCs w:val="0"/>
          <w:color w:val="auto"/>
          <w:szCs w:val="32"/>
        </w:rPr>
        <w:t>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color w:val="auto"/>
          <w:szCs w:val="32"/>
        </w:rPr>
      </w:pPr>
      <w:r>
        <w:rPr>
          <w:rFonts w:hint="eastAsia"/>
          <w:b/>
          <w:color w:val="auto"/>
          <w:szCs w:val="32"/>
        </w:rPr>
        <w:t>1.直接原因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color w:val="auto"/>
          <w:kern w:val="2"/>
          <w:sz w:val="32"/>
          <w:szCs w:val="22"/>
          <w:shd w:val="clear" w:color="auto" w:fill="auto"/>
          <w:lang w:val="en-US" w:eastAsia="zh-CN" w:bidi="ar-SA"/>
        </w:rPr>
      </w:pPr>
      <w:r>
        <w:rPr>
          <w:rFonts w:hint="eastAsia" w:cs="仿宋_GB2312"/>
          <w:color w:val="auto"/>
          <w:kern w:val="2"/>
          <w:sz w:val="32"/>
          <w:szCs w:val="22"/>
          <w:shd w:val="clear" w:color="auto" w:fill="auto"/>
          <w:lang w:val="en-US" w:eastAsia="zh-CN" w:bidi="ar-SA"/>
        </w:rPr>
        <w:t>作业人员冒险进入堆放位置指挥，标准节碰撞到部分悬空放置的操作室，导致操作室倾倒压住作业人员。</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auto"/>
          <w:szCs w:val="32"/>
          <w:lang w:eastAsia="zh-CN"/>
        </w:rPr>
      </w:pPr>
      <w:r>
        <w:rPr>
          <w:rFonts w:hint="eastAsia"/>
          <w:b/>
          <w:bCs/>
          <w:color w:val="auto"/>
        </w:rPr>
        <w:t>2.间接原因</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lang w:eastAsia="zh-CN"/>
        </w:rPr>
      </w:pPr>
      <w:r>
        <w:rPr>
          <w:rFonts w:hint="eastAsia" w:cs="仿宋_GB2312"/>
          <w:lang w:eastAsia="zh-CN"/>
        </w:rPr>
        <w:t>（</w:t>
      </w:r>
      <w:r>
        <w:rPr>
          <w:rFonts w:hint="eastAsia" w:cs="仿宋_GB2312"/>
          <w:lang w:val="en-US" w:eastAsia="zh-CN"/>
        </w:rPr>
        <w:t>1</w:t>
      </w:r>
      <w:r>
        <w:rPr>
          <w:rFonts w:hint="eastAsia" w:cs="仿宋_GB2312"/>
          <w:lang w:eastAsia="zh-CN"/>
        </w:rPr>
        <w:t>）</w:t>
      </w:r>
      <w:r>
        <w:rPr>
          <w:rFonts w:hint="eastAsia" w:cs="仿宋_GB2312"/>
          <w:color w:val="auto"/>
          <w:sz w:val="32"/>
          <w:szCs w:val="32"/>
          <w:lang w:val="en-US" w:eastAsia="zh-CN"/>
        </w:rPr>
        <w:t>捷庆公司</w:t>
      </w:r>
      <w:r>
        <w:rPr>
          <w:rFonts w:hint="eastAsia" w:cs="仿宋_GB2312"/>
          <w:lang w:eastAsia="zh-CN"/>
        </w:rPr>
        <w:t>未落实安全生产主体责任。作业前未有效落实安全交底，日常的安全教育培训不到位；吊运作业规章制度不健全，落实和执行不力；未开展隐患排查工作，未能排查塔吊操作室悬空放置存在的安全隐患；作业现场安全监管缺失，未能确保作业人员佩戴安全防护用品，对作业人员进入堆放场地冒险指挥的情况失察失管。</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lang w:eastAsia="zh-CN"/>
        </w:rPr>
      </w:pPr>
      <w:r>
        <w:rPr>
          <w:rFonts w:hint="eastAsia" w:cs="仿宋_GB2312"/>
          <w:lang w:eastAsia="zh-CN"/>
        </w:rPr>
        <w:t>（</w:t>
      </w:r>
      <w:r>
        <w:rPr>
          <w:rFonts w:hint="eastAsia" w:cs="仿宋_GB2312"/>
          <w:lang w:val="en-US" w:eastAsia="zh-CN"/>
        </w:rPr>
        <w:t>2</w:t>
      </w:r>
      <w:r>
        <w:rPr>
          <w:rFonts w:hint="eastAsia" w:cs="仿宋_GB2312"/>
          <w:lang w:eastAsia="zh-CN"/>
        </w:rPr>
        <w:t>）鼎淳公司对吊运作业风险辨识不足，未能及时制止冒险指挥行为。</w:t>
      </w:r>
    </w:p>
    <w:p>
      <w:pPr>
        <w:keepNext w:val="0"/>
        <w:keepLines w:val="0"/>
        <w:pageBreakBefore w:val="0"/>
        <w:widowControl w:val="0"/>
        <w:kinsoku/>
        <w:wordWrap/>
        <w:topLinePunct w:val="0"/>
        <w:autoSpaceDE/>
        <w:autoSpaceDN/>
        <w:bidi w:val="0"/>
        <w:adjustRightInd/>
        <w:snapToGrid/>
        <w:spacing w:line="560" w:lineRule="exact"/>
        <w:textAlignment w:val="auto"/>
        <w:rPr>
          <w:rFonts w:hint="eastAsia" w:ascii="楷体_GB2312" w:hAnsi="楷体_GB2312" w:eastAsia="楷体_GB2312" w:cs="楷体_GB2312"/>
          <w:b/>
          <w:bCs w:val="0"/>
          <w:color w:val="auto"/>
          <w:szCs w:val="32"/>
        </w:rPr>
      </w:pPr>
      <w:r>
        <w:rPr>
          <w:rFonts w:hint="eastAsia" w:ascii="楷体_GB2312" w:hAnsi="楷体_GB2312" w:eastAsia="楷体_GB2312" w:cs="楷体_GB2312"/>
          <w:b/>
          <w:bCs w:val="0"/>
          <w:color w:val="auto"/>
          <w:szCs w:val="32"/>
        </w:rPr>
        <w:t>（二）事故性质</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olor w:val="auto"/>
        </w:rPr>
      </w:pPr>
      <w:r>
        <w:rPr>
          <w:rFonts w:hint="eastAsia" w:ascii="仿宋_GB2312" w:hAnsi="仿宋_GB2312" w:eastAsia="仿宋_GB2312" w:cs="仿宋_GB2312"/>
          <w:color w:val="auto"/>
        </w:rPr>
        <w:t>经事故调查组调查认定，</w:t>
      </w:r>
      <w:r>
        <w:rPr>
          <w:rFonts w:hint="eastAsia" w:cs="仿宋_GB2312"/>
          <w:color w:val="auto"/>
          <w:lang w:eastAsia="zh-CN"/>
        </w:rPr>
        <w:t>该事故系起重伤害一般</w:t>
      </w:r>
      <w:r>
        <w:rPr>
          <w:rFonts w:hint="eastAsia" w:ascii="仿宋_GB2312" w:hAnsi="仿宋_GB2312" w:eastAsia="仿宋_GB2312" w:cs="仿宋_GB2312"/>
          <w:color w:val="auto"/>
        </w:rPr>
        <w:t>生产安全责任事故。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val="0"/>
          <w:bCs w:val="0"/>
          <w:color w:val="auto"/>
          <w:szCs w:val="32"/>
        </w:rPr>
      </w:pPr>
      <w:r>
        <w:rPr>
          <w:rFonts w:hint="eastAsia" w:ascii="黑体" w:hAnsi="黑体" w:eastAsia="黑体" w:cs="黑体"/>
          <w:b w:val="0"/>
          <w:bCs w:val="0"/>
          <w:color w:val="auto"/>
          <w:lang w:eastAsia="zh-CN"/>
        </w:rPr>
        <w:t>五</w:t>
      </w:r>
      <w:r>
        <w:rPr>
          <w:rFonts w:hint="eastAsia" w:ascii="黑体" w:hAnsi="黑体" w:eastAsia="黑体" w:cs="黑体"/>
          <w:b w:val="0"/>
          <w:bCs w:val="0"/>
          <w:color w:val="auto"/>
        </w:rPr>
        <w:t>、责任认定及处理建议</w:t>
      </w:r>
    </w:p>
    <w:p>
      <w:pPr>
        <w:keepNext w:val="0"/>
        <w:keepLines w:val="0"/>
        <w:pageBreakBefore w:val="0"/>
        <w:widowControl w:val="0"/>
        <w:kinsoku/>
        <w:wordWrap/>
        <w:topLinePunct w:val="0"/>
        <w:autoSpaceDE/>
        <w:autoSpaceDN/>
        <w:bidi w:val="0"/>
        <w:adjustRightInd/>
        <w:snapToGrid/>
        <w:spacing w:line="560" w:lineRule="exact"/>
        <w:ind w:firstLine="643"/>
        <w:textAlignment w:val="auto"/>
      </w:pPr>
      <w:r>
        <w:rPr>
          <w:rFonts w:hint="eastAsia" w:ascii="楷体_GB2312" w:eastAsia="楷体_GB2312"/>
          <w:b/>
          <w:bCs w:val="0"/>
          <w:i w:val="0"/>
          <w:iCs w:val="0"/>
          <w:color w:val="auto"/>
          <w:szCs w:val="32"/>
        </w:rPr>
        <w:t>（</w:t>
      </w:r>
      <w:r>
        <w:rPr>
          <w:rFonts w:hint="eastAsia" w:ascii="楷体_GB2312" w:eastAsia="楷体_GB2312"/>
          <w:b/>
          <w:bCs w:val="0"/>
          <w:i w:val="0"/>
          <w:iCs w:val="0"/>
          <w:color w:val="auto"/>
          <w:szCs w:val="32"/>
          <w:lang w:eastAsia="zh-CN"/>
        </w:rPr>
        <w:t>一</w:t>
      </w:r>
      <w:r>
        <w:rPr>
          <w:rFonts w:hint="eastAsia" w:ascii="楷体_GB2312" w:eastAsia="楷体_GB2312"/>
          <w:b/>
          <w:bCs w:val="0"/>
          <w:i w:val="0"/>
          <w:iCs w:val="0"/>
          <w:color w:val="auto"/>
          <w:szCs w:val="32"/>
        </w:rPr>
        <w:t>）责任单位</w:t>
      </w:r>
      <w:r>
        <w:rPr>
          <w:rFonts w:hint="eastAsia" w:ascii="楷体_GB2312" w:eastAsia="楷体_GB2312"/>
          <w:b/>
          <w:bCs w:val="0"/>
          <w:i w:val="0"/>
          <w:iCs w:val="0"/>
          <w:color w:val="auto"/>
          <w:szCs w:val="32"/>
          <w:lang w:eastAsia="zh-CN"/>
        </w:rPr>
        <w:t>的</w:t>
      </w:r>
      <w:r>
        <w:rPr>
          <w:rFonts w:hint="eastAsia" w:ascii="楷体_GB2312" w:eastAsia="楷体_GB2312"/>
          <w:b/>
          <w:bCs w:val="0"/>
          <w:i w:val="0"/>
          <w:iCs w:val="0"/>
          <w:color w:val="auto"/>
          <w:szCs w:val="32"/>
        </w:rPr>
        <w:t>认定</w:t>
      </w:r>
      <w:r>
        <w:rPr>
          <w:rFonts w:hint="eastAsia" w:ascii="楷体_GB2312" w:eastAsia="楷体_GB2312"/>
          <w:b/>
          <w:bCs w:val="0"/>
          <w:i w:val="0"/>
          <w:iCs w:val="0"/>
          <w:color w:val="auto"/>
          <w:szCs w:val="32"/>
          <w:lang w:eastAsia="zh-CN"/>
        </w:rPr>
        <w:t>及</w:t>
      </w:r>
      <w:r>
        <w:rPr>
          <w:rFonts w:hint="eastAsia" w:ascii="楷体_GB2312" w:eastAsia="楷体_GB2312"/>
          <w:b/>
          <w:bCs w:val="0"/>
          <w:i w:val="0"/>
          <w:iCs w:val="0"/>
          <w:color w:val="auto"/>
          <w:szCs w:val="32"/>
        </w:rPr>
        <w:t>处理</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lang w:val="en-US" w:eastAsia="zh-CN"/>
        </w:rPr>
      </w:pPr>
      <w:r>
        <w:rPr>
          <w:rFonts w:hint="eastAsia" w:cs="仿宋_GB2312"/>
          <w:lang w:val="en-US" w:eastAsia="zh-CN"/>
        </w:rPr>
        <w:t>捷庆公司违反了《中华人民共和国安全生产法》第四条、第二十八条第一款、第四十一条第二款、第四十四条第一款、第四十五条（详见附件1）的规定</w:t>
      </w:r>
      <w:r>
        <w:rPr>
          <w:rFonts w:hint="eastAsia" w:cs="仿宋_GB2312"/>
          <w:lang w:eastAsia="zh-CN"/>
        </w:rPr>
        <w:t>。捷庆公司未落实安全生产主体责任。作业前未有效落实安全交底，日常的安全教育培训不到位；吊运作业规章制度不健全，落实和执行不力；未开展隐患排查工作，未能排查塔吊操作室悬空放置存在的安全隐患；作业现场安全监管缺失，未能确保作业人员佩戴安全防护用品，对作业人员进入堆放场地冒险指挥的情况失察失管。</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s="仿宋_GB2312"/>
          <w:color w:val="auto"/>
          <w:szCs w:val="32"/>
          <w:lang w:eastAsia="zh-CN"/>
        </w:rPr>
      </w:pPr>
      <w:r>
        <w:rPr>
          <w:rFonts w:hint="eastAsia" w:cs="仿宋_GB2312"/>
          <w:lang w:eastAsia="zh-CN"/>
        </w:rPr>
        <w:t>建议</w:t>
      </w:r>
      <w:r>
        <w:rPr>
          <w:rFonts w:hint="eastAsia" w:ascii="仿宋_GB2312" w:hAnsi="仿宋_GB2312" w:eastAsia="仿宋_GB2312" w:cs="仿宋_GB2312"/>
          <w:color w:val="auto"/>
          <w:szCs w:val="32"/>
        </w:rPr>
        <w:t>区应急局</w:t>
      </w:r>
      <w:r>
        <w:rPr>
          <w:rFonts w:hint="eastAsia" w:cs="仿宋_GB2312"/>
          <w:lang w:eastAsia="zh-CN"/>
        </w:rPr>
        <w:t>依据《中华人民共和国安全生产法》第一百一十四条第一款第一项</w:t>
      </w:r>
      <w:r>
        <w:rPr>
          <w:rFonts w:hint="eastAsia" w:cs="仿宋_GB2312"/>
          <w:lang w:val="en-US" w:eastAsia="zh-CN"/>
        </w:rPr>
        <w:t>（详见附件1）</w:t>
      </w:r>
      <w:r>
        <w:rPr>
          <w:rFonts w:hint="eastAsia" w:cs="仿宋_GB2312"/>
          <w:lang w:eastAsia="zh-CN"/>
        </w:rPr>
        <w:t>的规定，</w:t>
      </w:r>
      <w:r>
        <w:rPr>
          <w:rFonts w:hint="eastAsia" w:ascii="仿宋_GB2312" w:hAnsi="仿宋_GB2312" w:eastAsia="仿宋_GB2312" w:cs="仿宋_GB2312"/>
          <w:color w:val="auto"/>
          <w:szCs w:val="32"/>
        </w:rPr>
        <w:t>对</w:t>
      </w:r>
      <w:r>
        <w:rPr>
          <w:rFonts w:hint="eastAsia" w:cs="仿宋_GB2312"/>
          <w:lang w:eastAsia="zh-CN"/>
        </w:rPr>
        <w:t>捷庆公司</w:t>
      </w:r>
      <w:r>
        <w:rPr>
          <w:rFonts w:hint="eastAsia" w:ascii="仿宋_GB2312" w:hAnsi="仿宋_GB2312" w:eastAsia="仿宋_GB2312" w:cs="仿宋_GB2312"/>
          <w:color w:val="auto"/>
          <w:szCs w:val="32"/>
        </w:rPr>
        <w:t>处三十万元以上一百万元以下的罚款</w:t>
      </w:r>
      <w:r>
        <w:rPr>
          <w:rFonts w:hint="eastAsia" w:cs="仿宋_GB2312"/>
          <w:color w:val="auto"/>
          <w:szCs w:val="32"/>
          <w:lang w:eastAsia="zh-CN"/>
        </w:rPr>
        <w:t>。</w:t>
      </w:r>
    </w:p>
    <w:p>
      <w:pPr>
        <w:keepNext w:val="0"/>
        <w:keepLines w:val="0"/>
        <w:pageBreakBefore w:val="0"/>
        <w:widowControl w:val="0"/>
        <w:kinsoku/>
        <w:wordWrap/>
        <w:topLinePunct w:val="0"/>
        <w:autoSpaceDE/>
        <w:autoSpaceDN/>
        <w:bidi w:val="0"/>
        <w:adjustRightInd/>
        <w:snapToGrid/>
        <w:spacing w:line="560" w:lineRule="exact"/>
        <w:textAlignment w:val="auto"/>
        <w:rPr>
          <w:rFonts w:hint="eastAsia" w:ascii="楷体_GB2312" w:hAnsi="Times New Roman" w:eastAsia="楷体_GB2312"/>
          <w:b/>
          <w:bCs w:val="0"/>
          <w:color w:val="auto"/>
          <w:szCs w:val="32"/>
          <w:lang w:eastAsia="zh-CN"/>
        </w:rPr>
      </w:pPr>
      <w:r>
        <w:rPr>
          <w:rFonts w:hint="eastAsia" w:ascii="楷体_GB2312" w:hAnsi="Times New Roman" w:eastAsia="楷体_GB2312"/>
          <w:b/>
          <w:bCs w:val="0"/>
          <w:color w:val="auto"/>
          <w:szCs w:val="32"/>
        </w:rPr>
        <w:t>（</w:t>
      </w:r>
      <w:r>
        <w:rPr>
          <w:rFonts w:hint="eastAsia" w:ascii="楷体_GB2312" w:hAnsi="Times New Roman" w:eastAsia="楷体_GB2312"/>
          <w:b/>
          <w:bCs w:val="0"/>
          <w:color w:val="auto"/>
          <w:szCs w:val="32"/>
          <w:lang w:eastAsia="zh-CN"/>
        </w:rPr>
        <w:t>二</w:t>
      </w:r>
      <w:r>
        <w:rPr>
          <w:rFonts w:hint="eastAsia" w:ascii="楷体_GB2312" w:hAnsi="Times New Roman" w:eastAsia="楷体_GB2312"/>
          <w:b/>
          <w:bCs w:val="0"/>
          <w:color w:val="auto"/>
          <w:szCs w:val="32"/>
        </w:rPr>
        <w:t>）责任人员的认定及</w:t>
      </w:r>
      <w:r>
        <w:rPr>
          <w:rFonts w:hint="eastAsia" w:ascii="楷体_GB2312" w:hAnsi="Times New Roman" w:eastAsia="楷体_GB2312"/>
          <w:b/>
          <w:bCs w:val="0"/>
          <w:color w:val="auto"/>
          <w:szCs w:val="32"/>
          <w:lang w:eastAsia="zh-CN"/>
        </w:rPr>
        <w:t>处理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default"/>
          <w:lang w:val="en-US" w:eastAsia="zh-CN"/>
        </w:rPr>
      </w:pPr>
      <w:r>
        <w:rPr>
          <w:rFonts w:hint="eastAsia" w:cs="仿宋_GB2312"/>
          <w:color w:val="auto"/>
          <w:lang w:val="en-US" w:eastAsia="zh-CN"/>
        </w:rPr>
        <w:t>1.杨XX，</w:t>
      </w:r>
      <w:r>
        <w:rPr>
          <w:rFonts w:hint="eastAsia" w:cs="仿宋_GB2312"/>
          <w:lang w:val="en-US" w:eastAsia="zh-CN"/>
        </w:rPr>
        <w:t>捷庆公司指挥工</w:t>
      </w:r>
      <w:r>
        <w:rPr>
          <w:rFonts w:hint="eastAsia" w:cs="仿宋_GB2312"/>
          <w:color w:val="auto"/>
          <w:lang w:val="en-US" w:eastAsia="zh-CN"/>
        </w:rPr>
        <w:t>。对吊运作业风险辨识不足，未佩戴安全帽冒险进入堆放位置指挥作业。对事故发生负有责任，鉴于已在事故中死亡，建议不追究责任。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lang w:val="en-US" w:eastAsia="zh-CN"/>
        </w:rPr>
        <w:t>2.朱卫平，</w:t>
      </w:r>
      <w:r>
        <w:rPr>
          <w:rFonts w:hint="eastAsia" w:cs="仿宋_GB2312"/>
          <w:lang w:val="en-US" w:eastAsia="zh-CN"/>
        </w:rPr>
        <w:t>捷庆公司主要</w:t>
      </w:r>
      <w:r>
        <w:rPr>
          <w:rFonts w:hint="eastAsia"/>
          <w:lang w:val="en-US" w:eastAsia="zh-CN"/>
        </w:rPr>
        <w:t>负责人。</w:t>
      </w:r>
      <w:r>
        <w:rPr>
          <w:rFonts w:hint="eastAsia" w:cs="仿宋_GB2312"/>
          <w:color w:val="auto"/>
          <w:lang w:val="en-US" w:eastAsia="zh-CN"/>
        </w:rPr>
        <w:t>未能履行安全生产管理职责，未能及时消除生产安全事故隐患。对事故发生负有责任。</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建议</w:t>
      </w:r>
      <w:r>
        <w:rPr>
          <w:rFonts w:hint="eastAsia" w:cs="仿宋_GB2312"/>
          <w:color w:val="auto"/>
          <w:lang w:val="en-US" w:eastAsia="zh-CN"/>
        </w:rPr>
        <w:t>捷庆公司</w:t>
      </w:r>
      <w:r>
        <w:rPr>
          <w:rFonts w:hint="eastAsia" w:ascii="仿宋_GB2312" w:hAnsi="仿宋_GB2312" w:eastAsia="仿宋_GB2312" w:cs="仿宋_GB2312"/>
          <w:color w:val="auto"/>
          <w:lang w:eastAsia="zh-CN"/>
        </w:rPr>
        <w:t>对</w:t>
      </w:r>
      <w:r>
        <w:rPr>
          <w:rFonts w:hint="eastAsia"/>
          <w:lang w:val="en-US" w:eastAsia="zh-CN"/>
        </w:rPr>
        <w:t>朱卫平</w:t>
      </w:r>
      <w:r>
        <w:rPr>
          <w:rFonts w:hint="eastAsia" w:ascii="仿宋_GB2312" w:hAnsi="仿宋_GB2312" w:eastAsia="仿宋_GB2312" w:cs="仿宋_GB2312"/>
          <w:color w:val="auto"/>
          <w:lang w:eastAsia="zh-CN"/>
        </w:rPr>
        <w:t>按照企业规定给予处理</w:t>
      </w:r>
      <w:r>
        <w:rPr>
          <w:rFonts w:hint="eastAsia" w:cs="仿宋_GB2312"/>
          <w:color w:val="auto"/>
          <w:lang w:eastAsia="zh-CN"/>
        </w:rPr>
        <w:t>，处理结果报区应急局</w:t>
      </w:r>
      <w:r>
        <w:rPr>
          <w:rFonts w:hint="eastAsia" w:ascii="仿宋_GB2312" w:hAnsi="仿宋_GB2312" w:eastAsia="仿宋_GB2312" w:cs="仿宋_GB2312"/>
          <w:color w:val="auto"/>
          <w:lang w:eastAsia="zh-CN"/>
        </w:rPr>
        <w:t>。</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color w:val="auto"/>
          <w:lang w:val="en-US" w:eastAsia="zh-CN"/>
        </w:rPr>
      </w:pPr>
      <w:r>
        <w:rPr>
          <w:rFonts w:hint="eastAsia" w:cs="仿宋_GB2312"/>
          <w:color w:val="auto"/>
          <w:lang w:val="en-US" w:eastAsia="zh-CN"/>
        </w:rPr>
        <w:t>3.程刘涛，鼎淳公司汽车吊司机。对吊运作业风险辨识不足，未能及时制止冒险指挥行为。对事故发生负有责任。</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default" w:cs="仿宋_GB2312"/>
          <w:color w:val="auto"/>
          <w:lang w:val="en-US" w:eastAsia="zh-CN"/>
        </w:rPr>
      </w:pPr>
      <w:r>
        <w:rPr>
          <w:rFonts w:hint="eastAsia" w:ascii="仿宋_GB2312" w:hAnsi="仿宋_GB2312" w:eastAsia="仿宋_GB2312" w:cs="仿宋_GB2312"/>
          <w:color w:val="auto"/>
          <w:lang w:eastAsia="zh-CN"/>
        </w:rPr>
        <w:t>建议</w:t>
      </w:r>
      <w:r>
        <w:rPr>
          <w:rFonts w:hint="eastAsia" w:cs="仿宋_GB2312"/>
          <w:color w:val="auto"/>
          <w:lang w:val="en-US" w:eastAsia="zh-CN"/>
        </w:rPr>
        <w:t>鼎淳公司</w:t>
      </w:r>
      <w:r>
        <w:rPr>
          <w:rFonts w:hint="eastAsia" w:ascii="仿宋_GB2312" w:hAnsi="仿宋_GB2312" w:eastAsia="仿宋_GB2312" w:cs="仿宋_GB2312"/>
          <w:color w:val="auto"/>
          <w:lang w:eastAsia="zh-CN"/>
        </w:rPr>
        <w:t>对</w:t>
      </w:r>
      <w:r>
        <w:rPr>
          <w:rFonts w:hint="eastAsia" w:cs="仿宋_GB2312"/>
          <w:color w:val="auto"/>
          <w:lang w:val="en-US" w:eastAsia="zh-CN"/>
        </w:rPr>
        <w:t>程刘涛</w:t>
      </w:r>
      <w:r>
        <w:rPr>
          <w:rFonts w:hint="eastAsia" w:ascii="仿宋_GB2312" w:hAnsi="仿宋_GB2312" w:eastAsia="仿宋_GB2312" w:cs="仿宋_GB2312"/>
          <w:color w:val="auto"/>
          <w:lang w:eastAsia="zh-CN"/>
        </w:rPr>
        <w:t>按照企业规定给予处理</w:t>
      </w:r>
      <w:r>
        <w:rPr>
          <w:rFonts w:hint="eastAsia" w:cs="仿宋_GB2312"/>
          <w:color w:val="auto"/>
          <w:lang w:eastAsia="zh-CN"/>
        </w:rPr>
        <w:t>，处理结果报区应急局</w:t>
      </w:r>
      <w:r>
        <w:rPr>
          <w:rFonts w:hint="eastAsia" w:ascii="仿宋_GB2312" w:hAnsi="仿宋_GB2312" w:eastAsia="仿宋_GB2312" w:cs="仿宋_GB2312"/>
          <w:color w:val="auto"/>
          <w:lang w:eastAsia="zh-CN"/>
        </w:rPr>
        <w:t>。</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六</w:t>
      </w:r>
      <w:r>
        <w:rPr>
          <w:rFonts w:hint="eastAsia" w:ascii="黑体" w:eastAsia="黑体"/>
          <w:b w:val="0"/>
          <w:bCs/>
          <w:color w:val="auto"/>
          <w:szCs w:val="32"/>
        </w:rPr>
        <w:t>、事故</w:t>
      </w:r>
      <w:r>
        <w:rPr>
          <w:rFonts w:hint="eastAsia" w:ascii="黑体" w:eastAsia="黑体"/>
          <w:b w:val="0"/>
          <w:bCs/>
          <w:color w:val="auto"/>
          <w:szCs w:val="32"/>
          <w:lang w:eastAsia="zh-CN"/>
        </w:rPr>
        <w:t>教训</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针对“</w:t>
      </w:r>
      <w:r>
        <w:rPr>
          <w:rFonts w:hint="eastAsia" w:cs="仿宋_GB2312"/>
          <w:color w:val="auto"/>
          <w:szCs w:val="32"/>
          <w:lang w:val="en-US" w:eastAsia="zh-CN"/>
        </w:rPr>
        <w:t>12·7</w:t>
      </w:r>
      <w:r>
        <w:rPr>
          <w:rFonts w:hint="eastAsia" w:ascii="仿宋_GB2312" w:hAnsi="仿宋_GB2312" w:eastAsia="仿宋_GB2312" w:cs="仿宋_GB2312"/>
          <w:color w:val="auto"/>
          <w:szCs w:val="32"/>
        </w:rPr>
        <w:t>”事故暴露出的问题，相关</w:t>
      </w:r>
      <w:r>
        <w:rPr>
          <w:rFonts w:hint="eastAsia" w:cs="仿宋_GB2312"/>
          <w:color w:val="auto"/>
          <w:szCs w:val="32"/>
          <w:lang w:eastAsia="zh-CN"/>
        </w:rPr>
        <w:t>单位</w:t>
      </w:r>
      <w:r>
        <w:rPr>
          <w:rFonts w:hint="eastAsia" w:ascii="仿宋_GB2312" w:hAnsi="仿宋_GB2312" w:eastAsia="仿宋_GB2312" w:cs="仿宋_GB2312"/>
          <w:color w:val="auto"/>
          <w:szCs w:val="32"/>
        </w:rPr>
        <w:t>思想上要高度重视，深刻吸取事故教训，加强风险防控，抓好源头治理和事故预防，坚决</w:t>
      </w:r>
      <w:r>
        <w:rPr>
          <w:rFonts w:hint="eastAsia" w:cs="仿宋_GB2312"/>
          <w:color w:val="auto"/>
          <w:szCs w:val="32"/>
          <w:lang w:eastAsia="zh-CN"/>
        </w:rPr>
        <w:t>杜绝</w:t>
      </w:r>
      <w:r>
        <w:rPr>
          <w:rFonts w:hint="eastAsia" w:ascii="仿宋_GB2312" w:hAnsi="仿宋_GB2312" w:eastAsia="仿宋_GB2312" w:cs="仿宋_GB2312"/>
          <w:color w:val="auto"/>
          <w:szCs w:val="32"/>
        </w:rPr>
        <w:t>类似事故发生。</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（一）吸取事故教训，落实企业主体责任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rPr>
      </w:pPr>
      <w:r>
        <w:rPr>
          <w:rFonts w:hint="eastAsia" w:cs="仿宋_GB2312"/>
          <w:b w:val="0"/>
          <w:bCs w:val="0"/>
          <w:color w:val="auto"/>
          <w:szCs w:val="32"/>
          <w:lang w:eastAsia="zh-CN"/>
        </w:rPr>
        <w:t>相关企业</w:t>
      </w:r>
      <w:r>
        <w:rPr>
          <w:rFonts w:hint="eastAsia" w:ascii="仿宋_GB2312" w:hAnsi="仿宋_GB2312" w:eastAsia="仿宋_GB2312" w:cs="仿宋_GB2312"/>
          <w:b w:val="0"/>
          <w:bCs w:val="0"/>
          <w:color w:val="auto"/>
          <w:szCs w:val="32"/>
        </w:rPr>
        <w:t>要增强安全生产工作的紧迫感和责任感，充分认识并深刻吸取事故带来的教训，</w:t>
      </w:r>
      <w:r>
        <w:rPr>
          <w:rFonts w:hint="eastAsia" w:cs="仿宋_GB2312"/>
          <w:b w:val="0"/>
          <w:bCs w:val="0"/>
          <w:color w:val="auto"/>
          <w:szCs w:val="32"/>
          <w:lang w:eastAsia="zh-CN"/>
        </w:rPr>
        <w:t>认真</w:t>
      </w:r>
      <w:r>
        <w:rPr>
          <w:rFonts w:hint="eastAsia" w:ascii="仿宋_GB2312" w:hAnsi="仿宋_GB2312" w:eastAsia="仿宋_GB2312" w:cs="仿宋_GB2312"/>
          <w:b w:val="0"/>
          <w:bCs w:val="0"/>
          <w:color w:val="auto"/>
          <w:szCs w:val="32"/>
        </w:rPr>
        <w:t>剖析导致事故发生的原因，组织并开展</w:t>
      </w:r>
      <w:r>
        <w:rPr>
          <w:rFonts w:hint="eastAsia" w:cs="仿宋_GB2312"/>
          <w:b w:val="0"/>
          <w:bCs w:val="0"/>
          <w:color w:val="auto"/>
          <w:szCs w:val="32"/>
          <w:lang w:eastAsia="zh-CN"/>
        </w:rPr>
        <w:t>作业现场</w:t>
      </w:r>
      <w:r>
        <w:rPr>
          <w:rFonts w:hint="eastAsia" w:ascii="仿宋_GB2312" w:hAnsi="仿宋_GB2312" w:eastAsia="仿宋_GB2312" w:cs="仿宋_GB2312"/>
          <w:b w:val="0"/>
          <w:bCs w:val="0"/>
          <w:color w:val="auto"/>
          <w:szCs w:val="32"/>
        </w:rPr>
        <w:t>安全检查</w:t>
      </w:r>
      <w:r>
        <w:rPr>
          <w:rFonts w:hint="eastAsia" w:cs="仿宋_GB2312"/>
          <w:b w:val="0"/>
          <w:bCs w:val="0"/>
          <w:color w:val="auto"/>
          <w:szCs w:val="32"/>
          <w:lang w:eastAsia="zh-CN"/>
        </w:rPr>
        <w:t>。</w:t>
      </w:r>
      <w:r>
        <w:rPr>
          <w:rFonts w:hint="eastAsia" w:ascii="仿宋_GB2312" w:hAnsi="仿宋_GB2312" w:eastAsia="仿宋_GB2312" w:cs="仿宋_GB2312"/>
          <w:b w:val="0"/>
          <w:bCs w:val="0"/>
          <w:color w:val="auto"/>
          <w:szCs w:val="32"/>
        </w:rPr>
        <w:t>针对事故所暴露出来的</w:t>
      </w:r>
      <w:r>
        <w:rPr>
          <w:rFonts w:hint="eastAsia" w:cs="仿宋_GB2312"/>
          <w:b w:val="0"/>
          <w:bCs w:val="0"/>
          <w:color w:val="auto"/>
          <w:szCs w:val="32"/>
          <w:lang w:eastAsia="zh-CN"/>
        </w:rPr>
        <w:t>作业现场监管缺失</w:t>
      </w:r>
      <w:r>
        <w:rPr>
          <w:rFonts w:hint="eastAsia" w:ascii="仿宋_GB2312" w:hAnsi="仿宋_GB2312" w:eastAsia="仿宋_GB2312" w:cs="仿宋_GB2312"/>
          <w:b w:val="0"/>
          <w:bCs w:val="0"/>
          <w:color w:val="auto"/>
          <w:szCs w:val="32"/>
        </w:rPr>
        <w:t>的情况，</w:t>
      </w:r>
      <w:r>
        <w:rPr>
          <w:rFonts w:hint="eastAsia" w:cs="仿宋_GB2312"/>
          <w:b w:val="0"/>
          <w:bCs w:val="0"/>
          <w:color w:val="auto"/>
          <w:szCs w:val="32"/>
          <w:lang w:eastAsia="zh-CN"/>
        </w:rPr>
        <w:t>要明确各级、各类人员安全生产工作职责，落实安全生产责任制，切实履行安全生产主体责任，强化日常的安全教育培训、作业前的安全交底</w:t>
      </w:r>
      <w:r>
        <w:rPr>
          <w:rFonts w:hint="eastAsia" w:ascii="仿宋_GB2312" w:hAnsi="仿宋_GB2312" w:eastAsia="仿宋_GB2312" w:cs="仿宋_GB2312"/>
          <w:b w:val="0"/>
          <w:bCs w:val="0"/>
          <w:color w:val="auto"/>
          <w:szCs w:val="32"/>
        </w:rPr>
        <w:t>，切实履行安全生产主体责任。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rPr>
        <w:t>（二）完善规章制度，强化</w:t>
      </w:r>
      <w:r>
        <w:rPr>
          <w:rFonts w:hint="eastAsia" w:ascii="楷体_GB2312" w:hAnsi="楷体_GB2312" w:eastAsia="楷体_GB2312" w:cs="楷体_GB2312"/>
          <w:b/>
          <w:bCs/>
          <w:color w:val="auto"/>
          <w:szCs w:val="32"/>
          <w:lang w:eastAsia="zh-CN"/>
        </w:rPr>
        <w:t>事故隐患排查</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lang w:eastAsia="zh-CN"/>
        </w:rPr>
      </w:pPr>
      <w:r>
        <w:rPr>
          <w:rFonts w:hint="eastAsia" w:cs="仿宋_GB2312"/>
          <w:b w:val="0"/>
          <w:bCs w:val="0"/>
          <w:color w:val="auto"/>
          <w:szCs w:val="32"/>
          <w:lang w:eastAsia="zh-CN"/>
        </w:rPr>
        <w:t>相关企业</w:t>
      </w:r>
      <w:r>
        <w:rPr>
          <w:rFonts w:hint="eastAsia" w:ascii="仿宋_GB2312" w:hAnsi="仿宋_GB2312" w:eastAsia="仿宋_GB2312" w:cs="仿宋_GB2312"/>
          <w:b w:val="0"/>
          <w:bCs w:val="0"/>
          <w:color w:val="auto"/>
          <w:szCs w:val="32"/>
        </w:rPr>
        <w:t>要完善规章制度，从制度层面强化对作业现场用人管理及</w:t>
      </w:r>
      <w:r>
        <w:rPr>
          <w:rFonts w:hint="eastAsia" w:cs="仿宋_GB2312"/>
          <w:b w:val="0"/>
          <w:bCs w:val="0"/>
          <w:color w:val="auto"/>
          <w:szCs w:val="32"/>
          <w:lang w:eastAsia="zh-CN"/>
        </w:rPr>
        <w:t>吊运</w:t>
      </w:r>
      <w:r>
        <w:rPr>
          <w:rFonts w:hint="eastAsia" w:ascii="仿宋_GB2312" w:hAnsi="仿宋_GB2312" w:eastAsia="仿宋_GB2312" w:cs="仿宋_GB2312"/>
          <w:b w:val="0"/>
          <w:bCs w:val="0"/>
          <w:color w:val="auto"/>
          <w:szCs w:val="32"/>
        </w:rPr>
        <w:t>作业安全管控，明确</w:t>
      </w:r>
      <w:r>
        <w:rPr>
          <w:rFonts w:hint="eastAsia" w:cs="仿宋_GB2312"/>
          <w:b w:val="0"/>
          <w:bCs w:val="0"/>
          <w:color w:val="auto"/>
          <w:szCs w:val="32"/>
          <w:lang w:eastAsia="zh-CN"/>
        </w:rPr>
        <w:t>吊运作业的防护措施、注意事项</w:t>
      </w:r>
      <w:r>
        <w:rPr>
          <w:rFonts w:hint="eastAsia" w:ascii="仿宋_GB2312" w:hAnsi="仿宋_GB2312" w:eastAsia="仿宋_GB2312" w:cs="仿宋_GB2312"/>
          <w:b w:val="0"/>
          <w:bCs w:val="0"/>
          <w:color w:val="auto"/>
          <w:szCs w:val="32"/>
        </w:rPr>
        <w:t>，在此基础上将</w:t>
      </w:r>
      <w:r>
        <w:rPr>
          <w:rFonts w:hint="eastAsia" w:cs="仿宋_GB2312"/>
          <w:b w:val="0"/>
          <w:bCs w:val="0"/>
          <w:color w:val="auto"/>
          <w:szCs w:val="32"/>
          <w:lang w:eastAsia="zh-CN"/>
        </w:rPr>
        <w:t>吊运作业</w:t>
      </w:r>
      <w:r>
        <w:rPr>
          <w:rFonts w:hint="eastAsia" w:ascii="仿宋_GB2312" w:hAnsi="仿宋_GB2312" w:eastAsia="仿宋_GB2312" w:cs="仿宋_GB2312"/>
          <w:b w:val="0"/>
          <w:bCs w:val="0"/>
          <w:color w:val="auto"/>
          <w:szCs w:val="32"/>
        </w:rPr>
        <w:t>的教育培训落到实处</w:t>
      </w:r>
      <w:r>
        <w:rPr>
          <w:rFonts w:hint="eastAsia" w:cs="仿宋_GB2312"/>
          <w:b w:val="0"/>
          <w:bCs w:val="0"/>
          <w:color w:val="auto"/>
          <w:szCs w:val="32"/>
          <w:lang w:eastAsia="zh-CN"/>
        </w:rPr>
        <w:t>。</w:t>
      </w:r>
      <w:r>
        <w:rPr>
          <w:rFonts w:hint="eastAsia" w:ascii="仿宋_GB2312" w:hAnsi="仿宋_GB2312" w:eastAsia="仿宋_GB2312" w:cs="仿宋_GB2312"/>
          <w:b w:val="0"/>
          <w:bCs w:val="0"/>
          <w:color w:val="auto"/>
          <w:szCs w:val="32"/>
        </w:rPr>
        <w:t>要认真开展</w:t>
      </w:r>
      <w:r>
        <w:rPr>
          <w:rFonts w:hint="eastAsia" w:cs="仿宋_GB2312"/>
          <w:b w:val="0"/>
          <w:bCs w:val="0"/>
          <w:color w:val="auto"/>
          <w:szCs w:val="32"/>
          <w:lang w:eastAsia="zh-CN"/>
        </w:rPr>
        <w:t>吊运作业</w:t>
      </w:r>
      <w:r>
        <w:rPr>
          <w:rFonts w:hint="eastAsia" w:ascii="仿宋_GB2312" w:hAnsi="仿宋_GB2312" w:eastAsia="仿宋_GB2312" w:cs="仿宋_GB2312"/>
          <w:b w:val="0"/>
          <w:bCs w:val="0"/>
          <w:color w:val="auto"/>
          <w:szCs w:val="32"/>
        </w:rPr>
        <w:t>中事故隐患排查治理，安排专业人员对接、负责</w:t>
      </w:r>
      <w:r>
        <w:rPr>
          <w:rFonts w:hint="eastAsia" w:cs="仿宋_GB2312"/>
          <w:b w:val="0"/>
          <w:bCs w:val="0"/>
          <w:color w:val="auto"/>
          <w:szCs w:val="32"/>
          <w:lang w:eastAsia="zh-CN"/>
        </w:rPr>
        <w:t>吊运</w:t>
      </w:r>
      <w:r>
        <w:rPr>
          <w:rFonts w:hint="eastAsia" w:ascii="仿宋_GB2312" w:hAnsi="仿宋_GB2312" w:eastAsia="仿宋_GB2312" w:cs="仿宋_GB2312"/>
          <w:b w:val="0"/>
          <w:bCs w:val="0"/>
          <w:color w:val="auto"/>
          <w:szCs w:val="32"/>
        </w:rPr>
        <w:t>现场安全管理工作，确保安全管控及防范措施切实落到实处，及时有效化解事故风险隐患。</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（三）狠抓制度落实，提升本质安全水平</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rPr>
      </w:pPr>
      <w:r>
        <w:rPr>
          <w:rFonts w:hint="eastAsia" w:cs="仿宋_GB2312"/>
          <w:b w:val="0"/>
          <w:bCs w:val="0"/>
          <w:color w:val="auto"/>
          <w:szCs w:val="32"/>
          <w:lang w:eastAsia="zh-CN"/>
        </w:rPr>
        <w:t>相关企业</w:t>
      </w:r>
      <w:r>
        <w:rPr>
          <w:rFonts w:hint="eastAsia" w:ascii="仿宋_GB2312" w:hAnsi="仿宋_GB2312" w:eastAsia="仿宋_GB2312" w:cs="仿宋_GB2312"/>
          <w:b w:val="0"/>
          <w:bCs w:val="0"/>
          <w:color w:val="auto"/>
          <w:szCs w:val="32"/>
        </w:rPr>
        <w:t>要从本质安全角度狠抓制度落实，提升本质安全水平。要根据</w:t>
      </w:r>
      <w:r>
        <w:rPr>
          <w:rFonts w:hint="eastAsia" w:cs="仿宋_GB2312"/>
          <w:b w:val="0"/>
          <w:bCs w:val="0"/>
          <w:color w:val="auto"/>
          <w:szCs w:val="32"/>
          <w:lang w:eastAsia="zh-CN"/>
        </w:rPr>
        <w:t>吊运作业</w:t>
      </w:r>
      <w:r>
        <w:rPr>
          <w:rFonts w:hint="eastAsia" w:ascii="仿宋_GB2312" w:hAnsi="仿宋_GB2312" w:eastAsia="仿宋_GB2312" w:cs="仿宋_GB2312"/>
          <w:b w:val="0"/>
          <w:bCs w:val="0"/>
          <w:color w:val="auto"/>
          <w:szCs w:val="32"/>
        </w:rPr>
        <w:t>特殊作业环境、具体用工等实际情况完善工作方案的编制，尤其要配齐、配强管理人员，督促从业人员落实消除风险隐患的各项措施，加强安全生产统一协调和管理，确保施工作业处于受控状态，有效防范、遏制各类事故发生。</w:t>
      </w:r>
    </w:p>
    <w:p>
      <w:pPr>
        <w:pStyle w:val="2"/>
        <w:ind w:left="0" w:leftChars="0" w:firstLine="0" w:firstLineChars="0"/>
        <w:rPr>
          <w:rFonts w:hint="eastAsia"/>
          <w:lang w:val="en-US" w:eastAsia="zh-CN"/>
        </w:rPr>
      </w:pPr>
    </w:p>
    <w:p>
      <w:pPr>
        <w:bidi w:val="0"/>
        <w:rPr>
          <w:rFonts w:hint="default"/>
          <w:lang w:val="en-US" w:eastAsia="zh-CN"/>
        </w:rPr>
      </w:pPr>
      <w:r>
        <w:rPr>
          <w:rFonts w:hint="eastAsia"/>
          <w:lang w:val="en-US" w:eastAsia="zh-CN"/>
        </w:rPr>
        <w:t>附件：法律条款</w:t>
      </w:r>
    </w:p>
    <w:p>
      <w:pPr>
        <w:pStyle w:val="2"/>
        <w:keepNext w:val="0"/>
        <w:keepLines w:val="0"/>
        <w:pageBreakBefore w:val="0"/>
        <w:widowControl w:val="0"/>
        <w:kinsoku/>
        <w:wordWrap/>
        <w:overflowPunct w:val="0"/>
        <w:topLinePunct w:val="0"/>
        <w:autoSpaceDE/>
        <w:autoSpaceDN/>
        <w:bidi w:val="0"/>
        <w:adjustRightInd/>
        <w:snapToGrid/>
        <w:spacing w:line="560" w:lineRule="exact"/>
        <w:textAlignment w:val="auto"/>
        <w:outlineLvl w:val="9"/>
        <w:rPr>
          <w:rFonts w:hint="eastAsia"/>
          <w:lang w:val="en-US" w:eastAsia="zh-CN"/>
        </w:rPr>
      </w:pPr>
    </w:p>
    <w:p>
      <w:pPr>
        <w:keepNext w:val="0"/>
        <w:keepLines w:val="0"/>
        <w:pageBreakBefore w:val="0"/>
        <w:widowControl w:val="0"/>
        <w:kinsoku/>
        <w:wordWrap/>
        <w:overflowPunct w:val="0"/>
        <w:topLinePunct w:val="0"/>
        <w:autoSpaceDE/>
        <w:autoSpaceDN/>
        <w:bidi w:val="0"/>
        <w:adjustRightInd/>
        <w:snapToGrid/>
        <w:spacing w:line="560" w:lineRule="exact"/>
        <w:jc w:val="left"/>
        <w:textAlignment w:val="auto"/>
        <w:outlineLvl w:val="9"/>
        <w:rPr>
          <w:rFonts w:hint="eastAsia"/>
          <w:color w:val="auto"/>
          <w:lang w:val="en-US" w:eastAsia="zh-CN"/>
        </w:rPr>
      </w:pPr>
      <w:r>
        <w:rPr>
          <w:rFonts w:hint="eastAsia"/>
          <w:color w:val="auto"/>
          <w:lang w:val="en-US" w:eastAsia="zh-CN"/>
        </w:rPr>
        <w:t>（此页无正文）</w:t>
      </w:r>
    </w:p>
    <w:p>
      <w:pPr>
        <w:pStyle w:val="2"/>
        <w:keepNext w:val="0"/>
        <w:keepLines w:val="0"/>
        <w:pageBreakBefore w:val="0"/>
        <w:widowControl w:val="0"/>
        <w:kinsoku/>
        <w:wordWrap/>
        <w:overflowPunct w:val="0"/>
        <w:topLinePunct w:val="0"/>
        <w:autoSpaceDE/>
        <w:autoSpaceDN/>
        <w:bidi w:val="0"/>
        <w:adjustRightInd/>
        <w:snapToGrid/>
        <w:spacing w:line="560" w:lineRule="exact"/>
        <w:textAlignment w:val="auto"/>
        <w:outlineLvl w:val="9"/>
        <w:rPr>
          <w:rFonts w:hint="eastAsia"/>
          <w:color w:val="auto"/>
          <w:lang w:val="en-US" w:eastAsia="zh-CN"/>
        </w:rPr>
      </w:pPr>
    </w:p>
    <w:p>
      <w:pPr>
        <w:keepNext w:val="0"/>
        <w:keepLines w:val="0"/>
        <w:pageBreakBefore w:val="0"/>
        <w:widowControl w:val="0"/>
        <w:kinsoku/>
        <w:wordWrap/>
        <w:overflowPunct w:val="0"/>
        <w:topLinePunct w:val="0"/>
        <w:autoSpaceDE/>
        <w:autoSpaceDN/>
        <w:bidi w:val="0"/>
        <w:adjustRightInd/>
        <w:snapToGrid/>
        <w:spacing w:line="560" w:lineRule="exact"/>
        <w:textAlignment w:val="auto"/>
        <w:outlineLvl w:val="9"/>
        <w:rPr>
          <w:rFonts w:hint="eastAsia"/>
          <w:color w:val="auto"/>
          <w:lang w:val="en-US" w:eastAsia="zh-CN"/>
        </w:rPr>
      </w:pPr>
    </w:p>
    <w:p>
      <w:pPr>
        <w:pStyle w:val="2"/>
        <w:keepNext w:val="0"/>
        <w:keepLines w:val="0"/>
        <w:pageBreakBefore w:val="0"/>
        <w:widowControl w:val="0"/>
        <w:kinsoku/>
        <w:wordWrap/>
        <w:overflowPunct w:val="0"/>
        <w:topLinePunct w:val="0"/>
        <w:autoSpaceDE/>
        <w:autoSpaceDN/>
        <w:bidi w:val="0"/>
        <w:adjustRightInd/>
        <w:snapToGrid/>
        <w:spacing w:line="560" w:lineRule="exact"/>
        <w:textAlignment w:val="auto"/>
        <w:outlineLvl w:val="9"/>
        <w:rPr>
          <w:rFonts w:hint="eastAsia"/>
          <w:lang w:val="en-US" w:eastAsia="zh-CN"/>
        </w:rPr>
      </w:pPr>
    </w:p>
    <w:p>
      <w:pPr>
        <w:keepNext w:val="0"/>
        <w:keepLines w:val="0"/>
        <w:pageBreakBefore w:val="0"/>
        <w:widowControl w:val="0"/>
        <w:kinsoku/>
        <w:wordWrap/>
        <w:topLinePunct w:val="0"/>
        <w:autoSpaceDE/>
        <w:autoSpaceDN/>
        <w:bidi w:val="0"/>
        <w:adjustRightInd/>
        <w:snapToGrid/>
        <w:spacing w:line="560" w:lineRule="exact"/>
        <w:jc w:val="right"/>
        <w:textAlignment w:val="auto"/>
        <w:rPr>
          <w:rFonts w:hint="eastAsia"/>
          <w:color w:val="auto"/>
          <w:lang w:eastAsia="zh-CN"/>
        </w:rPr>
      </w:pPr>
      <w:r>
        <w:rPr>
          <w:rFonts w:hint="eastAsia"/>
          <w:color w:val="auto"/>
          <w:lang w:eastAsia="zh-CN"/>
        </w:rPr>
        <w:t>“</w:t>
      </w:r>
      <w:r>
        <w:rPr>
          <w:rFonts w:hint="eastAsia"/>
          <w:color w:val="auto"/>
          <w:lang w:val="en-US" w:eastAsia="zh-CN"/>
        </w:rPr>
        <w:t>12</w:t>
      </w:r>
      <w:r>
        <w:rPr>
          <w:rFonts w:hint="eastAsia"/>
          <w:color w:val="auto"/>
          <w:lang w:eastAsia="zh-CN"/>
        </w:rPr>
        <w:t>·</w:t>
      </w:r>
      <w:r>
        <w:rPr>
          <w:rFonts w:hint="eastAsia"/>
          <w:color w:val="auto"/>
          <w:lang w:val="en-US" w:eastAsia="zh-CN"/>
        </w:rPr>
        <w:t>7”</w:t>
      </w:r>
      <w:r>
        <w:rPr>
          <w:rFonts w:hint="eastAsia"/>
          <w:color w:val="auto"/>
          <w:lang w:eastAsia="zh-CN"/>
        </w:rPr>
        <w:t>一般生产安全</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hint="eastAsia" w:eastAsia="仿宋_GB2312"/>
          <w:color w:val="auto"/>
          <w:lang w:val="en-US" w:eastAsia="zh-CN"/>
        </w:rPr>
      </w:pPr>
      <w:r>
        <w:rPr>
          <w:rFonts w:hint="eastAsia"/>
          <w:color w:val="auto"/>
          <w:lang w:val="en-US" w:eastAsia="zh-CN"/>
        </w:rPr>
        <w:t xml:space="preserve">                               </w:t>
      </w:r>
      <w:r>
        <w:rPr>
          <w:rFonts w:hint="eastAsia"/>
          <w:color w:val="auto"/>
          <w:lang w:eastAsia="zh-CN"/>
        </w:rPr>
        <w:t>责任</w:t>
      </w:r>
      <w:r>
        <w:rPr>
          <w:rFonts w:hint="eastAsia"/>
          <w:color w:val="auto"/>
        </w:rPr>
        <w:t>事故调查</w:t>
      </w:r>
      <w:r>
        <w:rPr>
          <w:rFonts w:hint="eastAsia"/>
          <w:color w:val="auto"/>
          <w:lang w:eastAsia="zh-CN"/>
        </w:rPr>
        <w:t>组</w:t>
      </w:r>
    </w:p>
    <w:p>
      <w:pPr>
        <w:keepNext w:val="0"/>
        <w:keepLines w:val="0"/>
        <w:pageBreakBefore w:val="0"/>
        <w:widowControl w:val="0"/>
        <w:kinsoku/>
        <w:wordWrap/>
        <w:topLinePunct w:val="0"/>
        <w:autoSpaceDE/>
        <w:autoSpaceDN/>
        <w:bidi w:val="0"/>
        <w:adjustRightInd/>
        <w:snapToGrid/>
        <w:spacing w:line="560" w:lineRule="exact"/>
        <w:ind w:firstLine="640"/>
        <w:jc w:val="center"/>
        <w:textAlignment w:val="auto"/>
        <w:rPr>
          <w:rFonts w:hint="eastAsia"/>
          <w:color w:val="auto"/>
        </w:rPr>
      </w:pPr>
      <w:r>
        <w:rPr>
          <w:rFonts w:hint="eastAsia"/>
          <w:color w:val="auto"/>
          <w:lang w:val="en-US" w:eastAsia="zh-CN"/>
        </w:rPr>
        <w:t xml:space="preserve">                                2</w:t>
      </w:r>
      <w:r>
        <w:rPr>
          <w:rFonts w:hint="eastAsia"/>
          <w:color w:val="auto"/>
        </w:rPr>
        <w:t>02</w:t>
      </w:r>
      <w:r>
        <w:rPr>
          <w:rFonts w:hint="eastAsia"/>
          <w:color w:val="auto"/>
          <w:lang w:val="en-US" w:eastAsia="zh-CN"/>
        </w:rPr>
        <w:t>4</w:t>
      </w:r>
      <w:r>
        <w:rPr>
          <w:rFonts w:hint="eastAsia"/>
          <w:color w:val="auto"/>
        </w:rPr>
        <w:t>年</w:t>
      </w:r>
      <w:r>
        <w:rPr>
          <w:rFonts w:hint="eastAsia"/>
          <w:color w:val="auto"/>
          <w:lang w:val="en-US" w:eastAsia="zh-CN"/>
        </w:rPr>
        <w:t>2</w:t>
      </w:r>
      <w:r>
        <w:rPr>
          <w:rFonts w:hint="eastAsia"/>
          <w:color w:val="auto"/>
        </w:rPr>
        <w:t>月</w:t>
      </w:r>
      <w:r>
        <w:rPr>
          <w:rFonts w:hint="eastAsia"/>
          <w:color w:val="auto"/>
          <w:lang w:val="en-US" w:eastAsia="zh-CN"/>
        </w:rPr>
        <w:t>2</w:t>
      </w:r>
      <w:r>
        <w:rPr>
          <w:rFonts w:hint="eastAsia"/>
          <w:color w:val="auto"/>
        </w:rPr>
        <w:t>日</w:t>
      </w:r>
    </w:p>
    <w:p>
      <w:pPr>
        <w:rPr>
          <w:rFonts w:hint="default"/>
          <w:lang w:val="en-US" w:eastAsia="zh-CN"/>
        </w:rPr>
      </w:pPr>
      <w:r>
        <w:rPr>
          <w:rFonts w:hint="default"/>
          <w:lang w:val="en-US" w:eastAsia="zh-CN"/>
        </w:rPr>
        <w:br w:type="page"/>
      </w:r>
    </w:p>
    <w:p>
      <w:pPr>
        <w:keepNext w:val="0"/>
        <w:keepLines w:val="0"/>
        <w:pageBreakBefore w:val="0"/>
        <w:widowControl w:val="0"/>
        <w:kinsoku/>
        <w:wordWrap/>
        <w:overflowPunct w:val="0"/>
        <w:topLinePunct w:val="0"/>
        <w:autoSpaceDE/>
        <w:autoSpaceDN/>
        <w:bidi w:val="0"/>
        <w:snapToGrid/>
        <w:spacing w:line="560" w:lineRule="exact"/>
        <w:ind w:left="0" w:leftChars="0" w:firstLine="0" w:firstLineChars="0"/>
        <w:textAlignment w:val="auto"/>
        <w:rPr>
          <w:rFonts w:hint="eastAsia" w:ascii="黑体" w:hAnsi="黑体" w:eastAsia="黑体" w:cs="黑体"/>
          <w:lang w:val="en-US" w:eastAsia="zh-CN"/>
        </w:rPr>
      </w:pPr>
      <w:r>
        <w:rPr>
          <w:rFonts w:hint="eastAsia" w:ascii="黑体" w:hAnsi="黑体" w:eastAsia="黑体" w:cs="黑体"/>
          <w:lang w:val="en-US" w:eastAsia="zh-CN"/>
        </w:rPr>
        <w:t>附件</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jc w:val="center"/>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《中华人民共和国安全生产法》部分法律条款</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第四条</w:t>
      </w:r>
      <w:r>
        <w:rPr>
          <w:rFonts w:hint="default"/>
          <w:lang w:val="en-US" w:eastAsia="zh-CN"/>
        </w:rPr>
        <w:t xml:space="preserve">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lang w:val="en-US" w:eastAsia="zh-CN"/>
        </w:rPr>
        <w:t>平台经济等新兴行业、领域的生产经营单位应当根据本行业、领域的特点，建立健全并落实全员安全生产责任制，加强从业人员安全生产教育和培训，履行本法和其他法律、法规规定的有关安全生产义务。</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第二十八条第一款</w:t>
      </w:r>
      <w:r>
        <w:rPr>
          <w:rFonts w:hint="default"/>
          <w:lang w:val="en-US" w:eastAsia="zh-CN"/>
        </w:rPr>
        <w:t xml:space="preserve">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第四十一条第二款</w:t>
      </w:r>
      <w:r>
        <w:rPr>
          <w:rFonts w:hint="default"/>
          <w:lang w:val="en-US" w:eastAsia="zh-CN"/>
        </w:rPr>
        <w:t xml:space="preserve">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第四十四条第一款</w:t>
      </w:r>
      <w:r>
        <w:rPr>
          <w:rFonts w:hint="default"/>
          <w:lang w:val="en-US" w:eastAsia="zh-CN"/>
        </w:rPr>
        <w:t xml:space="preserve">  生产经营单位应当教育和督促从业人员严格执行本单位的安全生产规章制度和安全操作规程；并向从业人员如实告知作业场所和工作岗位存在的危险因素、防范措施以及事故应急措施。</w:t>
      </w:r>
    </w:p>
    <w:p>
      <w:pPr>
        <w:pStyle w:val="2"/>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第四十</w:t>
      </w:r>
      <w:r>
        <w:rPr>
          <w:rFonts w:hint="eastAsia"/>
          <w:b/>
          <w:bCs/>
          <w:lang w:val="en-US" w:eastAsia="zh-CN"/>
        </w:rPr>
        <w:t>五条</w:t>
      </w:r>
      <w:r>
        <w:rPr>
          <w:rFonts w:hint="default"/>
          <w:lang w:val="en-US" w:eastAsia="zh-CN"/>
        </w:rPr>
        <w:t xml:space="preserve">  生产经营单位必须为从业人员提供符合国家标准或者行业标准的劳动防护用品，并监督、教育从业人员按照使用规则佩戴、使用。</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b/>
          <w:bCs/>
          <w:lang w:val="en-US" w:eastAsia="zh-CN"/>
        </w:rPr>
        <w:t>第一百一十四条第一款第一项</w:t>
      </w:r>
      <w:r>
        <w:rPr>
          <w:rFonts w:hint="default"/>
          <w:lang w:val="en-US" w:eastAsia="zh-CN"/>
        </w:rPr>
        <w:t xml:space="preserve">  发生生产安全事故，对负有责任的生产经营单位除要求其依法承担相应的赔偿等责任外，由应急管理部门依照下列规定处以罚款:</w:t>
      </w:r>
    </w:p>
    <w:p>
      <w:pPr>
        <w:keepNext w:val="0"/>
        <w:keepLines w:val="0"/>
        <w:pageBreakBefore w:val="0"/>
        <w:widowControl w:val="0"/>
        <w:kinsoku/>
        <w:wordWrap/>
        <w:overflowPunct w:val="0"/>
        <w:topLinePunct w:val="0"/>
        <w:autoSpaceDE/>
        <w:autoSpaceDN/>
        <w:bidi w:val="0"/>
        <w:snapToGrid/>
        <w:spacing w:line="560" w:lineRule="exact"/>
        <w:textAlignment w:val="auto"/>
        <w:rPr>
          <w:rFonts w:hint="default"/>
          <w:lang w:val="en-US" w:eastAsia="zh-CN"/>
        </w:rPr>
      </w:pPr>
      <w:r>
        <w:rPr>
          <w:rFonts w:hint="default"/>
          <w:lang w:val="en-US" w:eastAsia="zh-CN"/>
        </w:rPr>
        <w:t>（一）发生一般事故的，处三十万元以上一百万元以下的罚款。</w:t>
      </w:r>
    </w:p>
    <w:p>
      <w:pPr>
        <w:pStyle w:val="2"/>
        <w:rPr>
          <w:rFonts w:hint="default"/>
          <w:lang w:val="en-US" w:eastAsia="zh-CN"/>
        </w:rPr>
      </w:pPr>
    </w:p>
    <w:sectPr>
      <w:headerReference r:id="rId3" w:type="default"/>
      <w:footerReference r:id="rId4" w:type="default"/>
      <w:footnotePr>
        <w:numFmt w:val="decimal"/>
      </w:footnotePr>
      <w:pgSz w:w="11906" w:h="16838"/>
      <w:pgMar w:top="2098" w:right="1474" w:bottom="1984" w:left="1587" w:header="851" w:footer="141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rPr>
        <w:rFonts w:hint="default"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MTM0YThkZDhiNjg4NzBiMmM5MzA0YTA3OTM2YjIifQ=="/>
  </w:docVars>
  <w:rsids>
    <w:rsidRoot w:val="08394A96"/>
    <w:rsid w:val="000E7A09"/>
    <w:rsid w:val="001E6581"/>
    <w:rsid w:val="00207DBD"/>
    <w:rsid w:val="0049226C"/>
    <w:rsid w:val="004D7AE1"/>
    <w:rsid w:val="00590981"/>
    <w:rsid w:val="007314C1"/>
    <w:rsid w:val="00A13C23"/>
    <w:rsid w:val="00A93302"/>
    <w:rsid w:val="00C549BE"/>
    <w:rsid w:val="00D8708D"/>
    <w:rsid w:val="010C567A"/>
    <w:rsid w:val="011226ED"/>
    <w:rsid w:val="011A0721"/>
    <w:rsid w:val="01392A50"/>
    <w:rsid w:val="01447680"/>
    <w:rsid w:val="01771A41"/>
    <w:rsid w:val="01830647"/>
    <w:rsid w:val="0183244B"/>
    <w:rsid w:val="018D389E"/>
    <w:rsid w:val="01945DA8"/>
    <w:rsid w:val="01B74116"/>
    <w:rsid w:val="01C2525E"/>
    <w:rsid w:val="01CC0410"/>
    <w:rsid w:val="01DF2774"/>
    <w:rsid w:val="01F0123E"/>
    <w:rsid w:val="024552AD"/>
    <w:rsid w:val="0259058E"/>
    <w:rsid w:val="028110AF"/>
    <w:rsid w:val="028257AA"/>
    <w:rsid w:val="028314EC"/>
    <w:rsid w:val="029B3303"/>
    <w:rsid w:val="02AD3A40"/>
    <w:rsid w:val="02B83AFE"/>
    <w:rsid w:val="02BF38E9"/>
    <w:rsid w:val="02CF250E"/>
    <w:rsid w:val="02D063FA"/>
    <w:rsid w:val="02D11938"/>
    <w:rsid w:val="02D72F6F"/>
    <w:rsid w:val="031B4C4F"/>
    <w:rsid w:val="03295466"/>
    <w:rsid w:val="033D1465"/>
    <w:rsid w:val="03547905"/>
    <w:rsid w:val="035F3B1E"/>
    <w:rsid w:val="03AD4FC3"/>
    <w:rsid w:val="03B364B1"/>
    <w:rsid w:val="03E30960"/>
    <w:rsid w:val="03F34AAB"/>
    <w:rsid w:val="04122BA0"/>
    <w:rsid w:val="04127FC1"/>
    <w:rsid w:val="04316261"/>
    <w:rsid w:val="0432486C"/>
    <w:rsid w:val="047800F0"/>
    <w:rsid w:val="047A3A16"/>
    <w:rsid w:val="04BB5E9C"/>
    <w:rsid w:val="04C06F23"/>
    <w:rsid w:val="04CF5D5B"/>
    <w:rsid w:val="04D444DF"/>
    <w:rsid w:val="04EF3F3E"/>
    <w:rsid w:val="04F144DE"/>
    <w:rsid w:val="04F43E8D"/>
    <w:rsid w:val="04FF1065"/>
    <w:rsid w:val="05164547"/>
    <w:rsid w:val="05181B76"/>
    <w:rsid w:val="05202323"/>
    <w:rsid w:val="052A6AF7"/>
    <w:rsid w:val="05562427"/>
    <w:rsid w:val="055F3381"/>
    <w:rsid w:val="056767C7"/>
    <w:rsid w:val="056C1FB2"/>
    <w:rsid w:val="05741278"/>
    <w:rsid w:val="0579177D"/>
    <w:rsid w:val="057B4E41"/>
    <w:rsid w:val="05DB6A49"/>
    <w:rsid w:val="05F2718C"/>
    <w:rsid w:val="060A79CF"/>
    <w:rsid w:val="06353852"/>
    <w:rsid w:val="0653063C"/>
    <w:rsid w:val="066C7634"/>
    <w:rsid w:val="067A74C8"/>
    <w:rsid w:val="068B4A0B"/>
    <w:rsid w:val="069E1C05"/>
    <w:rsid w:val="06AE4D26"/>
    <w:rsid w:val="06B254BA"/>
    <w:rsid w:val="072640B1"/>
    <w:rsid w:val="075C40BE"/>
    <w:rsid w:val="07852B94"/>
    <w:rsid w:val="07A84BAB"/>
    <w:rsid w:val="07C038D8"/>
    <w:rsid w:val="07DE3D84"/>
    <w:rsid w:val="07EB37A9"/>
    <w:rsid w:val="080159D1"/>
    <w:rsid w:val="081C0091"/>
    <w:rsid w:val="08394A96"/>
    <w:rsid w:val="08432933"/>
    <w:rsid w:val="084A0A5F"/>
    <w:rsid w:val="08760498"/>
    <w:rsid w:val="088A1999"/>
    <w:rsid w:val="08D760A0"/>
    <w:rsid w:val="08D97A44"/>
    <w:rsid w:val="091E4C67"/>
    <w:rsid w:val="094203FD"/>
    <w:rsid w:val="096F1B34"/>
    <w:rsid w:val="097952DB"/>
    <w:rsid w:val="097D5A05"/>
    <w:rsid w:val="09904510"/>
    <w:rsid w:val="09EB0D93"/>
    <w:rsid w:val="09F844E3"/>
    <w:rsid w:val="0A386D0D"/>
    <w:rsid w:val="0A4A5BA0"/>
    <w:rsid w:val="0A51702C"/>
    <w:rsid w:val="0A602620"/>
    <w:rsid w:val="0A701968"/>
    <w:rsid w:val="0A931297"/>
    <w:rsid w:val="0AAF1924"/>
    <w:rsid w:val="0ABE5AC7"/>
    <w:rsid w:val="0ACD77A0"/>
    <w:rsid w:val="0AD2676E"/>
    <w:rsid w:val="0AE13339"/>
    <w:rsid w:val="0AE176CD"/>
    <w:rsid w:val="0AEB2DBD"/>
    <w:rsid w:val="0AF8028A"/>
    <w:rsid w:val="0B2D2ED4"/>
    <w:rsid w:val="0B6805BD"/>
    <w:rsid w:val="0B6860A8"/>
    <w:rsid w:val="0B6F4A69"/>
    <w:rsid w:val="0B721692"/>
    <w:rsid w:val="0BA811AE"/>
    <w:rsid w:val="0BB03C8B"/>
    <w:rsid w:val="0BC80A10"/>
    <w:rsid w:val="0BC972EA"/>
    <w:rsid w:val="0BDC6ED2"/>
    <w:rsid w:val="0BE40A55"/>
    <w:rsid w:val="0BE579B5"/>
    <w:rsid w:val="0BEF3EAD"/>
    <w:rsid w:val="0BF60FEC"/>
    <w:rsid w:val="0BF956C6"/>
    <w:rsid w:val="0BFD357D"/>
    <w:rsid w:val="0C111A54"/>
    <w:rsid w:val="0C1B005C"/>
    <w:rsid w:val="0C34364C"/>
    <w:rsid w:val="0C3F1258"/>
    <w:rsid w:val="0C5E6434"/>
    <w:rsid w:val="0C8773D8"/>
    <w:rsid w:val="0C92168D"/>
    <w:rsid w:val="0CE446E6"/>
    <w:rsid w:val="0D1E19E4"/>
    <w:rsid w:val="0D4A73F2"/>
    <w:rsid w:val="0D6545A7"/>
    <w:rsid w:val="0D7D7818"/>
    <w:rsid w:val="0D837EAB"/>
    <w:rsid w:val="0D8C1C48"/>
    <w:rsid w:val="0D990551"/>
    <w:rsid w:val="0DB0180F"/>
    <w:rsid w:val="0DD96523"/>
    <w:rsid w:val="0DFD2AB6"/>
    <w:rsid w:val="0E12185E"/>
    <w:rsid w:val="0E1649BB"/>
    <w:rsid w:val="0E16697F"/>
    <w:rsid w:val="0E4527EE"/>
    <w:rsid w:val="0E6439E2"/>
    <w:rsid w:val="0E6809A0"/>
    <w:rsid w:val="0E6D4D18"/>
    <w:rsid w:val="0E774951"/>
    <w:rsid w:val="0E8A7A57"/>
    <w:rsid w:val="0E955A49"/>
    <w:rsid w:val="0EEE6398"/>
    <w:rsid w:val="0EF552FA"/>
    <w:rsid w:val="0F0774AA"/>
    <w:rsid w:val="0F402087"/>
    <w:rsid w:val="0F483F47"/>
    <w:rsid w:val="0F4B2CD4"/>
    <w:rsid w:val="0F6E5F63"/>
    <w:rsid w:val="0FAC1F1C"/>
    <w:rsid w:val="0FDF296D"/>
    <w:rsid w:val="0FEB2D0F"/>
    <w:rsid w:val="10012421"/>
    <w:rsid w:val="10101235"/>
    <w:rsid w:val="1012768E"/>
    <w:rsid w:val="101E726C"/>
    <w:rsid w:val="10231408"/>
    <w:rsid w:val="102C266A"/>
    <w:rsid w:val="106529B7"/>
    <w:rsid w:val="109C2855"/>
    <w:rsid w:val="10B37640"/>
    <w:rsid w:val="10D42CB5"/>
    <w:rsid w:val="10DB146A"/>
    <w:rsid w:val="10EA331B"/>
    <w:rsid w:val="110525D4"/>
    <w:rsid w:val="1118359F"/>
    <w:rsid w:val="112F2FC2"/>
    <w:rsid w:val="11401E27"/>
    <w:rsid w:val="11445DCB"/>
    <w:rsid w:val="11D358DE"/>
    <w:rsid w:val="11DC5055"/>
    <w:rsid w:val="11E16658"/>
    <w:rsid w:val="11F83CFB"/>
    <w:rsid w:val="12302A83"/>
    <w:rsid w:val="12480949"/>
    <w:rsid w:val="1261337D"/>
    <w:rsid w:val="1272687F"/>
    <w:rsid w:val="12A31505"/>
    <w:rsid w:val="12CA587A"/>
    <w:rsid w:val="12CD1F8E"/>
    <w:rsid w:val="12D3755A"/>
    <w:rsid w:val="13050917"/>
    <w:rsid w:val="13304D38"/>
    <w:rsid w:val="13467A64"/>
    <w:rsid w:val="13526F2E"/>
    <w:rsid w:val="135F6EF8"/>
    <w:rsid w:val="139E664A"/>
    <w:rsid w:val="13AD6391"/>
    <w:rsid w:val="13B54A23"/>
    <w:rsid w:val="13B848EF"/>
    <w:rsid w:val="13E76483"/>
    <w:rsid w:val="13FA2395"/>
    <w:rsid w:val="13FC3AB3"/>
    <w:rsid w:val="1402179B"/>
    <w:rsid w:val="142D7659"/>
    <w:rsid w:val="146A1861"/>
    <w:rsid w:val="1470018E"/>
    <w:rsid w:val="14752552"/>
    <w:rsid w:val="149524C7"/>
    <w:rsid w:val="149F0CA9"/>
    <w:rsid w:val="14C35596"/>
    <w:rsid w:val="14F7391E"/>
    <w:rsid w:val="1511730C"/>
    <w:rsid w:val="154F49F1"/>
    <w:rsid w:val="155342C4"/>
    <w:rsid w:val="15590428"/>
    <w:rsid w:val="15612035"/>
    <w:rsid w:val="15A40B45"/>
    <w:rsid w:val="15AC7340"/>
    <w:rsid w:val="15D771B5"/>
    <w:rsid w:val="15E37979"/>
    <w:rsid w:val="15E71DAD"/>
    <w:rsid w:val="15F06302"/>
    <w:rsid w:val="15FC7E20"/>
    <w:rsid w:val="16125F27"/>
    <w:rsid w:val="16191622"/>
    <w:rsid w:val="16371C2E"/>
    <w:rsid w:val="16560D2A"/>
    <w:rsid w:val="167F08B1"/>
    <w:rsid w:val="168052AD"/>
    <w:rsid w:val="168901A7"/>
    <w:rsid w:val="16960B7B"/>
    <w:rsid w:val="169C5CEE"/>
    <w:rsid w:val="16A878F6"/>
    <w:rsid w:val="16B301FC"/>
    <w:rsid w:val="16DD6508"/>
    <w:rsid w:val="16E0299F"/>
    <w:rsid w:val="170578B5"/>
    <w:rsid w:val="172446D5"/>
    <w:rsid w:val="17740DEF"/>
    <w:rsid w:val="17BA144C"/>
    <w:rsid w:val="17D227EF"/>
    <w:rsid w:val="17FB415F"/>
    <w:rsid w:val="181902EF"/>
    <w:rsid w:val="18225735"/>
    <w:rsid w:val="18261055"/>
    <w:rsid w:val="185902E9"/>
    <w:rsid w:val="185C07E1"/>
    <w:rsid w:val="18643EF2"/>
    <w:rsid w:val="18647E56"/>
    <w:rsid w:val="18677FA4"/>
    <w:rsid w:val="18720AD4"/>
    <w:rsid w:val="187F33FE"/>
    <w:rsid w:val="18A9362B"/>
    <w:rsid w:val="18CA7AB4"/>
    <w:rsid w:val="18E91463"/>
    <w:rsid w:val="18EC6F4B"/>
    <w:rsid w:val="18F13C03"/>
    <w:rsid w:val="18FB5274"/>
    <w:rsid w:val="19331BEA"/>
    <w:rsid w:val="193B58ED"/>
    <w:rsid w:val="194D0424"/>
    <w:rsid w:val="19695BCA"/>
    <w:rsid w:val="196F3011"/>
    <w:rsid w:val="19701DCB"/>
    <w:rsid w:val="198F0EF1"/>
    <w:rsid w:val="19AC0A0B"/>
    <w:rsid w:val="19B212E5"/>
    <w:rsid w:val="19E62E5D"/>
    <w:rsid w:val="19E841ED"/>
    <w:rsid w:val="1A05435B"/>
    <w:rsid w:val="1A072865"/>
    <w:rsid w:val="1A15387E"/>
    <w:rsid w:val="1A4A152A"/>
    <w:rsid w:val="1A7638B3"/>
    <w:rsid w:val="1A9A2720"/>
    <w:rsid w:val="1AAC6AD1"/>
    <w:rsid w:val="1AD71F34"/>
    <w:rsid w:val="1B006903"/>
    <w:rsid w:val="1B054E05"/>
    <w:rsid w:val="1B826952"/>
    <w:rsid w:val="1BC90881"/>
    <w:rsid w:val="1BFE34C8"/>
    <w:rsid w:val="1C122471"/>
    <w:rsid w:val="1C393E65"/>
    <w:rsid w:val="1C39522C"/>
    <w:rsid w:val="1C3B4042"/>
    <w:rsid w:val="1C544EB7"/>
    <w:rsid w:val="1C7700D0"/>
    <w:rsid w:val="1C8939E3"/>
    <w:rsid w:val="1CB84EAD"/>
    <w:rsid w:val="1CC54EDC"/>
    <w:rsid w:val="1CD664C9"/>
    <w:rsid w:val="1CD66FF4"/>
    <w:rsid w:val="1CDF5A2C"/>
    <w:rsid w:val="1CE804A1"/>
    <w:rsid w:val="1CF73758"/>
    <w:rsid w:val="1D2E7520"/>
    <w:rsid w:val="1D4622ED"/>
    <w:rsid w:val="1D574654"/>
    <w:rsid w:val="1D684334"/>
    <w:rsid w:val="1D7634BC"/>
    <w:rsid w:val="1D77605B"/>
    <w:rsid w:val="1D7E7FE8"/>
    <w:rsid w:val="1D837686"/>
    <w:rsid w:val="1D8F44F7"/>
    <w:rsid w:val="1D95169F"/>
    <w:rsid w:val="1DA23F57"/>
    <w:rsid w:val="1DCA11AB"/>
    <w:rsid w:val="1E2E4278"/>
    <w:rsid w:val="1E4F104C"/>
    <w:rsid w:val="1E64014C"/>
    <w:rsid w:val="1E902D3E"/>
    <w:rsid w:val="1F206B53"/>
    <w:rsid w:val="1F571467"/>
    <w:rsid w:val="1F630B99"/>
    <w:rsid w:val="1F77712C"/>
    <w:rsid w:val="1F8920DD"/>
    <w:rsid w:val="1F992154"/>
    <w:rsid w:val="1F9A12E0"/>
    <w:rsid w:val="1FA82C37"/>
    <w:rsid w:val="1FBD14AF"/>
    <w:rsid w:val="1FF73C9B"/>
    <w:rsid w:val="1FFE7559"/>
    <w:rsid w:val="200A2B8E"/>
    <w:rsid w:val="203D0A86"/>
    <w:rsid w:val="205376F8"/>
    <w:rsid w:val="205A7D29"/>
    <w:rsid w:val="207E6980"/>
    <w:rsid w:val="20CF77A0"/>
    <w:rsid w:val="20DE092E"/>
    <w:rsid w:val="20E3764F"/>
    <w:rsid w:val="21056583"/>
    <w:rsid w:val="211307A1"/>
    <w:rsid w:val="213B6BE4"/>
    <w:rsid w:val="21454BB1"/>
    <w:rsid w:val="215A5E94"/>
    <w:rsid w:val="215D3ACC"/>
    <w:rsid w:val="216E5ED8"/>
    <w:rsid w:val="217B4653"/>
    <w:rsid w:val="217D35AF"/>
    <w:rsid w:val="21B8740E"/>
    <w:rsid w:val="21C42081"/>
    <w:rsid w:val="221D4747"/>
    <w:rsid w:val="2241494C"/>
    <w:rsid w:val="226D24DB"/>
    <w:rsid w:val="227B04ED"/>
    <w:rsid w:val="22BC3F84"/>
    <w:rsid w:val="22C3285F"/>
    <w:rsid w:val="22D45C4F"/>
    <w:rsid w:val="22F773F7"/>
    <w:rsid w:val="230509C7"/>
    <w:rsid w:val="232A2776"/>
    <w:rsid w:val="232B7AAD"/>
    <w:rsid w:val="232F6551"/>
    <w:rsid w:val="234822C0"/>
    <w:rsid w:val="235D2FC3"/>
    <w:rsid w:val="237F562E"/>
    <w:rsid w:val="239B6B48"/>
    <w:rsid w:val="23BE6749"/>
    <w:rsid w:val="23FD71AC"/>
    <w:rsid w:val="24001662"/>
    <w:rsid w:val="240A64ED"/>
    <w:rsid w:val="245C50AD"/>
    <w:rsid w:val="248F3D47"/>
    <w:rsid w:val="24C30E24"/>
    <w:rsid w:val="24D8371E"/>
    <w:rsid w:val="24DA2759"/>
    <w:rsid w:val="24E04B79"/>
    <w:rsid w:val="24E43046"/>
    <w:rsid w:val="25086761"/>
    <w:rsid w:val="250D3571"/>
    <w:rsid w:val="25303CF9"/>
    <w:rsid w:val="255B4FAB"/>
    <w:rsid w:val="25655E09"/>
    <w:rsid w:val="256A2B26"/>
    <w:rsid w:val="256A561D"/>
    <w:rsid w:val="256D1FB9"/>
    <w:rsid w:val="25990FAA"/>
    <w:rsid w:val="25A65571"/>
    <w:rsid w:val="25AF7424"/>
    <w:rsid w:val="25C76133"/>
    <w:rsid w:val="25DF5500"/>
    <w:rsid w:val="25F16C05"/>
    <w:rsid w:val="263B65B4"/>
    <w:rsid w:val="265345F8"/>
    <w:rsid w:val="265D37A3"/>
    <w:rsid w:val="265F2CCC"/>
    <w:rsid w:val="26750342"/>
    <w:rsid w:val="268E49FD"/>
    <w:rsid w:val="26C27358"/>
    <w:rsid w:val="26C43198"/>
    <w:rsid w:val="26D81B8C"/>
    <w:rsid w:val="26DF5031"/>
    <w:rsid w:val="26F10723"/>
    <w:rsid w:val="270078B6"/>
    <w:rsid w:val="27093989"/>
    <w:rsid w:val="27176387"/>
    <w:rsid w:val="271C43EE"/>
    <w:rsid w:val="275333BB"/>
    <w:rsid w:val="27545985"/>
    <w:rsid w:val="2767486B"/>
    <w:rsid w:val="277729DA"/>
    <w:rsid w:val="279A0DC2"/>
    <w:rsid w:val="27AA5058"/>
    <w:rsid w:val="27AE4DB2"/>
    <w:rsid w:val="27AE55B0"/>
    <w:rsid w:val="27C30FD3"/>
    <w:rsid w:val="27F037CE"/>
    <w:rsid w:val="287C097F"/>
    <w:rsid w:val="287D6485"/>
    <w:rsid w:val="28806D1F"/>
    <w:rsid w:val="28837EFC"/>
    <w:rsid w:val="28A03E08"/>
    <w:rsid w:val="28AD287B"/>
    <w:rsid w:val="28C07048"/>
    <w:rsid w:val="28D94356"/>
    <w:rsid w:val="28EC6997"/>
    <w:rsid w:val="28FB41AB"/>
    <w:rsid w:val="28FE55F4"/>
    <w:rsid w:val="292629C6"/>
    <w:rsid w:val="29481263"/>
    <w:rsid w:val="29516C69"/>
    <w:rsid w:val="29547EDA"/>
    <w:rsid w:val="29686350"/>
    <w:rsid w:val="296C7EC7"/>
    <w:rsid w:val="29771AF0"/>
    <w:rsid w:val="29816B44"/>
    <w:rsid w:val="299E5695"/>
    <w:rsid w:val="29B41DD9"/>
    <w:rsid w:val="29DF3E44"/>
    <w:rsid w:val="29F60420"/>
    <w:rsid w:val="29FB6656"/>
    <w:rsid w:val="2A025889"/>
    <w:rsid w:val="2A1C26AD"/>
    <w:rsid w:val="2A231338"/>
    <w:rsid w:val="2A2403F7"/>
    <w:rsid w:val="2A240ECF"/>
    <w:rsid w:val="2A8236E5"/>
    <w:rsid w:val="2A97034A"/>
    <w:rsid w:val="2A990C18"/>
    <w:rsid w:val="2AA97CD8"/>
    <w:rsid w:val="2ABD7F41"/>
    <w:rsid w:val="2ACE29F4"/>
    <w:rsid w:val="2AF073D3"/>
    <w:rsid w:val="2B1F6981"/>
    <w:rsid w:val="2B3269D9"/>
    <w:rsid w:val="2B3C6F9A"/>
    <w:rsid w:val="2B4755C6"/>
    <w:rsid w:val="2B6D3568"/>
    <w:rsid w:val="2B863D63"/>
    <w:rsid w:val="2B9842C7"/>
    <w:rsid w:val="2BB16278"/>
    <w:rsid w:val="2BBC4675"/>
    <w:rsid w:val="2BCF1C43"/>
    <w:rsid w:val="2BDB451B"/>
    <w:rsid w:val="2BF963DA"/>
    <w:rsid w:val="2C0B7E86"/>
    <w:rsid w:val="2C6C1282"/>
    <w:rsid w:val="2C6F370D"/>
    <w:rsid w:val="2C7E3200"/>
    <w:rsid w:val="2CB86203"/>
    <w:rsid w:val="2CCE1726"/>
    <w:rsid w:val="2CCF12D6"/>
    <w:rsid w:val="2CCF5348"/>
    <w:rsid w:val="2CDC4CDB"/>
    <w:rsid w:val="2CEB4EE3"/>
    <w:rsid w:val="2CFE1D37"/>
    <w:rsid w:val="2D0745FA"/>
    <w:rsid w:val="2D210E25"/>
    <w:rsid w:val="2D231864"/>
    <w:rsid w:val="2D295D82"/>
    <w:rsid w:val="2D3817DB"/>
    <w:rsid w:val="2D4A74C0"/>
    <w:rsid w:val="2D6257EC"/>
    <w:rsid w:val="2D7209C0"/>
    <w:rsid w:val="2DD34AD9"/>
    <w:rsid w:val="2DDF4AC3"/>
    <w:rsid w:val="2DFB2AFE"/>
    <w:rsid w:val="2E0925BF"/>
    <w:rsid w:val="2E242C72"/>
    <w:rsid w:val="2E2E0ADF"/>
    <w:rsid w:val="2E375E3E"/>
    <w:rsid w:val="2E39216F"/>
    <w:rsid w:val="2E766897"/>
    <w:rsid w:val="2E9200ED"/>
    <w:rsid w:val="2E9C6DA7"/>
    <w:rsid w:val="2ED52D50"/>
    <w:rsid w:val="2EDF460B"/>
    <w:rsid w:val="2EF1593A"/>
    <w:rsid w:val="2F0F053D"/>
    <w:rsid w:val="2F162BA7"/>
    <w:rsid w:val="2F480470"/>
    <w:rsid w:val="2F72030E"/>
    <w:rsid w:val="2F8200C6"/>
    <w:rsid w:val="2FAA0354"/>
    <w:rsid w:val="2FB12825"/>
    <w:rsid w:val="3003387F"/>
    <w:rsid w:val="300B1AE4"/>
    <w:rsid w:val="301131AB"/>
    <w:rsid w:val="302D0328"/>
    <w:rsid w:val="303B1C44"/>
    <w:rsid w:val="3055724C"/>
    <w:rsid w:val="305D015F"/>
    <w:rsid w:val="306807C5"/>
    <w:rsid w:val="3071737B"/>
    <w:rsid w:val="30745DA1"/>
    <w:rsid w:val="30806124"/>
    <w:rsid w:val="30824A72"/>
    <w:rsid w:val="30856264"/>
    <w:rsid w:val="30AB6F28"/>
    <w:rsid w:val="30B02582"/>
    <w:rsid w:val="30BB320E"/>
    <w:rsid w:val="30BE4B0D"/>
    <w:rsid w:val="30E10B9D"/>
    <w:rsid w:val="310745B5"/>
    <w:rsid w:val="31397A0E"/>
    <w:rsid w:val="31484722"/>
    <w:rsid w:val="314A409B"/>
    <w:rsid w:val="31553B61"/>
    <w:rsid w:val="31651BA1"/>
    <w:rsid w:val="31716123"/>
    <w:rsid w:val="31A16943"/>
    <w:rsid w:val="31B20428"/>
    <w:rsid w:val="31DD2D04"/>
    <w:rsid w:val="31E1518C"/>
    <w:rsid w:val="31E32C7A"/>
    <w:rsid w:val="31E62952"/>
    <w:rsid w:val="32045A6F"/>
    <w:rsid w:val="320F7895"/>
    <w:rsid w:val="32227C4E"/>
    <w:rsid w:val="32243257"/>
    <w:rsid w:val="32341723"/>
    <w:rsid w:val="324204CE"/>
    <w:rsid w:val="324B5C0F"/>
    <w:rsid w:val="324B5E56"/>
    <w:rsid w:val="32581962"/>
    <w:rsid w:val="325F6CCD"/>
    <w:rsid w:val="326C5A88"/>
    <w:rsid w:val="328E00C9"/>
    <w:rsid w:val="3297245A"/>
    <w:rsid w:val="32A508BD"/>
    <w:rsid w:val="32A645C2"/>
    <w:rsid w:val="32AE5C7F"/>
    <w:rsid w:val="32AF396F"/>
    <w:rsid w:val="32D06EBE"/>
    <w:rsid w:val="334C212D"/>
    <w:rsid w:val="33626FE7"/>
    <w:rsid w:val="33684F36"/>
    <w:rsid w:val="3377413D"/>
    <w:rsid w:val="337A3D78"/>
    <w:rsid w:val="339F482B"/>
    <w:rsid w:val="33AB47E1"/>
    <w:rsid w:val="33CD265E"/>
    <w:rsid w:val="34280FB2"/>
    <w:rsid w:val="343C286A"/>
    <w:rsid w:val="34421CFE"/>
    <w:rsid w:val="34902F7E"/>
    <w:rsid w:val="34AA0725"/>
    <w:rsid w:val="34B07FD9"/>
    <w:rsid w:val="34B225E3"/>
    <w:rsid w:val="34CB4B93"/>
    <w:rsid w:val="35200CD5"/>
    <w:rsid w:val="354078CA"/>
    <w:rsid w:val="356B4789"/>
    <w:rsid w:val="357351A7"/>
    <w:rsid w:val="35A354DB"/>
    <w:rsid w:val="35A95057"/>
    <w:rsid w:val="35AE2BBD"/>
    <w:rsid w:val="35D138CF"/>
    <w:rsid w:val="35DC7FCC"/>
    <w:rsid w:val="35FB683B"/>
    <w:rsid w:val="3609171C"/>
    <w:rsid w:val="360C3FAA"/>
    <w:rsid w:val="36164CE8"/>
    <w:rsid w:val="361A4561"/>
    <w:rsid w:val="362507E4"/>
    <w:rsid w:val="365746B1"/>
    <w:rsid w:val="36613503"/>
    <w:rsid w:val="3697756F"/>
    <w:rsid w:val="36AA4CF1"/>
    <w:rsid w:val="36CC42C2"/>
    <w:rsid w:val="36FE0E22"/>
    <w:rsid w:val="37296343"/>
    <w:rsid w:val="37301974"/>
    <w:rsid w:val="373C3375"/>
    <w:rsid w:val="374E7FC7"/>
    <w:rsid w:val="3751735A"/>
    <w:rsid w:val="376001F7"/>
    <w:rsid w:val="377C28E9"/>
    <w:rsid w:val="377F43D7"/>
    <w:rsid w:val="378B1F07"/>
    <w:rsid w:val="37DE51B7"/>
    <w:rsid w:val="37E942E6"/>
    <w:rsid w:val="37F0281C"/>
    <w:rsid w:val="3803141D"/>
    <w:rsid w:val="38083125"/>
    <w:rsid w:val="38207B0A"/>
    <w:rsid w:val="38243E05"/>
    <w:rsid w:val="38413E4F"/>
    <w:rsid w:val="38555C0B"/>
    <w:rsid w:val="38571B5E"/>
    <w:rsid w:val="385819B9"/>
    <w:rsid w:val="386678DE"/>
    <w:rsid w:val="386A13DF"/>
    <w:rsid w:val="38811B06"/>
    <w:rsid w:val="389A021F"/>
    <w:rsid w:val="38BD1AD3"/>
    <w:rsid w:val="38CD6657"/>
    <w:rsid w:val="38D01C56"/>
    <w:rsid w:val="38D5339A"/>
    <w:rsid w:val="39464666"/>
    <w:rsid w:val="39652DA3"/>
    <w:rsid w:val="397A3EB7"/>
    <w:rsid w:val="39AC2371"/>
    <w:rsid w:val="39D42DCC"/>
    <w:rsid w:val="3A23084E"/>
    <w:rsid w:val="3A6F4812"/>
    <w:rsid w:val="3AA57D8C"/>
    <w:rsid w:val="3AB725E2"/>
    <w:rsid w:val="3AE33538"/>
    <w:rsid w:val="3AF5219D"/>
    <w:rsid w:val="3AF606FF"/>
    <w:rsid w:val="3B037047"/>
    <w:rsid w:val="3B263BC9"/>
    <w:rsid w:val="3B7B52CD"/>
    <w:rsid w:val="3B8261F4"/>
    <w:rsid w:val="3B8A14A5"/>
    <w:rsid w:val="3B9B03AF"/>
    <w:rsid w:val="3BBC1942"/>
    <w:rsid w:val="3BE30661"/>
    <w:rsid w:val="3BEB6FF6"/>
    <w:rsid w:val="3BF63CB5"/>
    <w:rsid w:val="3BF859D3"/>
    <w:rsid w:val="3C073BFD"/>
    <w:rsid w:val="3C334736"/>
    <w:rsid w:val="3C382D2A"/>
    <w:rsid w:val="3C386E13"/>
    <w:rsid w:val="3C3B083E"/>
    <w:rsid w:val="3C49012E"/>
    <w:rsid w:val="3C4B1C5F"/>
    <w:rsid w:val="3C564823"/>
    <w:rsid w:val="3C7054A5"/>
    <w:rsid w:val="3C984A6A"/>
    <w:rsid w:val="3C9871C4"/>
    <w:rsid w:val="3CA306CE"/>
    <w:rsid w:val="3CA91149"/>
    <w:rsid w:val="3CAD79D4"/>
    <w:rsid w:val="3CB342ED"/>
    <w:rsid w:val="3CB44857"/>
    <w:rsid w:val="3CD668D7"/>
    <w:rsid w:val="3CD87AF5"/>
    <w:rsid w:val="3CF30DED"/>
    <w:rsid w:val="3D5043DA"/>
    <w:rsid w:val="3D5E4663"/>
    <w:rsid w:val="3D6B6495"/>
    <w:rsid w:val="3D921871"/>
    <w:rsid w:val="3DA339E3"/>
    <w:rsid w:val="3DBE687D"/>
    <w:rsid w:val="3DD8220A"/>
    <w:rsid w:val="3DE500C0"/>
    <w:rsid w:val="3E13550C"/>
    <w:rsid w:val="3E2A63D1"/>
    <w:rsid w:val="3E552E87"/>
    <w:rsid w:val="3E633B29"/>
    <w:rsid w:val="3EA326B9"/>
    <w:rsid w:val="3EA870B3"/>
    <w:rsid w:val="3EB42221"/>
    <w:rsid w:val="3EBA1C08"/>
    <w:rsid w:val="3EC24028"/>
    <w:rsid w:val="3EC527A9"/>
    <w:rsid w:val="3EF46878"/>
    <w:rsid w:val="3EFA13D1"/>
    <w:rsid w:val="3F170723"/>
    <w:rsid w:val="3F207E48"/>
    <w:rsid w:val="3F253210"/>
    <w:rsid w:val="3F31757D"/>
    <w:rsid w:val="3F376864"/>
    <w:rsid w:val="3F3917D6"/>
    <w:rsid w:val="3F3C571F"/>
    <w:rsid w:val="3F4052BF"/>
    <w:rsid w:val="3F416441"/>
    <w:rsid w:val="3F45063D"/>
    <w:rsid w:val="3F6A65CB"/>
    <w:rsid w:val="3FB96C66"/>
    <w:rsid w:val="3FFF040F"/>
    <w:rsid w:val="4011322A"/>
    <w:rsid w:val="403607C0"/>
    <w:rsid w:val="404A04EC"/>
    <w:rsid w:val="4051555F"/>
    <w:rsid w:val="40540B26"/>
    <w:rsid w:val="405B3A44"/>
    <w:rsid w:val="40660123"/>
    <w:rsid w:val="406E0BB4"/>
    <w:rsid w:val="40DA02FE"/>
    <w:rsid w:val="40F960C2"/>
    <w:rsid w:val="41077CC7"/>
    <w:rsid w:val="4132194D"/>
    <w:rsid w:val="413C5641"/>
    <w:rsid w:val="41400B81"/>
    <w:rsid w:val="41504EE5"/>
    <w:rsid w:val="41516112"/>
    <w:rsid w:val="4152522A"/>
    <w:rsid w:val="41550A4A"/>
    <w:rsid w:val="41A44D32"/>
    <w:rsid w:val="41C2594C"/>
    <w:rsid w:val="41CF57ED"/>
    <w:rsid w:val="41F15D28"/>
    <w:rsid w:val="41F639AF"/>
    <w:rsid w:val="41FA72C7"/>
    <w:rsid w:val="42237AE7"/>
    <w:rsid w:val="4286790A"/>
    <w:rsid w:val="42936589"/>
    <w:rsid w:val="429D1212"/>
    <w:rsid w:val="42A05CE8"/>
    <w:rsid w:val="42BD2ADD"/>
    <w:rsid w:val="42EA4C25"/>
    <w:rsid w:val="43017EA1"/>
    <w:rsid w:val="43036EDB"/>
    <w:rsid w:val="432F1139"/>
    <w:rsid w:val="43332C57"/>
    <w:rsid w:val="43634ACC"/>
    <w:rsid w:val="438015C4"/>
    <w:rsid w:val="438A68F2"/>
    <w:rsid w:val="438B4A2B"/>
    <w:rsid w:val="43AA3FA5"/>
    <w:rsid w:val="43BB7449"/>
    <w:rsid w:val="43CA1E2B"/>
    <w:rsid w:val="43F86E9E"/>
    <w:rsid w:val="43FC7871"/>
    <w:rsid w:val="440E7A6A"/>
    <w:rsid w:val="441F3445"/>
    <w:rsid w:val="44A52D54"/>
    <w:rsid w:val="44B54DEC"/>
    <w:rsid w:val="44C71A3D"/>
    <w:rsid w:val="44E64495"/>
    <w:rsid w:val="44EB5879"/>
    <w:rsid w:val="44F70F51"/>
    <w:rsid w:val="44FB3B0A"/>
    <w:rsid w:val="4513411B"/>
    <w:rsid w:val="451C72AE"/>
    <w:rsid w:val="452753FD"/>
    <w:rsid w:val="45332281"/>
    <w:rsid w:val="4536245C"/>
    <w:rsid w:val="454B0D26"/>
    <w:rsid w:val="456A13F8"/>
    <w:rsid w:val="457161B5"/>
    <w:rsid w:val="45802D6A"/>
    <w:rsid w:val="45C331DC"/>
    <w:rsid w:val="45CD6FE9"/>
    <w:rsid w:val="45F937D7"/>
    <w:rsid w:val="45FE619F"/>
    <w:rsid w:val="463A0A34"/>
    <w:rsid w:val="464B5637"/>
    <w:rsid w:val="46510A38"/>
    <w:rsid w:val="46981A9B"/>
    <w:rsid w:val="46B80E17"/>
    <w:rsid w:val="46B82D45"/>
    <w:rsid w:val="46C638D5"/>
    <w:rsid w:val="46C77466"/>
    <w:rsid w:val="46F0291B"/>
    <w:rsid w:val="470A1A36"/>
    <w:rsid w:val="472A4804"/>
    <w:rsid w:val="47383727"/>
    <w:rsid w:val="47460D2B"/>
    <w:rsid w:val="474652A7"/>
    <w:rsid w:val="474B0E66"/>
    <w:rsid w:val="47841462"/>
    <w:rsid w:val="47880165"/>
    <w:rsid w:val="4794270A"/>
    <w:rsid w:val="47C52749"/>
    <w:rsid w:val="47E870AA"/>
    <w:rsid w:val="47E97617"/>
    <w:rsid w:val="47ED6979"/>
    <w:rsid w:val="48132C9E"/>
    <w:rsid w:val="481852A4"/>
    <w:rsid w:val="4826035A"/>
    <w:rsid w:val="48342B77"/>
    <w:rsid w:val="483807E7"/>
    <w:rsid w:val="483C7D15"/>
    <w:rsid w:val="484641E3"/>
    <w:rsid w:val="485767B2"/>
    <w:rsid w:val="487669CE"/>
    <w:rsid w:val="487D66B7"/>
    <w:rsid w:val="489F51AB"/>
    <w:rsid w:val="48AE50B1"/>
    <w:rsid w:val="48D95FB6"/>
    <w:rsid w:val="48EE6DEF"/>
    <w:rsid w:val="48F45098"/>
    <w:rsid w:val="48FE032C"/>
    <w:rsid w:val="492563CF"/>
    <w:rsid w:val="498C53B3"/>
    <w:rsid w:val="49AB39F2"/>
    <w:rsid w:val="49FC2A97"/>
    <w:rsid w:val="49FF75AD"/>
    <w:rsid w:val="4A184C95"/>
    <w:rsid w:val="4A6307F3"/>
    <w:rsid w:val="4A6C1882"/>
    <w:rsid w:val="4A8F4183"/>
    <w:rsid w:val="4AAE7A1D"/>
    <w:rsid w:val="4AB85A8A"/>
    <w:rsid w:val="4ACE5883"/>
    <w:rsid w:val="4AF0020A"/>
    <w:rsid w:val="4AF37BEB"/>
    <w:rsid w:val="4B070BAC"/>
    <w:rsid w:val="4B353E44"/>
    <w:rsid w:val="4B3D031D"/>
    <w:rsid w:val="4B4D346F"/>
    <w:rsid w:val="4B686C5F"/>
    <w:rsid w:val="4B694C21"/>
    <w:rsid w:val="4BBE0011"/>
    <w:rsid w:val="4BD04E73"/>
    <w:rsid w:val="4BD33DF2"/>
    <w:rsid w:val="4BF711EB"/>
    <w:rsid w:val="4BFB1AC9"/>
    <w:rsid w:val="4C211051"/>
    <w:rsid w:val="4C283254"/>
    <w:rsid w:val="4C2D3BD6"/>
    <w:rsid w:val="4C3228B2"/>
    <w:rsid w:val="4C3A25EE"/>
    <w:rsid w:val="4C4006B7"/>
    <w:rsid w:val="4C4F3B28"/>
    <w:rsid w:val="4C6838A7"/>
    <w:rsid w:val="4C6D6D1C"/>
    <w:rsid w:val="4CA37D04"/>
    <w:rsid w:val="4CB3172E"/>
    <w:rsid w:val="4CB43B5E"/>
    <w:rsid w:val="4CBB582D"/>
    <w:rsid w:val="4CBF5D24"/>
    <w:rsid w:val="4CC87A69"/>
    <w:rsid w:val="4CF907A7"/>
    <w:rsid w:val="4CF927D7"/>
    <w:rsid w:val="4D0E01B0"/>
    <w:rsid w:val="4D204C34"/>
    <w:rsid w:val="4D416B5A"/>
    <w:rsid w:val="4D592CF4"/>
    <w:rsid w:val="4D5F6D05"/>
    <w:rsid w:val="4D654D0F"/>
    <w:rsid w:val="4D6A39E3"/>
    <w:rsid w:val="4D8763A3"/>
    <w:rsid w:val="4DC17B00"/>
    <w:rsid w:val="4DD35B7A"/>
    <w:rsid w:val="4DD734A8"/>
    <w:rsid w:val="4E262945"/>
    <w:rsid w:val="4E3032E3"/>
    <w:rsid w:val="4E6830AB"/>
    <w:rsid w:val="4E811B53"/>
    <w:rsid w:val="4E8237D2"/>
    <w:rsid w:val="4EA545E1"/>
    <w:rsid w:val="4EAA5004"/>
    <w:rsid w:val="4EBC732B"/>
    <w:rsid w:val="4EC44733"/>
    <w:rsid w:val="4ED4035B"/>
    <w:rsid w:val="4EE22CC7"/>
    <w:rsid w:val="4F037899"/>
    <w:rsid w:val="4F042D4C"/>
    <w:rsid w:val="4F1B6090"/>
    <w:rsid w:val="4F3469F3"/>
    <w:rsid w:val="4F3806D7"/>
    <w:rsid w:val="4F3D339C"/>
    <w:rsid w:val="4F466D2B"/>
    <w:rsid w:val="4F4F6FDF"/>
    <w:rsid w:val="4F543FFB"/>
    <w:rsid w:val="4F696AFA"/>
    <w:rsid w:val="4FC84C02"/>
    <w:rsid w:val="4FEE2A44"/>
    <w:rsid w:val="4FEF71F9"/>
    <w:rsid w:val="501202F2"/>
    <w:rsid w:val="504B6B69"/>
    <w:rsid w:val="50557E15"/>
    <w:rsid w:val="50917D77"/>
    <w:rsid w:val="50992D33"/>
    <w:rsid w:val="50A23952"/>
    <w:rsid w:val="50AF6EB7"/>
    <w:rsid w:val="50BF6936"/>
    <w:rsid w:val="50E65791"/>
    <w:rsid w:val="50F45A29"/>
    <w:rsid w:val="511049C7"/>
    <w:rsid w:val="51295A4C"/>
    <w:rsid w:val="5165316C"/>
    <w:rsid w:val="516E7962"/>
    <w:rsid w:val="51714F75"/>
    <w:rsid w:val="51A533F6"/>
    <w:rsid w:val="51B569AD"/>
    <w:rsid w:val="51D568A4"/>
    <w:rsid w:val="51E4187C"/>
    <w:rsid w:val="51F95934"/>
    <w:rsid w:val="524A23B7"/>
    <w:rsid w:val="524F2ECD"/>
    <w:rsid w:val="525015BD"/>
    <w:rsid w:val="525D3B4A"/>
    <w:rsid w:val="527965E4"/>
    <w:rsid w:val="527C41BF"/>
    <w:rsid w:val="52DF64C3"/>
    <w:rsid w:val="52F2211C"/>
    <w:rsid w:val="53301E44"/>
    <w:rsid w:val="53386391"/>
    <w:rsid w:val="533B345F"/>
    <w:rsid w:val="534E1E12"/>
    <w:rsid w:val="535372A6"/>
    <w:rsid w:val="536D7C0A"/>
    <w:rsid w:val="53835579"/>
    <w:rsid w:val="53D04BCC"/>
    <w:rsid w:val="53DD6EF6"/>
    <w:rsid w:val="53E6064C"/>
    <w:rsid w:val="53EF2554"/>
    <w:rsid w:val="540812DF"/>
    <w:rsid w:val="540D3A6F"/>
    <w:rsid w:val="541B187C"/>
    <w:rsid w:val="5479271D"/>
    <w:rsid w:val="54820734"/>
    <w:rsid w:val="54901AF5"/>
    <w:rsid w:val="54A33186"/>
    <w:rsid w:val="54C765E1"/>
    <w:rsid w:val="54CA72EA"/>
    <w:rsid w:val="54E94D68"/>
    <w:rsid w:val="553811EA"/>
    <w:rsid w:val="55415D6E"/>
    <w:rsid w:val="554E3311"/>
    <w:rsid w:val="55623017"/>
    <w:rsid w:val="55666D6E"/>
    <w:rsid w:val="5592275E"/>
    <w:rsid w:val="55947815"/>
    <w:rsid w:val="55BD0B7D"/>
    <w:rsid w:val="55F138CF"/>
    <w:rsid w:val="55F46F77"/>
    <w:rsid w:val="561A1ACF"/>
    <w:rsid w:val="56405FBC"/>
    <w:rsid w:val="56460398"/>
    <w:rsid w:val="56494F2E"/>
    <w:rsid w:val="56575425"/>
    <w:rsid w:val="5658759A"/>
    <w:rsid w:val="566070CA"/>
    <w:rsid w:val="56662B4B"/>
    <w:rsid w:val="56B9355A"/>
    <w:rsid w:val="56BC4C71"/>
    <w:rsid w:val="57083367"/>
    <w:rsid w:val="57242DC3"/>
    <w:rsid w:val="574249AC"/>
    <w:rsid w:val="57806298"/>
    <w:rsid w:val="57A93F00"/>
    <w:rsid w:val="57DF4677"/>
    <w:rsid w:val="57E440E6"/>
    <w:rsid w:val="5809548F"/>
    <w:rsid w:val="5822788E"/>
    <w:rsid w:val="582329F8"/>
    <w:rsid w:val="582D26E5"/>
    <w:rsid w:val="582F589D"/>
    <w:rsid w:val="58625F0C"/>
    <w:rsid w:val="586D697D"/>
    <w:rsid w:val="586E0173"/>
    <w:rsid w:val="58803566"/>
    <w:rsid w:val="588A3CF4"/>
    <w:rsid w:val="589A6E1C"/>
    <w:rsid w:val="58A550DC"/>
    <w:rsid w:val="58AC4645"/>
    <w:rsid w:val="58AD06FA"/>
    <w:rsid w:val="58B059F9"/>
    <w:rsid w:val="58BD28DE"/>
    <w:rsid w:val="58C63661"/>
    <w:rsid w:val="58C75A48"/>
    <w:rsid w:val="58D04373"/>
    <w:rsid w:val="58D22C73"/>
    <w:rsid w:val="58D5220A"/>
    <w:rsid w:val="58D76B87"/>
    <w:rsid w:val="58FD7D40"/>
    <w:rsid w:val="59183146"/>
    <w:rsid w:val="592477B9"/>
    <w:rsid w:val="596F425D"/>
    <w:rsid w:val="5977224D"/>
    <w:rsid w:val="598840E7"/>
    <w:rsid w:val="59AB0DF2"/>
    <w:rsid w:val="59AE28ED"/>
    <w:rsid w:val="59E25B75"/>
    <w:rsid w:val="59F0476D"/>
    <w:rsid w:val="5A2415BF"/>
    <w:rsid w:val="5A2D725F"/>
    <w:rsid w:val="5A4B6358"/>
    <w:rsid w:val="5A55383A"/>
    <w:rsid w:val="5A6728F7"/>
    <w:rsid w:val="5A842632"/>
    <w:rsid w:val="5AA96D46"/>
    <w:rsid w:val="5AC40CA0"/>
    <w:rsid w:val="5AC55F97"/>
    <w:rsid w:val="5ACA5E57"/>
    <w:rsid w:val="5AD00C42"/>
    <w:rsid w:val="5AE13258"/>
    <w:rsid w:val="5AEF704B"/>
    <w:rsid w:val="5AF4677B"/>
    <w:rsid w:val="5B1451A3"/>
    <w:rsid w:val="5B3F558C"/>
    <w:rsid w:val="5B654D5B"/>
    <w:rsid w:val="5B6C7F08"/>
    <w:rsid w:val="5B6D7C81"/>
    <w:rsid w:val="5B93237A"/>
    <w:rsid w:val="5BC278A6"/>
    <w:rsid w:val="5BF94B1A"/>
    <w:rsid w:val="5BF96B12"/>
    <w:rsid w:val="5BFD736A"/>
    <w:rsid w:val="5C4569A4"/>
    <w:rsid w:val="5C571A74"/>
    <w:rsid w:val="5C6A6DAC"/>
    <w:rsid w:val="5C9D038B"/>
    <w:rsid w:val="5CB156CF"/>
    <w:rsid w:val="5CC126AB"/>
    <w:rsid w:val="5CC27009"/>
    <w:rsid w:val="5CC75643"/>
    <w:rsid w:val="5CD204BA"/>
    <w:rsid w:val="5CFC1629"/>
    <w:rsid w:val="5CFD580A"/>
    <w:rsid w:val="5D405942"/>
    <w:rsid w:val="5D441EDD"/>
    <w:rsid w:val="5D5B4F1E"/>
    <w:rsid w:val="5D7D5097"/>
    <w:rsid w:val="5D8B0E83"/>
    <w:rsid w:val="5D8F7640"/>
    <w:rsid w:val="5DBB273F"/>
    <w:rsid w:val="5DD16434"/>
    <w:rsid w:val="5DF115A9"/>
    <w:rsid w:val="5E0C7EBE"/>
    <w:rsid w:val="5E150370"/>
    <w:rsid w:val="5E1A7EAA"/>
    <w:rsid w:val="5E2C09E9"/>
    <w:rsid w:val="5E342028"/>
    <w:rsid w:val="5E3D4A1F"/>
    <w:rsid w:val="5E7E422D"/>
    <w:rsid w:val="5E806114"/>
    <w:rsid w:val="5E8769F3"/>
    <w:rsid w:val="5E924ADC"/>
    <w:rsid w:val="5E975541"/>
    <w:rsid w:val="5E9C5517"/>
    <w:rsid w:val="5EBD5B2B"/>
    <w:rsid w:val="5EBF2D30"/>
    <w:rsid w:val="5ECF6C27"/>
    <w:rsid w:val="5F077326"/>
    <w:rsid w:val="5F095BB7"/>
    <w:rsid w:val="5F164E19"/>
    <w:rsid w:val="5F167CC2"/>
    <w:rsid w:val="5F3E4CEE"/>
    <w:rsid w:val="5F4426AB"/>
    <w:rsid w:val="5F682BED"/>
    <w:rsid w:val="5F9F5E32"/>
    <w:rsid w:val="5FFC2950"/>
    <w:rsid w:val="60112A21"/>
    <w:rsid w:val="60124C50"/>
    <w:rsid w:val="60292D4B"/>
    <w:rsid w:val="603310C1"/>
    <w:rsid w:val="60407F55"/>
    <w:rsid w:val="607C3B07"/>
    <w:rsid w:val="60960603"/>
    <w:rsid w:val="60A62677"/>
    <w:rsid w:val="60C464AA"/>
    <w:rsid w:val="610A200F"/>
    <w:rsid w:val="611436C0"/>
    <w:rsid w:val="612F455F"/>
    <w:rsid w:val="61394BD5"/>
    <w:rsid w:val="613D7B67"/>
    <w:rsid w:val="61552376"/>
    <w:rsid w:val="615711DD"/>
    <w:rsid w:val="61573571"/>
    <w:rsid w:val="615C5510"/>
    <w:rsid w:val="6177471C"/>
    <w:rsid w:val="6179674C"/>
    <w:rsid w:val="61873285"/>
    <w:rsid w:val="61873305"/>
    <w:rsid w:val="61A003CB"/>
    <w:rsid w:val="61A57A4B"/>
    <w:rsid w:val="61AC18AD"/>
    <w:rsid w:val="61B60340"/>
    <w:rsid w:val="61CC0794"/>
    <w:rsid w:val="61F7116C"/>
    <w:rsid w:val="620311EE"/>
    <w:rsid w:val="623C5C91"/>
    <w:rsid w:val="623F25B5"/>
    <w:rsid w:val="6248711B"/>
    <w:rsid w:val="624C6809"/>
    <w:rsid w:val="62595A92"/>
    <w:rsid w:val="62776F87"/>
    <w:rsid w:val="62AA0BAC"/>
    <w:rsid w:val="62AB21F2"/>
    <w:rsid w:val="62D1249C"/>
    <w:rsid w:val="62E4229C"/>
    <w:rsid w:val="62E55018"/>
    <w:rsid w:val="62EC183D"/>
    <w:rsid w:val="62ED0EB8"/>
    <w:rsid w:val="62F3625E"/>
    <w:rsid w:val="63011847"/>
    <w:rsid w:val="63040874"/>
    <w:rsid w:val="630D542C"/>
    <w:rsid w:val="630D6933"/>
    <w:rsid w:val="63203943"/>
    <w:rsid w:val="632E6BEA"/>
    <w:rsid w:val="633D5AF8"/>
    <w:rsid w:val="634165FF"/>
    <w:rsid w:val="63591026"/>
    <w:rsid w:val="635A421E"/>
    <w:rsid w:val="636B7316"/>
    <w:rsid w:val="63AA0850"/>
    <w:rsid w:val="63B17DDC"/>
    <w:rsid w:val="63B65C4B"/>
    <w:rsid w:val="63CA1A2B"/>
    <w:rsid w:val="63D200DF"/>
    <w:rsid w:val="63F66932"/>
    <w:rsid w:val="640814AB"/>
    <w:rsid w:val="6419701E"/>
    <w:rsid w:val="64257FE6"/>
    <w:rsid w:val="642A7ACD"/>
    <w:rsid w:val="64782029"/>
    <w:rsid w:val="64A67D3B"/>
    <w:rsid w:val="64C97C90"/>
    <w:rsid w:val="64E07185"/>
    <w:rsid w:val="65482A39"/>
    <w:rsid w:val="654A07C3"/>
    <w:rsid w:val="657C7C9C"/>
    <w:rsid w:val="659957EF"/>
    <w:rsid w:val="659D634F"/>
    <w:rsid w:val="659E1D09"/>
    <w:rsid w:val="65AD7EC3"/>
    <w:rsid w:val="65C51E86"/>
    <w:rsid w:val="65CE180F"/>
    <w:rsid w:val="65D128D6"/>
    <w:rsid w:val="65FC54C0"/>
    <w:rsid w:val="6604204D"/>
    <w:rsid w:val="661160C3"/>
    <w:rsid w:val="661A7DD9"/>
    <w:rsid w:val="66401471"/>
    <w:rsid w:val="664D33BD"/>
    <w:rsid w:val="6651356B"/>
    <w:rsid w:val="66526F43"/>
    <w:rsid w:val="6678603E"/>
    <w:rsid w:val="668159DD"/>
    <w:rsid w:val="66A305D5"/>
    <w:rsid w:val="66A3558D"/>
    <w:rsid w:val="66EC0A64"/>
    <w:rsid w:val="6712113A"/>
    <w:rsid w:val="672933A5"/>
    <w:rsid w:val="673460C8"/>
    <w:rsid w:val="67482A9A"/>
    <w:rsid w:val="674B6C02"/>
    <w:rsid w:val="6761733C"/>
    <w:rsid w:val="676864CD"/>
    <w:rsid w:val="677E77FD"/>
    <w:rsid w:val="67833810"/>
    <w:rsid w:val="679F5BBC"/>
    <w:rsid w:val="67AF2B5C"/>
    <w:rsid w:val="67B746E8"/>
    <w:rsid w:val="67DC3CDE"/>
    <w:rsid w:val="681F54F9"/>
    <w:rsid w:val="682263CB"/>
    <w:rsid w:val="683E5C68"/>
    <w:rsid w:val="684915B9"/>
    <w:rsid w:val="689D72CE"/>
    <w:rsid w:val="68A24D72"/>
    <w:rsid w:val="68AA315D"/>
    <w:rsid w:val="68BB50FE"/>
    <w:rsid w:val="68D142A6"/>
    <w:rsid w:val="68D36FD6"/>
    <w:rsid w:val="68DB3760"/>
    <w:rsid w:val="6901118E"/>
    <w:rsid w:val="69085B3F"/>
    <w:rsid w:val="693A043C"/>
    <w:rsid w:val="693C10B1"/>
    <w:rsid w:val="694B3A1B"/>
    <w:rsid w:val="69666A10"/>
    <w:rsid w:val="6996349F"/>
    <w:rsid w:val="69A2440C"/>
    <w:rsid w:val="69AB22ED"/>
    <w:rsid w:val="69AD4DE1"/>
    <w:rsid w:val="69E462C5"/>
    <w:rsid w:val="6A0C1AF0"/>
    <w:rsid w:val="6A152F5D"/>
    <w:rsid w:val="6A1B2C0F"/>
    <w:rsid w:val="6A21294F"/>
    <w:rsid w:val="6A286F66"/>
    <w:rsid w:val="6A3B2A9E"/>
    <w:rsid w:val="6A491A1D"/>
    <w:rsid w:val="6A5555EE"/>
    <w:rsid w:val="6A5D5E5C"/>
    <w:rsid w:val="6A943494"/>
    <w:rsid w:val="6AA8457F"/>
    <w:rsid w:val="6AA85348"/>
    <w:rsid w:val="6AC21987"/>
    <w:rsid w:val="6AC4161F"/>
    <w:rsid w:val="6AD6008A"/>
    <w:rsid w:val="6AF762D4"/>
    <w:rsid w:val="6B0F2CC5"/>
    <w:rsid w:val="6B2A1810"/>
    <w:rsid w:val="6B2A38E4"/>
    <w:rsid w:val="6B2C25AA"/>
    <w:rsid w:val="6B432F8A"/>
    <w:rsid w:val="6B765F54"/>
    <w:rsid w:val="6BA915BA"/>
    <w:rsid w:val="6BB62758"/>
    <w:rsid w:val="6BC6706D"/>
    <w:rsid w:val="6C043D72"/>
    <w:rsid w:val="6C0F1D15"/>
    <w:rsid w:val="6C2B57A3"/>
    <w:rsid w:val="6C6D2153"/>
    <w:rsid w:val="6C7D4E22"/>
    <w:rsid w:val="6C8611EA"/>
    <w:rsid w:val="6C9033CD"/>
    <w:rsid w:val="6CB440B2"/>
    <w:rsid w:val="6CBC2D03"/>
    <w:rsid w:val="6CDA76E7"/>
    <w:rsid w:val="6CE046E2"/>
    <w:rsid w:val="6D040631"/>
    <w:rsid w:val="6D04116D"/>
    <w:rsid w:val="6D1E5372"/>
    <w:rsid w:val="6D267FE2"/>
    <w:rsid w:val="6D2738CE"/>
    <w:rsid w:val="6D274DD2"/>
    <w:rsid w:val="6D34722A"/>
    <w:rsid w:val="6D3870AD"/>
    <w:rsid w:val="6D620367"/>
    <w:rsid w:val="6D9F43B9"/>
    <w:rsid w:val="6DA53050"/>
    <w:rsid w:val="6DBD54EB"/>
    <w:rsid w:val="6DD44239"/>
    <w:rsid w:val="6DDF7C67"/>
    <w:rsid w:val="6DE15A50"/>
    <w:rsid w:val="6DF62671"/>
    <w:rsid w:val="6E036E0D"/>
    <w:rsid w:val="6E085D50"/>
    <w:rsid w:val="6E0E4C6A"/>
    <w:rsid w:val="6E1F4585"/>
    <w:rsid w:val="6E5E3003"/>
    <w:rsid w:val="6E6A59F3"/>
    <w:rsid w:val="6E7D0A7D"/>
    <w:rsid w:val="6EA227EA"/>
    <w:rsid w:val="6EBB6F47"/>
    <w:rsid w:val="6ED556FE"/>
    <w:rsid w:val="6F227EBD"/>
    <w:rsid w:val="6F2F0685"/>
    <w:rsid w:val="6F337072"/>
    <w:rsid w:val="6F46589C"/>
    <w:rsid w:val="6F755D12"/>
    <w:rsid w:val="6F9A7D73"/>
    <w:rsid w:val="6FCF1A0A"/>
    <w:rsid w:val="700C3D26"/>
    <w:rsid w:val="702C614E"/>
    <w:rsid w:val="704C69FC"/>
    <w:rsid w:val="70932A48"/>
    <w:rsid w:val="70982403"/>
    <w:rsid w:val="709D5435"/>
    <w:rsid w:val="70AB7049"/>
    <w:rsid w:val="70B37F71"/>
    <w:rsid w:val="70C86421"/>
    <w:rsid w:val="70E9167B"/>
    <w:rsid w:val="711C1FED"/>
    <w:rsid w:val="715D266E"/>
    <w:rsid w:val="71785ABD"/>
    <w:rsid w:val="71857328"/>
    <w:rsid w:val="71B07818"/>
    <w:rsid w:val="71C62AE8"/>
    <w:rsid w:val="71E92642"/>
    <w:rsid w:val="71F4261F"/>
    <w:rsid w:val="722307E5"/>
    <w:rsid w:val="725C2A40"/>
    <w:rsid w:val="727B6899"/>
    <w:rsid w:val="72AD72A4"/>
    <w:rsid w:val="72BB1748"/>
    <w:rsid w:val="72C17112"/>
    <w:rsid w:val="72FF24CB"/>
    <w:rsid w:val="73040083"/>
    <w:rsid w:val="73481359"/>
    <w:rsid w:val="734A6525"/>
    <w:rsid w:val="73546671"/>
    <w:rsid w:val="735A636B"/>
    <w:rsid w:val="738F3F57"/>
    <w:rsid w:val="73934A1F"/>
    <w:rsid w:val="73A02464"/>
    <w:rsid w:val="73BA69E2"/>
    <w:rsid w:val="73BE6174"/>
    <w:rsid w:val="73BF01D2"/>
    <w:rsid w:val="73C470CC"/>
    <w:rsid w:val="73FA17AF"/>
    <w:rsid w:val="73FE0BF7"/>
    <w:rsid w:val="740A20CE"/>
    <w:rsid w:val="74415023"/>
    <w:rsid w:val="74457313"/>
    <w:rsid w:val="74510192"/>
    <w:rsid w:val="745B3A55"/>
    <w:rsid w:val="74621790"/>
    <w:rsid w:val="74753403"/>
    <w:rsid w:val="748656B2"/>
    <w:rsid w:val="7493557D"/>
    <w:rsid w:val="74BF67A8"/>
    <w:rsid w:val="74D86FB7"/>
    <w:rsid w:val="74E52B78"/>
    <w:rsid w:val="74F0131C"/>
    <w:rsid w:val="74F87733"/>
    <w:rsid w:val="75115393"/>
    <w:rsid w:val="75582652"/>
    <w:rsid w:val="7565667B"/>
    <w:rsid w:val="756D71A8"/>
    <w:rsid w:val="75785DAA"/>
    <w:rsid w:val="75904DCE"/>
    <w:rsid w:val="75A474BF"/>
    <w:rsid w:val="75E169D9"/>
    <w:rsid w:val="75FC185D"/>
    <w:rsid w:val="76174281"/>
    <w:rsid w:val="76225DA0"/>
    <w:rsid w:val="765536CD"/>
    <w:rsid w:val="76583C05"/>
    <w:rsid w:val="76782D71"/>
    <w:rsid w:val="76E8537C"/>
    <w:rsid w:val="76FE73D7"/>
    <w:rsid w:val="770A3242"/>
    <w:rsid w:val="772E4D45"/>
    <w:rsid w:val="77590C5C"/>
    <w:rsid w:val="7766520C"/>
    <w:rsid w:val="77851882"/>
    <w:rsid w:val="77A06791"/>
    <w:rsid w:val="77A5619C"/>
    <w:rsid w:val="77C62289"/>
    <w:rsid w:val="77DB28BF"/>
    <w:rsid w:val="77F628D9"/>
    <w:rsid w:val="77F929F7"/>
    <w:rsid w:val="77FD20F9"/>
    <w:rsid w:val="780131BF"/>
    <w:rsid w:val="780F3611"/>
    <w:rsid w:val="781547CD"/>
    <w:rsid w:val="78387EA9"/>
    <w:rsid w:val="787B0961"/>
    <w:rsid w:val="787B1C2E"/>
    <w:rsid w:val="789B77BD"/>
    <w:rsid w:val="789D4DF4"/>
    <w:rsid w:val="78AB0A3F"/>
    <w:rsid w:val="78BC2107"/>
    <w:rsid w:val="78C42C50"/>
    <w:rsid w:val="78C65D8E"/>
    <w:rsid w:val="78F2288B"/>
    <w:rsid w:val="78FB4EBC"/>
    <w:rsid w:val="790D4041"/>
    <w:rsid w:val="791351F0"/>
    <w:rsid w:val="792C1D98"/>
    <w:rsid w:val="792E0DA5"/>
    <w:rsid w:val="79381886"/>
    <w:rsid w:val="794B0660"/>
    <w:rsid w:val="794D4547"/>
    <w:rsid w:val="795C33BE"/>
    <w:rsid w:val="79683F8F"/>
    <w:rsid w:val="79A40804"/>
    <w:rsid w:val="79A42111"/>
    <w:rsid w:val="79B96E91"/>
    <w:rsid w:val="79C67E8C"/>
    <w:rsid w:val="79E81D57"/>
    <w:rsid w:val="79EE3A2B"/>
    <w:rsid w:val="79EF20A7"/>
    <w:rsid w:val="79F156F9"/>
    <w:rsid w:val="79FA7080"/>
    <w:rsid w:val="7A0C0CD5"/>
    <w:rsid w:val="7A14416D"/>
    <w:rsid w:val="7A3250DE"/>
    <w:rsid w:val="7A476BDD"/>
    <w:rsid w:val="7A4B23CE"/>
    <w:rsid w:val="7A4D247D"/>
    <w:rsid w:val="7A65781D"/>
    <w:rsid w:val="7A6B785D"/>
    <w:rsid w:val="7A8F2C9F"/>
    <w:rsid w:val="7A911451"/>
    <w:rsid w:val="7AA2473D"/>
    <w:rsid w:val="7AB841B5"/>
    <w:rsid w:val="7AC33974"/>
    <w:rsid w:val="7ACE5C60"/>
    <w:rsid w:val="7AD74F76"/>
    <w:rsid w:val="7B047ABD"/>
    <w:rsid w:val="7B5B2A45"/>
    <w:rsid w:val="7B7D01F4"/>
    <w:rsid w:val="7B830929"/>
    <w:rsid w:val="7BA232D6"/>
    <w:rsid w:val="7BA257E6"/>
    <w:rsid w:val="7BA63A4F"/>
    <w:rsid w:val="7BC213FE"/>
    <w:rsid w:val="7BF41E15"/>
    <w:rsid w:val="7C26526E"/>
    <w:rsid w:val="7C7610CA"/>
    <w:rsid w:val="7C7C1C28"/>
    <w:rsid w:val="7C8E6638"/>
    <w:rsid w:val="7CA036D8"/>
    <w:rsid w:val="7CA06998"/>
    <w:rsid w:val="7CD04988"/>
    <w:rsid w:val="7CD37787"/>
    <w:rsid w:val="7CEE0B53"/>
    <w:rsid w:val="7CFA583E"/>
    <w:rsid w:val="7D117284"/>
    <w:rsid w:val="7D184410"/>
    <w:rsid w:val="7D516406"/>
    <w:rsid w:val="7D5F10A0"/>
    <w:rsid w:val="7D9D0EE8"/>
    <w:rsid w:val="7D9E3A61"/>
    <w:rsid w:val="7DA52167"/>
    <w:rsid w:val="7DAF3CA6"/>
    <w:rsid w:val="7DCE783A"/>
    <w:rsid w:val="7DE2231D"/>
    <w:rsid w:val="7DE267CD"/>
    <w:rsid w:val="7DEC0883"/>
    <w:rsid w:val="7E005D4F"/>
    <w:rsid w:val="7E040796"/>
    <w:rsid w:val="7E051A96"/>
    <w:rsid w:val="7E1270E2"/>
    <w:rsid w:val="7E2078C2"/>
    <w:rsid w:val="7E236AED"/>
    <w:rsid w:val="7E3C55D9"/>
    <w:rsid w:val="7E4C0F28"/>
    <w:rsid w:val="7E77727D"/>
    <w:rsid w:val="7E791977"/>
    <w:rsid w:val="7E971077"/>
    <w:rsid w:val="7EDC3010"/>
    <w:rsid w:val="7EEC14E3"/>
    <w:rsid w:val="7EEE6405"/>
    <w:rsid w:val="7F0322CC"/>
    <w:rsid w:val="7F3C3C58"/>
    <w:rsid w:val="7F543508"/>
    <w:rsid w:val="7F6723C3"/>
    <w:rsid w:val="7F8C678F"/>
    <w:rsid w:val="7F9419EF"/>
    <w:rsid w:val="7F942883"/>
    <w:rsid w:val="7FB757EB"/>
    <w:rsid w:val="7FC44B63"/>
    <w:rsid w:val="7FF474DA"/>
    <w:rsid w:val="7FFC3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rPr>
      <w:rFonts w:ascii="Calibri" w:hAnsi="Calibri" w:cs="Times New Roman"/>
    </w:rPr>
  </w:style>
  <w:style w:type="paragraph" w:styleId="3">
    <w:name w:val="Body Text Indent"/>
    <w:basedOn w:val="1"/>
    <w:next w:val="4"/>
    <w:qFormat/>
    <w:uiPriority w:val="0"/>
    <w:pPr>
      <w:spacing w:line="600" w:lineRule="exact"/>
      <w:ind w:firstLine="630"/>
    </w:pPr>
    <w:rPr>
      <w:rFonts w:ascii="仿宋_GB2312" w:eastAsia="仿宋_GB2312"/>
      <w:sz w:val="32"/>
    </w:rPr>
  </w:style>
  <w:style w:type="paragraph" w:styleId="4">
    <w:name w:val="Normal Indent"/>
    <w:basedOn w:val="1"/>
    <w:next w:val="1"/>
    <w:qFormat/>
    <w:uiPriority w:val="0"/>
    <w:pPr>
      <w:ind w:firstLine="420" w:firstLineChars="200"/>
    </w:pPr>
    <w:rPr>
      <w:rFonts w:eastAsia="仿宋"/>
      <w:sz w:val="32"/>
    </w:rPr>
  </w:style>
  <w:style w:type="paragraph" w:styleId="5">
    <w:name w:val="Date"/>
    <w:basedOn w:val="1"/>
    <w:next w:val="1"/>
    <w:qFormat/>
    <w:uiPriority w:val="0"/>
    <w:rPr>
      <w:rFonts w:ascii="仿宋_GB2312" w:eastAsia="仿宋_GB2312"/>
      <w:sz w:val="28"/>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5806</Words>
  <Characters>6216</Characters>
  <Lines>0</Lines>
  <Paragraphs>0</Paragraphs>
  <TotalTime>10</TotalTime>
  <ScaleCrop>false</ScaleCrop>
  <LinksUpToDate>false</LinksUpToDate>
  <CharactersWithSpaces>6252</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2022-07-26T01:15:00Z</dcterms:created>
  <dc:creator>Administrator</dc:creator>
  <cp:lastModifiedBy>Administrator</cp:lastModifiedBy>
  <cp:lastPrinted>2024-02-04T02:18:00Z</cp:lastPrinted>
  <dcterms:modified xsi:type="dcterms:W3CDTF">2024-04-25T06:53:28Z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1037DA2BF9294055847B61351D900C27</vt:lpwstr>
  </property>
</Properties>
</file>