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snapToGrid/>
        <w:spacing w:line="560" w:lineRule="exact"/>
        <w:ind w:left="0" w:leftChars="0" w:firstLine="0" w:firstLineChars="0"/>
        <w:jc w:val="left"/>
        <w:textAlignment w:val="auto"/>
        <w:outlineLvl w:val="9"/>
        <w:rPr>
          <w:rFonts w:hint="eastAsia" w:ascii="黑体" w:hAnsi="黑体" w:eastAsia="黑体" w:cs="黑体"/>
          <w:spacing w:val="0"/>
          <w:lang w:val="en-US" w:eastAsia="zh-CN"/>
        </w:rPr>
      </w:pPr>
      <w:r>
        <w:rPr>
          <w:rFonts w:hint="eastAsia" w:ascii="黑体" w:hAnsi="黑体" w:eastAsia="黑体" w:cs="黑体"/>
          <w:spacing w:val="0"/>
          <w:lang w:val="en-US" w:eastAsia="zh-CN"/>
        </w:rPr>
        <w:t>附件</w:t>
      </w:r>
    </w:p>
    <w:p>
      <w:pPr>
        <w:keepNext w:val="0"/>
        <w:keepLines w:val="0"/>
        <w:pageBreakBefore w:val="0"/>
        <w:widowControl w:val="0"/>
        <w:kinsoku/>
        <w:wordWrap/>
        <w:topLinePunct w:val="0"/>
        <w:autoSpaceDE/>
        <w:autoSpaceDN/>
        <w:bidi w:val="0"/>
        <w:adjustRightInd/>
        <w:snapToGrid/>
        <w:spacing w:line="560" w:lineRule="exact"/>
        <w:ind w:firstLine="0" w:firstLineChars="0"/>
        <w:jc w:val="center"/>
        <w:textAlignment w:val="auto"/>
        <w:rPr>
          <w:rFonts w:hint="eastAsia" w:ascii="方正小标宋简体" w:hAnsi="Arial" w:eastAsia="方正小标宋简体" w:cs="Arial"/>
          <w:color w:val="auto"/>
          <w:sz w:val="44"/>
          <w:szCs w:val="21"/>
          <w:shd w:val="clear" w:color="auto" w:fill="FFFFFF"/>
          <w:lang w:eastAsia="zh-CN"/>
        </w:rPr>
      </w:pPr>
      <w:r>
        <w:rPr>
          <w:rFonts w:hint="eastAsia" w:ascii="方正小标宋简体" w:hAnsi="Arial" w:eastAsia="方正小标宋简体" w:cs="Arial"/>
          <w:color w:val="auto"/>
          <w:sz w:val="44"/>
          <w:szCs w:val="21"/>
          <w:shd w:val="clear" w:color="auto" w:fill="FFFFFF"/>
          <w:lang w:eastAsia="zh-CN"/>
        </w:rPr>
        <w:t>关于“</w:t>
      </w:r>
      <w:r>
        <w:rPr>
          <w:rFonts w:hint="eastAsia" w:ascii="方正小标宋简体" w:hAnsi="Arial" w:eastAsia="方正小标宋简体" w:cs="Arial"/>
          <w:color w:val="auto"/>
          <w:sz w:val="44"/>
          <w:szCs w:val="21"/>
          <w:shd w:val="clear" w:color="auto" w:fill="FFFFFF"/>
          <w:lang w:val="en-US" w:eastAsia="zh-CN"/>
        </w:rPr>
        <w:t>5·15</w:t>
      </w:r>
      <w:r>
        <w:rPr>
          <w:rFonts w:hint="eastAsia" w:ascii="方正小标宋简体" w:hAnsi="Arial" w:eastAsia="方正小标宋简体" w:cs="Arial"/>
          <w:color w:val="auto"/>
          <w:sz w:val="44"/>
          <w:szCs w:val="21"/>
          <w:shd w:val="clear" w:color="auto" w:fill="FFFFFF"/>
          <w:lang w:eastAsia="zh-CN"/>
        </w:rPr>
        <w:t>”一般生产安全</w:t>
      </w:r>
    </w:p>
    <w:p>
      <w:pPr>
        <w:keepNext w:val="0"/>
        <w:keepLines w:val="0"/>
        <w:pageBreakBefore w:val="0"/>
        <w:widowControl w:val="0"/>
        <w:kinsoku/>
        <w:wordWrap/>
        <w:topLinePunct w:val="0"/>
        <w:autoSpaceDE/>
        <w:autoSpaceDN/>
        <w:bidi w:val="0"/>
        <w:adjustRightInd/>
        <w:snapToGrid/>
        <w:spacing w:line="560" w:lineRule="exact"/>
        <w:ind w:firstLine="0" w:firstLineChars="0"/>
        <w:jc w:val="center"/>
        <w:textAlignment w:val="auto"/>
        <w:rPr>
          <w:rFonts w:hint="eastAsia" w:ascii="方正小标宋简体" w:hAnsi="Arial" w:eastAsia="方正小标宋简体" w:cs="Arial"/>
          <w:color w:val="auto"/>
          <w:sz w:val="44"/>
          <w:szCs w:val="21"/>
          <w:shd w:val="clear" w:color="auto" w:fill="FFFFFF"/>
        </w:rPr>
      </w:pPr>
      <w:r>
        <w:rPr>
          <w:rFonts w:hint="eastAsia" w:ascii="方正小标宋简体" w:hAnsi="Arial" w:eastAsia="方正小标宋简体" w:cs="Arial"/>
          <w:color w:val="auto"/>
          <w:sz w:val="44"/>
          <w:szCs w:val="21"/>
          <w:shd w:val="clear" w:color="auto" w:fill="FFFFFF"/>
          <w:lang w:eastAsia="zh-CN"/>
        </w:rPr>
        <w:t>责任事故的调查报告</w:t>
      </w:r>
    </w:p>
    <w:p>
      <w:pPr>
        <w:keepNext w:val="0"/>
        <w:keepLines w:val="0"/>
        <w:pageBreakBefore w:val="0"/>
        <w:widowControl w:val="0"/>
        <w:kinsoku/>
        <w:wordWrap/>
        <w:topLinePunct w:val="0"/>
        <w:autoSpaceDE/>
        <w:autoSpaceDN/>
        <w:bidi w:val="0"/>
        <w:adjustRightInd/>
        <w:snapToGrid/>
        <w:spacing w:line="560" w:lineRule="exact"/>
        <w:textAlignment w:val="auto"/>
        <w:rPr>
          <w:color w:val="auto"/>
        </w:rPr>
      </w:pP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ascii="仿宋_GB2312" w:hAnsi="仿宋_GB2312" w:eastAsia="仿宋_GB2312" w:cs="仿宋_GB2312"/>
        </w:rPr>
      </w:pPr>
      <w:r>
        <w:rPr>
          <w:rFonts w:hint="eastAsia" w:ascii="仿宋_GB2312" w:hAnsi="仿宋_GB2312" w:eastAsia="仿宋_GB2312" w:cs="仿宋_GB2312"/>
        </w:rPr>
        <w:t>2024年5月15日7时左右，在崇明区园区南路666号的上</w:t>
      </w:r>
      <w:bookmarkStart w:id="0" w:name="_GoBack"/>
      <w:bookmarkEnd w:id="0"/>
      <w:r>
        <w:rPr>
          <w:rFonts w:hint="eastAsia" w:ascii="仿宋_GB2312" w:hAnsi="仿宋_GB2312" w:eastAsia="仿宋_GB2312" w:cs="仿宋_GB2312"/>
        </w:rPr>
        <w:t>海新弘生态农业有限公司水产养殖基地内，上海明赢果蔬专业合作社临聘人员在操作切鱼机时发生一起机械伤害重伤事故。</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color w:val="auto"/>
          <w:szCs w:val="32"/>
        </w:rPr>
      </w:pPr>
      <w:r>
        <w:rPr>
          <w:rFonts w:hint="eastAsia"/>
          <w:color w:val="auto"/>
          <w:szCs w:val="32"/>
        </w:rPr>
        <w:t>根据《中华人民共和国安全生产法》和《生产安全事故报告和调查处理条例》(国务院令第493号)及《上海市</w:t>
      </w:r>
      <w:r>
        <w:rPr>
          <w:rFonts w:hint="eastAsia"/>
          <w:color w:val="auto"/>
          <w:szCs w:val="32"/>
          <w:lang w:eastAsia="zh-CN"/>
        </w:rPr>
        <w:t>实施</w:t>
      </w:r>
      <w:r>
        <w:rPr>
          <w:rFonts w:hint="eastAsia"/>
          <w:color w:val="auto"/>
          <w:szCs w:val="32"/>
        </w:rPr>
        <w:t>〈生产安全事故报告和调查处理条例〉的若干规定》（沪府规〔2023〕5号）,受上海市崇明区人民政府委托，成立由上海市崇明区应急管理局（以下简称区应急局）牵头，</w:t>
      </w:r>
      <w:r>
        <w:rPr>
          <w:rFonts w:hint="eastAsia"/>
          <w:color w:val="auto"/>
          <w:szCs w:val="32"/>
          <w:lang w:eastAsia="zh-CN"/>
        </w:rPr>
        <w:t>上海市公安局崇明分局</w:t>
      </w:r>
      <w:r>
        <w:rPr>
          <w:rFonts w:hint="eastAsia"/>
          <w:color w:val="auto"/>
          <w:szCs w:val="32"/>
        </w:rPr>
        <w:t>、上海市崇明区总工会、</w:t>
      </w:r>
      <w:r>
        <w:rPr>
          <w:rFonts w:hint="eastAsia"/>
          <w:color w:val="auto"/>
          <w:szCs w:val="32"/>
          <w:lang w:eastAsia="zh-CN"/>
        </w:rPr>
        <w:t>上海市崇明区农业农村委员会</w:t>
      </w:r>
      <w:r>
        <w:rPr>
          <w:rFonts w:hint="eastAsia"/>
          <w:color w:val="auto"/>
          <w:szCs w:val="32"/>
        </w:rPr>
        <w:t>等单位组成的“</w:t>
      </w:r>
      <w:r>
        <w:rPr>
          <w:rFonts w:hint="eastAsia"/>
          <w:color w:val="auto"/>
          <w:szCs w:val="32"/>
          <w:lang w:val="en-US" w:eastAsia="zh-CN"/>
        </w:rPr>
        <w:t>5·15</w:t>
      </w:r>
      <w:r>
        <w:rPr>
          <w:rFonts w:hint="eastAsia"/>
          <w:color w:val="auto"/>
          <w:szCs w:val="32"/>
        </w:rPr>
        <w:t>”事故调查组（以下简称事故调查组），并邀请中共上海市崇明区纪律检查委员会（上海市崇明区监察委员会）监督，开展事故调查工作。现将调查主要情况报告如下：</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ascii="黑体" w:eastAsia="黑体"/>
          <w:b w:val="0"/>
          <w:bCs/>
          <w:color w:val="auto"/>
          <w:szCs w:val="32"/>
          <w:lang w:eastAsia="zh-CN"/>
        </w:rPr>
      </w:pPr>
      <w:r>
        <w:rPr>
          <w:rFonts w:hint="eastAsia" w:ascii="黑体" w:eastAsia="黑体"/>
          <w:b w:val="0"/>
          <w:bCs/>
          <w:color w:val="auto"/>
          <w:szCs w:val="32"/>
          <w:lang w:eastAsia="zh-CN"/>
        </w:rPr>
        <w:t>一、基本情况</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ascii="楷体_GB2312" w:hAnsi="楷体_GB2312" w:eastAsia="楷体_GB2312" w:cs="楷体_GB2312"/>
          <w:b/>
          <w:bCs/>
          <w:color w:val="auto"/>
          <w:szCs w:val="32"/>
          <w:lang w:eastAsia="zh-CN"/>
        </w:rPr>
      </w:pPr>
      <w:r>
        <w:rPr>
          <w:rFonts w:hint="eastAsia" w:ascii="楷体_GB2312" w:hAnsi="楷体_GB2312" w:eastAsia="楷体_GB2312" w:cs="楷体_GB2312"/>
          <w:b/>
          <w:bCs/>
          <w:color w:val="auto"/>
          <w:szCs w:val="32"/>
          <w:lang w:eastAsia="zh-CN"/>
        </w:rPr>
        <w:t>（一）涉事单位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cs="仿宋_GB2312"/>
          <w:b w:val="0"/>
          <w:bCs/>
          <w:color w:val="auto"/>
          <w:szCs w:val="32"/>
          <w:lang w:val="en-US" w:eastAsia="zh-CN"/>
        </w:rPr>
      </w:pPr>
      <w:r>
        <w:rPr>
          <w:rFonts w:hint="eastAsia" w:cs="仿宋_GB2312"/>
          <w:b w:val="0"/>
          <w:bCs/>
          <w:color w:val="auto"/>
          <w:szCs w:val="32"/>
          <w:lang w:val="en-US" w:eastAsia="zh-CN"/>
        </w:rPr>
        <w:t>1.上海明赢果蔬专业合作社（以下简称明赢合作社）；法定代表人：张洪柳</w:t>
      </w:r>
      <w:r>
        <w:rPr>
          <w:rFonts w:hint="eastAsia" w:cs="仿宋_GB2312"/>
          <w:b w:val="0"/>
          <w:bCs/>
          <w:color w:val="auto"/>
          <w:szCs w:val="32"/>
          <w:lang w:eastAsia="zh-CN"/>
        </w:rPr>
        <w:t>；住所：上海市崇明区向化镇向化老街</w:t>
      </w:r>
      <w:r>
        <w:rPr>
          <w:rFonts w:hint="eastAsia" w:cs="仿宋_GB2312"/>
          <w:b w:val="0"/>
          <w:bCs/>
          <w:color w:val="auto"/>
          <w:szCs w:val="32"/>
          <w:lang w:val="en-US" w:eastAsia="zh-CN"/>
        </w:rPr>
        <w:t>180号。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cs="仿宋_GB2312"/>
          <w:b w:val="0"/>
          <w:bCs/>
          <w:color w:val="auto"/>
          <w:szCs w:val="32"/>
          <w:lang w:val="en-US" w:eastAsia="zh-CN"/>
        </w:rPr>
      </w:pPr>
      <w:r>
        <w:rPr>
          <w:rFonts w:hint="eastAsia" w:cs="仿宋_GB2312"/>
          <w:b w:val="0"/>
          <w:bCs/>
          <w:color w:val="auto"/>
          <w:szCs w:val="32"/>
          <w:lang w:val="en-US" w:eastAsia="zh-CN"/>
        </w:rPr>
        <w:t>2.上海新弘生态农业有限公司（以下简称新弘公司）；法定代表人；魏铭材；住所：上海市崇明区陈家镇鸿田村灯塔990号2幢108室。</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both"/>
        <w:textAlignment w:val="auto"/>
        <w:outlineLvl w:val="9"/>
        <w:rPr>
          <w:rFonts w:hint="eastAsia" w:ascii="楷体_GB2312" w:hAnsi="楷体_GB2312" w:eastAsia="楷体_GB2312" w:cs="楷体_GB2312"/>
          <w:b/>
          <w:bCs/>
          <w:color w:val="auto"/>
          <w:szCs w:val="32"/>
          <w:lang w:val="en-US" w:eastAsia="zh-CN"/>
        </w:rPr>
      </w:pPr>
      <w:r>
        <w:rPr>
          <w:rFonts w:hint="eastAsia" w:ascii="楷体_GB2312" w:hAnsi="楷体_GB2312" w:eastAsia="楷体_GB2312" w:cs="楷体_GB2312"/>
          <w:b/>
          <w:bCs/>
          <w:color w:val="auto"/>
          <w:szCs w:val="32"/>
          <w:lang w:val="en-US" w:eastAsia="zh-CN"/>
        </w:rPr>
        <w:t>（二）合同签署</w:t>
      </w:r>
    </w:p>
    <w:p>
      <w:pPr>
        <w:keepNext w:val="0"/>
        <w:keepLines w:val="0"/>
        <w:pageBreakBefore w:val="0"/>
        <w:widowControl w:val="0"/>
        <w:kinsoku/>
        <w:wordWrap/>
        <w:topLinePunct w:val="0"/>
        <w:autoSpaceDE/>
        <w:autoSpaceDN/>
        <w:bidi w:val="0"/>
        <w:adjustRightInd/>
        <w:snapToGrid/>
        <w:spacing w:line="560" w:lineRule="exact"/>
        <w:ind w:firstLine="643"/>
        <w:jc w:val="both"/>
        <w:textAlignment w:val="auto"/>
        <w:rPr>
          <w:rFonts w:hint="eastAsia" w:eastAsia="仿宋_GB2312" w:cs="仿宋_GB2312"/>
          <w:b w:val="0"/>
          <w:bCs w:val="0"/>
          <w:color w:val="auto"/>
          <w:szCs w:val="32"/>
          <w:lang w:val="en-US" w:eastAsia="zh-CN"/>
        </w:rPr>
      </w:pPr>
      <w:r>
        <w:rPr>
          <w:rFonts w:hint="eastAsia" w:cs="仿宋_GB2312"/>
          <w:b w:val="0"/>
          <w:bCs w:val="0"/>
          <w:color w:val="auto"/>
          <w:szCs w:val="32"/>
          <w:lang w:val="en-US" w:eastAsia="zh-CN"/>
        </w:rPr>
        <w:t>2023年12月20日，明赢合作社与新弘公司签订《崇明基地渔业生产合作经营协议》,双方约定对新弘公司所拥有的1235亩鱼塘（崇明区园区南路666号内）采用合作经营的方式共享收益，由明赢合作社负责鱼塘的安全管理工作。</w:t>
      </w:r>
    </w:p>
    <w:p>
      <w:pPr>
        <w:keepNext w:val="0"/>
        <w:keepLines w:val="0"/>
        <w:pageBreakBefore w:val="0"/>
        <w:widowControl w:val="0"/>
        <w:kinsoku/>
        <w:wordWrap/>
        <w:topLinePunct w:val="0"/>
        <w:autoSpaceDE/>
        <w:autoSpaceDN/>
        <w:bidi w:val="0"/>
        <w:adjustRightInd/>
        <w:snapToGrid/>
        <w:spacing w:line="560" w:lineRule="exact"/>
        <w:ind w:firstLine="643"/>
        <w:jc w:val="both"/>
        <w:textAlignment w:val="auto"/>
        <w:rPr>
          <w:rFonts w:ascii="黑体" w:eastAsia="黑体"/>
          <w:b w:val="0"/>
          <w:bCs/>
          <w:color w:val="auto"/>
          <w:szCs w:val="32"/>
        </w:rPr>
      </w:pPr>
      <w:r>
        <w:rPr>
          <w:rFonts w:hint="eastAsia" w:ascii="黑体" w:eastAsia="黑体"/>
          <w:b w:val="0"/>
          <w:bCs/>
          <w:color w:val="auto"/>
          <w:szCs w:val="32"/>
          <w:lang w:eastAsia="zh-CN"/>
        </w:rPr>
        <w:t>二</w:t>
      </w:r>
      <w:r>
        <w:rPr>
          <w:rFonts w:hint="eastAsia" w:ascii="黑体" w:eastAsia="黑体"/>
          <w:b w:val="0"/>
          <w:bCs/>
          <w:color w:val="auto"/>
          <w:szCs w:val="32"/>
        </w:rPr>
        <w:t>、</w:t>
      </w:r>
      <w:r>
        <w:rPr>
          <w:rFonts w:hint="eastAsia" w:ascii="黑体" w:eastAsia="黑体"/>
          <w:b w:val="0"/>
          <w:bCs/>
          <w:color w:val="auto"/>
          <w:szCs w:val="32"/>
          <w:lang w:eastAsia="zh-CN"/>
        </w:rPr>
        <w:t>事故</w:t>
      </w:r>
      <w:r>
        <w:rPr>
          <w:rFonts w:hint="eastAsia" w:ascii="黑体" w:eastAsia="黑体"/>
          <w:b w:val="0"/>
          <w:bCs/>
          <w:color w:val="auto"/>
          <w:szCs w:val="32"/>
        </w:rPr>
        <w:t>经过</w:t>
      </w:r>
    </w:p>
    <w:p>
      <w:pPr>
        <w:keepNext w:val="0"/>
        <w:keepLines w:val="0"/>
        <w:pageBreakBefore w:val="0"/>
        <w:widowControl w:val="0"/>
        <w:kinsoku/>
        <w:wordWrap/>
        <w:overflowPunct w:val="0"/>
        <w:topLinePunct w:val="0"/>
        <w:autoSpaceDE/>
        <w:autoSpaceDN/>
        <w:bidi w:val="0"/>
        <w:adjustRightInd/>
        <w:snapToGrid w:val="0"/>
        <w:spacing w:line="560" w:lineRule="exact"/>
        <w:ind w:firstLine="643"/>
        <w:jc w:val="both"/>
        <w:textAlignment w:val="auto"/>
        <w:outlineLvl w:val="9"/>
        <w:rPr>
          <w:rFonts w:hint="default" w:cs="仿宋_GB2312"/>
          <w:color w:val="auto"/>
          <w:kern w:val="2"/>
          <w:sz w:val="32"/>
          <w:szCs w:val="32"/>
          <w:u w:val="none"/>
          <w:lang w:val="en-US" w:eastAsia="zh-CN" w:bidi="ar-SA"/>
        </w:rPr>
      </w:pPr>
      <w:r>
        <w:rPr>
          <w:rFonts w:hint="eastAsia" w:cs="仿宋_GB2312"/>
          <w:color w:val="auto"/>
          <w:kern w:val="2"/>
          <w:sz w:val="32"/>
          <w:szCs w:val="32"/>
          <w:u w:val="none"/>
          <w:lang w:val="en-US" w:eastAsia="zh-CN" w:bidi="ar-SA"/>
        </w:rPr>
        <w:t>2024年5月15日7时左右，明赢合作社临聘人员贾XX和卢XX（贾XX妻子）在新弘公司螃蟹养殖基地处的切鱼机棚内，使用切鱼机将冻鱼切块制成螃蟹饲料。贾XX将冻鱼全部切块后未关停切鱼机，直接打开切鱼机盖板准备清洗其内部的滚齿刀具。贾XX左手抬起切鱼机盖板将盖板打开至半开状态，右手拿水管冲洗滚齿刀具，冲洗时其左手袖口不慎被运行的滚齿刀具勾住连带其左臂一同卷入机器内。7时09分左右，切鱼机棚北侧的杂工杨光伟发现后立即将切鱼机关停并拨打120报警，120到场后将贾XX送至上海市第十人民医院崇明分院救治后又转至上海长海医院救治，经诊断贾XX前躯干皮肤撕脱、开放性腹部损伤、左臂创伤性离断。</w:t>
      </w:r>
    </w:p>
    <w:p>
      <w:pPr>
        <w:keepNext w:val="0"/>
        <w:keepLines w:val="0"/>
        <w:pageBreakBefore w:val="0"/>
        <w:widowControl w:val="0"/>
        <w:kinsoku/>
        <w:wordWrap/>
        <w:overflowPunct w:val="0"/>
        <w:topLinePunct w:val="0"/>
        <w:autoSpaceDE/>
        <w:autoSpaceDN/>
        <w:bidi w:val="0"/>
        <w:adjustRightInd/>
        <w:snapToGrid/>
        <w:spacing w:line="560" w:lineRule="exact"/>
        <w:ind w:firstLine="643"/>
        <w:textAlignment w:val="auto"/>
        <w:outlineLvl w:val="9"/>
        <w:rPr>
          <w:rFonts w:hint="eastAsia" w:ascii="黑体" w:eastAsia="黑体"/>
          <w:b w:val="0"/>
          <w:bCs/>
          <w:color w:val="auto"/>
          <w:szCs w:val="32"/>
          <w:lang w:eastAsia="zh-CN"/>
        </w:rPr>
      </w:pPr>
      <w:r>
        <w:rPr>
          <w:rFonts w:hint="eastAsia" w:ascii="黑体" w:eastAsia="黑体"/>
          <w:b w:val="0"/>
          <w:bCs/>
          <w:color w:val="auto"/>
          <w:szCs w:val="32"/>
        </w:rPr>
        <w:t>三、人员伤亡</w:t>
      </w:r>
      <w:r>
        <w:rPr>
          <w:rFonts w:hint="eastAsia" w:ascii="黑体" w:eastAsia="黑体"/>
          <w:b w:val="0"/>
          <w:bCs/>
          <w:color w:val="auto"/>
          <w:szCs w:val="32"/>
          <w:lang w:eastAsia="zh-CN"/>
        </w:rPr>
        <w:t>情况</w:t>
      </w:r>
    </w:p>
    <w:p>
      <w:pPr>
        <w:keepNext w:val="0"/>
        <w:keepLines w:val="0"/>
        <w:pageBreakBefore w:val="0"/>
        <w:widowControl w:val="0"/>
        <w:kinsoku/>
        <w:wordWrap/>
        <w:overflowPunct w:val="0"/>
        <w:topLinePunct w:val="0"/>
        <w:autoSpaceDE/>
        <w:autoSpaceDN/>
        <w:bidi w:val="0"/>
        <w:adjustRightInd/>
        <w:snapToGrid/>
        <w:spacing w:line="560" w:lineRule="exact"/>
        <w:ind w:firstLine="640"/>
        <w:textAlignment w:val="auto"/>
        <w:outlineLvl w:val="9"/>
        <w:rPr>
          <w:rFonts w:hint="eastAsia" w:ascii="楷体_GB2312" w:hAnsi="楷体_GB2312" w:eastAsia="楷体_GB2312" w:cs="楷体_GB2312"/>
          <w:b/>
          <w:bCs/>
          <w:color w:val="auto"/>
          <w:szCs w:val="32"/>
        </w:rPr>
      </w:pPr>
      <w:r>
        <w:rPr>
          <w:rFonts w:hint="eastAsia" w:ascii="楷体_GB2312" w:hAnsi="楷体_GB2312" w:eastAsia="楷体_GB2312" w:cs="楷体_GB2312"/>
          <w:b/>
          <w:bCs/>
          <w:color w:val="auto"/>
          <w:szCs w:val="32"/>
        </w:rPr>
        <w:t>（一）伤亡情况</w:t>
      </w:r>
    </w:p>
    <w:p>
      <w:pPr>
        <w:keepNext w:val="0"/>
        <w:keepLines w:val="0"/>
        <w:pageBreakBefore w:val="0"/>
        <w:widowControl w:val="0"/>
        <w:kinsoku/>
        <w:wordWrap/>
        <w:overflowPunct w:val="0"/>
        <w:topLinePunct w:val="0"/>
        <w:autoSpaceDE/>
        <w:autoSpaceDN/>
        <w:bidi w:val="0"/>
        <w:adjustRightInd/>
        <w:snapToGrid/>
        <w:spacing w:line="560" w:lineRule="exact"/>
        <w:ind w:firstLine="640"/>
        <w:textAlignment w:val="auto"/>
        <w:outlineLvl w:val="9"/>
        <w:rPr>
          <w:rFonts w:hint="default" w:ascii="仿宋_GB2312" w:hAnsi="仿宋_GB2312" w:eastAsia="仿宋_GB2312" w:cs="仿宋_GB2312"/>
          <w:color w:val="auto"/>
          <w:szCs w:val="32"/>
          <w:lang w:val="en-US" w:eastAsia="zh-CN"/>
        </w:rPr>
      </w:pPr>
      <w:r>
        <w:rPr>
          <w:rFonts w:hint="eastAsia" w:ascii="仿宋_GB2312" w:hAnsi="仿宋_GB2312" w:eastAsia="仿宋_GB2312" w:cs="仿宋_GB2312"/>
          <w:color w:val="auto"/>
          <w:szCs w:val="32"/>
        </w:rPr>
        <w:t>本起事故造成1人</w:t>
      </w:r>
      <w:r>
        <w:rPr>
          <w:rFonts w:hint="eastAsia" w:cs="仿宋_GB2312"/>
          <w:color w:val="auto"/>
          <w:szCs w:val="32"/>
          <w:lang w:eastAsia="zh-CN"/>
        </w:rPr>
        <w:t>重伤</w:t>
      </w:r>
      <w:r>
        <w:rPr>
          <w:rFonts w:hint="eastAsia" w:ascii="仿宋_GB2312" w:hAnsi="仿宋_GB2312" w:eastAsia="仿宋_GB2312" w:cs="仿宋_GB2312"/>
          <w:color w:val="auto"/>
          <w:szCs w:val="32"/>
          <w:lang w:eastAsia="zh-CN"/>
        </w:rPr>
        <w:t>。</w:t>
      </w:r>
      <w:r>
        <w:rPr>
          <w:rFonts w:hint="eastAsia" w:cs="仿宋_GB2312"/>
          <w:color w:val="auto"/>
          <w:szCs w:val="32"/>
          <w:lang w:eastAsia="zh-CN"/>
        </w:rPr>
        <w:t>伤者</w:t>
      </w:r>
      <w:r>
        <w:rPr>
          <w:rFonts w:hint="eastAsia" w:ascii="仿宋_GB2312" w:hAnsi="仿宋_GB2312" w:eastAsia="仿宋_GB2312" w:cs="仿宋_GB2312"/>
          <w:color w:val="auto"/>
          <w:szCs w:val="32"/>
        </w:rPr>
        <w:t>：</w:t>
      </w:r>
      <w:r>
        <w:rPr>
          <w:rFonts w:hint="eastAsia" w:cs="仿宋_GB2312"/>
          <w:color w:val="auto"/>
          <w:szCs w:val="32"/>
          <w:lang w:eastAsia="zh-CN"/>
        </w:rPr>
        <w:t>贾XX</w:t>
      </w:r>
      <w:r>
        <w:rPr>
          <w:rFonts w:hint="eastAsia" w:ascii="仿宋_GB2312" w:hAnsi="仿宋_GB2312" w:eastAsia="仿宋_GB2312" w:cs="仿宋_GB2312"/>
          <w:color w:val="auto"/>
          <w:szCs w:val="32"/>
          <w:lang w:eastAsia="zh-CN"/>
        </w:rPr>
        <w:t>；性别：</w:t>
      </w:r>
      <w:r>
        <w:rPr>
          <w:rFonts w:hint="eastAsia" w:cs="仿宋_GB2312"/>
          <w:color w:val="auto"/>
          <w:szCs w:val="32"/>
          <w:lang w:eastAsia="zh-CN"/>
        </w:rPr>
        <w:t>男</w:t>
      </w:r>
      <w:r>
        <w:rPr>
          <w:rFonts w:hint="eastAsia" w:ascii="仿宋_GB2312" w:hAnsi="仿宋_GB2312" w:eastAsia="仿宋_GB2312" w:cs="仿宋_GB2312"/>
          <w:color w:val="auto"/>
          <w:szCs w:val="32"/>
          <w:lang w:eastAsia="zh-CN"/>
        </w:rPr>
        <w:t>；籍贯：</w:t>
      </w:r>
      <w:r>
        <w:rPr>
          <w:rFonts w:hint="eastAsia" w:cs="仿宋_GB2312"/>
          <w:color w:val="auto"/>
          <w:szCs w:val="32"/>
          <w:lang w:eastAsia="zh-CN"/>
        </w:rPr>
        <w:t>江苏省泗洪县</w:t>
      </w:r>
      <w:r>
        <w:rPr>
          <w:rFonts w:hint="eastAsia" w:ascii="仿宋_GB2312" w:hAnsi="仿宋_GB2312" w:eastAsia="仿宋_GB2312" w:cs="仿宋_GB2312"/>
          <w:color w:val="auto"/>
          <w:szCs w:val="32"/>
          <w:lang w:eastAsia="zh-CN"/>
        </w:rPr>
        <w:t>；出生年月：</w:t>
      </w:r>
      <w:r>
        <w:rPr>
          <w:rFonts w:hint="eastAsia" w:cs="仿宋_GB2312"/>
          <w:color w:val="auto"/>
          <w:szCs w:val="32"/>
          <w:lang w:val="en-US" w:eastAsia="zh-CN"/>
        </w:rPr>
        <w:t>1968</w:t>
      </w:r>
      <w:r>
        <w:rPr>
          <w:rFonts w:hint="eastAsia" w:ascii="仿宋_GB2312" w:hAnsi="仿宋_GB2312" w:eastAsia="仿宋_GB2312" w:cs="仿宋_GB2312"/>
          <w:color w:val="auto"/>
          <w:szCs w:val="32"/>
          <w:lang w:val="en-US" w:eastAsia="zh-CN"/>
        </w:rPr>
        <w:t>年</w:t>
      </w:r>
      <w:r>
        <w:rPr>
          <w:rFonts w:hint="eastAsia" w:cs="仿宋_GB2312"/>
          <w:color w:val="auto"/>
          <w:szCs w:val="32"/>
          <w:lang w:val="en-US" w:eastAsia="zh-CN"/>
        </w:rPr>
        <w:t>11</w:t>
      </w:r>
      <w:r>
        <w:rPr>
          <w:rFonts w:hint="eastAsia" w:ascii="仿宋_GB2312" w:hAnsi="仿宋_GB2312" w:eastAsia="仿宋_GB2312" w:cs="仿宋_GB2312"/>
          <w:color w:val="auto"/>
          <w:szCs w:val="32"/>
          <w:lang w:val="en-US" w:eastAsia="zh-CN"/>
        </w:rPr>
        <w:t>月</w:t>
      </w:r>
      <w:r>
        <w:rPr>
          <w:rFonts w:hint="eastAsia" w:cs="仿宋_GB2312"/>
          <w:color w:val="auto"/>
          <w:szCs w:val="32"/>
          <w:lang w:val="en-US" w:eastAsia="zh-CN"/>
        </w:rPr>
        <w:t>22</w:t>
      </w:r>
      <w:r>
        <w:rPr>
          <w:rFonts w:hint="eastAsia" w:ascii="仿宋_GB2312" w:hAnsi="仿宋_GB2312" w:eastAsia="仿宋_GB2312" w:cs="仿宋_GB2312"/>
          <w:color w:val="auto"/>
          <w:szCs w:val="32"/>
          <w:lang w:val="en-US" w:eastAsia="zh-CN"/>
        </w:rPr>
        <w:t>日；</w:t>
      </w:r>
      <w:r>
        <w:rPr>
          <w:rFonts w:hint="eastAsia" w:cs="仿宋_GB2312"/>
          <w:color w:val="auto"/>
          <w:szCs w:val="32"/>
          <w:lang w:val="en-US" w:eastAsia="zh-CN"/>
        </w:rPr>
        <w:t>住址：江苏省泗洪县临淮镇XX社区居民委员会X组X号</w:t>
      </w:r>
      <w:r>
        <w:rPr>
          <w:rFonts w:hint="eastAsia" w:ascii="仿宋_GB2312" w:hAnsi="仿宋_GB2312" w:eastAsia="仿宋_GB2312" w:cs="仿宋_GB2312"/>
          <w:color w:val="auto"/>
          <w:szCs w:val="32"/>
          <w:lang w:val="en-US" w:eastAsia="zh-CN"/>
        </w:rPr>
        <w:t>；</w:t>
      </w:r>
      <w:r>
        <w:rPr>
          <w:rFonts w:hint="eastAsia" w:ascii="仿宋_GB2312" w:hAnsi="仿宋_GB2312" w:eastAsia="仿宋_GB2312" w:cs="仿宋_GB2312"/>
          <w:color w:val="auto"/>
          <w:szCs w:val="32"/>
        </w:rPr>
        <w:t>身份证号：</w:t>
      </w:r>
      <w:r>
        <w:rPr>
          <w:rFonts w:hint="eastAsia" w:cs="仿宋_GB2312"/>
          <w:color w:val="auto"/>
          <w:szCs w:val="32"/>
          <w:lang w:val="en-US" w:eastAsia="zh-CN"/>
        </w:rPr>
        <w:t>3208301968XXXXXXXX</w:t>
      </w:r>
      <w:r>
        <w:rPr>
          <w:rFonts w:hint="eastAsia" w:ascii="仿宋_GB2312" w:hAnsi="仿宋_GB2312" w:eastAsia="仿宋_GB2312" w:cs="仿宋_GB2312"/>
          <w:color w:val="auto"/>
          <w:szCs w:val="32"/>
        </w:rPr>
        <w:t>。</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ascii="黑体" w:hAnsi="黑体" w:eastAsia="黑体" w:cs="黑体"/>
          <w:b w:val="0"/>
          <w:bCs w:val="0"/>
          <w:color w:val="auto"/>
        </w:rPr>
      </w:pPr>
      <w:r>
        <w:rPr>
          <w:rFonts w:hint="eastAsia" w:ascii="黑体" w:eastAsia="黑体"/>
          <w:b w:val="0"/>
          <w:bCs/>
          <w:color w:val="auto"/>
          <w:szCs w:val="32"/>
        </w:rPr>
        <w:t>四</w:t>
      </w:r>
      <w:r>
        <w:rPr>
          <w:rFonts w:hint="eastAsia" w:ascii="黑体" w:eastAsia="黑体"/>
          <w:b w:val="0"/>
          <w:bCs/>
          <w:color w:val="auto"/>
          <w:szCs w:val="32"/>
          <w:lang w:eastAsia="zh-CN"/>
        </w:rPr>
        <w:t>、</w:t>
      </w:r>
      <w:r>
        <w:rPr>
          <w:rFonts w:hint="eastAsia" w:ascii="黑体" w:hAnsi="黑体" w:eastAsia="黑体" w:cs="黑体"/>
          <w:b w:val="0"/>
          <w:bCs w:val="0"/>
          <w:color w:val="auto"/>
          <w:lang w:eastAsia="zh-CN"/>
        </w:rPr>
        <w:t>事故</w:t>
      </w:r>
      <w:r>
        <w:rPr>
          <w:rFonts w:hint="eastAsia" w:ascii="黑体" w:hAnsi="黑体" w:eastAsia="黑体" w:cs="黑体"/>
          <w:b w:val="0"/>
          <w:bCs w:val="0"/>
          <w:color w:val="auto"/>
        </w:rPr>
        <w:t>原因</w:t>
      </w:r>
      <w:r>
        <w:rPr>
          <w:rFonts w:hint="eastAsia" w:ascii="黑体" w:hAnsi="黑体" w:eastAsia="黑体" w:cs="黑体"/>
          <w:b w:val="0"/>
          <w:bCs w:val="0"/>
          <w:color w:val="auto"/>
          <w:lang w:eastAsia="zh-CN"/>
        </w:rPr>
        <w:t>及</w:t>
      </w:r>
      <w:r>
        <w:rPr>
          <w:rFonts w:hint="eastAsia" w:ascii="黑体" w:hAnsi="黑体" w:eastAsia="黑体" w:cs="黑体"/>
          <w:b w:val="0"/>
          <w:bCs w:val="0"/>
          <w:color w:val="auto"/>
        </w:rPr>
        <w:t>性质</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ascii="楷体_GB2312" w:hAnsi="Times New Roman" w:eastAsia="楷体_GB2312"/>
          <w:b/>
          <w:bCs w:val="0"/>
          <w:color w:val="auto"/>
          <w:szCs w:val="32"/>
        </w:rPr>
      </w:pPr>
      <w:r>
        <w:rPr>
          <w:rFonts w:hint="eastAsia" w:ascii="楷体_GB2312" w:hAnsi="Times New Roman" w:eastAsia="楷体_GB2312"/>
          <w:b/>
          <w:bCs w:val="0"/>
          <w:color w:val="auto"/>
          <w:szCs w:val="32"/>
        </w:rPr>
        <w:t>（一）</w:t>
      </w:r>
      <w:r>
        <w:rPr>
          <w:rFonts w:hint="eastAsia" w:ascii="楷体_GB2312" w:hAnsi="Times New Roman" w:eastAsia="楷体_GB2312"/>
          <w:b/>
          <w:bCs w:val="0"/>
          <w:color w:val="auto"/>
          <w:szCs w:val="32"/>
          <w:lang w:eastAsia="zh-CN"/>
        </w:rPr>
        <w:t>事故</w:t>
      </w:r>
      <w:r>
        <w:rPr>
          <w:rFonts w:hint="eastAsia" w:ascii="楷体_GB2312" w:hAnsi="Times New Roman" w:eastAsia="楷体_GB2312"/>
          <w:b/>
          <w:bCs w:val="0"/>
          <w:color w:val="auto"/>
          <w:szCs w:val="32"/>
        </w:rPr>
        <w:t>原因</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color w:val="auto"/>
          <w:szCs w:val="32"/>
        </w:rPr>
      </w:pPr>
      <w:r>
        <w:rPr>
          <w:rFonts w:hint="eastAsia"/>
          <w:b/>
          <w:color w:val="auto"/>
          <w:szCs w:val="32"/>
        </w:rPr>
        <w:t>1.直接原因</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b w:val="0"/>
          <w:bCs w:val="0"/>
          <w:color w:val="auto"/>
          <w:lang w:val="en-US" w:eastAsia="zh-CN"/>
        </w:rPr>
      </w:pPr>
      <w:r>
        <w:rPr>
          <w:rFonts w:hint="eastAsia"/>
          <w:b w:val="0"/>
          <w:bCs w:val="0"/>
          <w:color w:val="auto"/>
          <w:lang w:val="en-US" w:eastAsia="zh-CN"/>
        </w:rPr>
        <w:t>作业人员不按操作规程作业，在未切断电源的情况下冒险打开盖板进行内部清洗，导致衣袖被滚齿刀具勾住后连带手臂卷入刀具内受伤。</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auto"/>
          <w:szCs w:val="32"/>
          <w:lang w:eastAsia="zh-CN"/>
        </w:rPr>
      </w:pPr>
      <w:r>
        <w:rPr>
          <w:rFonts w:hint="eastAsia"/>
          <w:b/>
          <w:bCs/>
          <w:color w:val="auto"/>
        </w:rPr>
        <w:t>2.间接原因</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cs="仿宋_GB2312"/>
          <w:lang w:eastAsia="zh-CN"/>
        </w:rPr>
      </w:pPr>
      <w:r>
        <w:rPr>
          <w:rFonts w:hint="eastAsia" w:cs="仿宋_GB2312"/>
          <w:lang w:eastAsia="zh-CN"/>
        </w:rPr>
        <w:t>明赢合作社主要负责人姚鸣未落实安全生产主体责任，未完全履行安全生产主要负责人职责，未能督促检查本单位的安全生产工作，未及时消除生产安全事故隐患，对管理人员履职不力情况失管失察。</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ascii="楷体_GB2312" w:hAnsi="楷体_GB2312" w:eastAsia="楷体_GB2312" w:cs="楷体_GB2312"/>
          <w:b/>
          <w:bCs w:val="0"/>
          <w:color w:val="auto"/>
          <w:szCs w:val="32"/>
        </w:rPr>
      </w:pPr>
      <w:r>
        <w:rPr>
          <w:rFonts w:hint="eastAsia" w:ascii="楷体_GB2312" w:hAnsi="楷体_GB2312" w:eastAsia="楷体_GB2312" w:cs="楷体_GB2312"/>
          <w:b/>
          <w:bCs w:val="0"/>
          <w:color w:val="auto"/>
          <w:szCs w:val="32"/>
        </w:rPr>
        <w:t>（二）事故性质</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outlineLvl w:val="9"/>
        <w:rPr>
          <w:rFonts w:hint="eastAsia"/>
          <w:color w:val="auto"/>
        </w:rPr>
      </w:pPr>
      <w:r>
        <w:rPr>
          <w:rFonts w:hint="eastAsia" w:ascii="仿宋_GB2312" w:hAnsi="仿宋_GB2312" w:eastAsia="仿宋_GB2312" w:cs="仿宋_GB2312"/>
          <w:color w:val="auto"/>
        </w:rPr>
        <w:t>经事故调查组调查认定，</w:t>
      </w:r>
      <w:r>
        <w:rPr>
          <w:rFonts w:hint="eastAsia" w:cs="仿宋_GB2312"/>
          <w:color w:val="auto"/>
          <w:lang w:eastAsia="zh-CN"/>
        </w:rPr>
        <w:t>该事故系机械伤害一般</w:t>
      </w:r>
      <w:r>
        <w:rPr>
          <w:rFonts w:hint="eastAsia" w:ascii="仿宋_GB2312" w:hAnsi="仿宋_GB2312" w:eastAsia="仿宋_GB2312" w:cs="仿宋_GB2312"/>
          <w:color w:val="auto"/>
        </w:rPr>
        <w:t>生产安全责任事故。</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ascii="楷体_GB2312" w:hAnsi="Times New Roman" w:eastAsia="楷体_GB2312"/>
          <w:b w:val="0"/>
          <w:bCs w:val="0"/>
          <w:color w:val="auto"/>
          <w:szCs w:val="32"/>
          <w:lang w:eastAsia="zh-CN"/>
        </w:rPr>
      </w:pPr>
      <w:r>
        <w:rPr>
          <w:rFonts w:hint="eastAsia" w:ascii="黑体" w:hAnsi="黑体" w:eastAsia="黑体" w:cs="黑体"/>
          <w:b w:val="0"/>
          <w:bCs w:val="0"/>
          <w:color w:val="auto"/>
          <w:lang w:eastAsia="zh-CN"/>
        </w:rPr>
        <w:t>五</w:t>
      </w:r>
      <w:r>
        <w:rPr>
          <w:rFonts w:hint="eastAsia" w:ascii="黑体" w:hAnsi="黑体" w:eastAsia="黑体" w:cs="黑体"/>
          <w:b w:val="0"/>
          <w:bCs w:val="0"/>
          <w:color w:val="auto"/>
        </w:rPr>
        <w:t>、</w:t>
      </w:r>
      <w:r>
        <w:rPr>
          <w:rFonts w:hint="eastAsia" w:ascii="黑体" w:hAnsi="黑体" w:eastAsia="黑体" w:cs="黑体"/>
          <w:b w:val="0"/>
          <w:bCs w:val="0"/>
          <w:color w:val="auto"/>
          <w:szCs w:val="32"/>
        </w:rPr>
        <w:t>责任认定及处理建议</w:t>
      </w:r>
    </w:p>
    <w:p>
      <w:pPr>
        <w:keepNext w:val="0"/>
        <w:keepLines w:val="0"/>
        <w:pageBreakBefore w:val="0"/>
        <w:widowControl w:val="0"/>
        <w:kinsoku/>
        <w:wordWrap/>
        <w:topLinePunct w:val="0"/>
        <w:autoSpaceDE/>
        <w:autoSpaceDN/>
        <w:bidi w:val="0"/>
        <w:adjustRightInd/>
        <w:snapToGrid/>
        <w:spacing w:line="560" w:lineRule="exact"/>
        <w:ind w:firstLine="643"/>
        <w:textAlignment w:val="auto"/>
      </w:pPr>
      <w:r>
        <w:rPr>
          <w:rFonts w:hint="eastAsia" w:ascii="楷体_GB2312" w:eastAsia="楷体_GB2312"/>
          <w:b/>
          <w:bCs w:val="0"/>
          <w:i w:val="0"/>
          <w:iCs w:val="0"/>
          <w:color w:val="auto"/>
          <w:szCs w:val="32"/>
        </w:rPr>
        <w:t>（</w:t>
      </w:r>
      <w:r>
        <w:rPr>
          <w:rFonts w:hint="eastAsia" w:ascii="楷体_GB2312" w:eastAsia="楷体_GB2312"/>
          <w:b/>
          <w:bCs w:val="0"/>
          <w:i w:val="0"/>
          <w:iCs w:val="0"/>
          <w:color w:val="auto"/>
          <w:szCs w:val="32"/>
          <w:lang w:eastAsia="zh-CN"/>
        </w:rPr>
        <w:t>一</w:t>
      </w:r>
      <w:r>
        <w:rPr>
          <w:rFonts w:hint="eastAsia" w:ascii="楷体_GB2312" w:eastAsia="楷体_GB2312"/>
          <w:b/>
          <w:bCs w:val="0"/>
          <w:i w:val="0"/>
          <w:iCs w:val="0"/>
          <w:color w:val="auto"/>
          <w:szCs w:val="32"/>
        </w:rPr>
        <w:t>）责任单位</w:t>
      </w:r>
      <w:r>
        <w:rPr>
          <w:rFonts w:hint="eastAsia" w:ascii="楷体_GB2312" w:eastAsia="楷体_GB2312"/>
          <w:b/>
          <w:bCs w:val="0"/>
          <w:i w:val="0"/>
          <w:iCs w:val="0"/>
          <w:color w:val="auto"/>
          <w:szCs w:val="32"/>
          <w:lang w:eastAsia="zh-CN"/>
        </w:rPr>
        <w:t>的</w:t>
      </w:r>
      <w:r>
        <w:rPr>
          <w:rFonts w:hint="eastAsia" w:ascii="楷体_GB2312" w:eastAsia="楷体_GB2312"/>
          <w:b/>
          <w:bCs w:val="0"/>
          <w:i w:val="0"/>
          <w:iCs w:val="0"/>
          <w:color w:val="auto"/>
          <w:szCs w:val="32"/>
        </w:rPr>
        <w:t>认定</w:t>
      </w:r>
      <w:r>
        <w:rPr>
          <w:rFonts w:hint="eastAsia" w:ascii="楷体_GB2312" w:eastAsia="楷体_GB2312"/>
          <w:b/>
          <w:bCs w:val="0"/>
          <w:i w:val="0"/>
          <w:iCs w:val="0"/>
          <w:color w:val="auto"/>
          <w:szCs w:val="32"/>
          <w:lang w:eastAsia="zh-CN"/>
        </w:rPr>
        <w:t>及</w:t>
      </w:r>
      <w:r>
        <w:rPr>
          <w:rFonts w:hint="eastAsia" w:ascii="楷体_GB2312" w:eastAsia="楷体_GB2312"/>
          <w:b/>
          <w:bCs w:val="0"/>
          <w:i w:val="0"/>
          <w:iCs w:val="0"/>
          <w:color w:val="auto"/>
          <w:szCs w:val="32"/>
        </w:rPr>
        <w:t>处理</w:t>
      </w:r>
    </w:p>
    <w:p>
      <w:pPr>
        <w:keepNext w:val="0"/>
        <w:keepLines w:val="0"/>
        <w:pageBreakBefore w:val="0"/>
        <w:widowControl w:val="0"/>
        <w:kinsoku/>
        <w:wordWrap/>
        <w:topLinePunct w:val="0"/>
        <w:autoSpaceDE/>
        <w:autoSpaceDN/>
        <w:bidi w:val="0"/>
        <w:spacing w:line="560" w:lineRule="exact"/>
        <w:textAlignment w:val="auto"/>
        <w:rPr>
          <w:rFonts w:hint="eastAsia" w:cs="仿宋_GB2312"/>
          <w:lang w:val="en-US" w:eastAsia="zh-CN"/>
        </w:rPr>
      </w:pPr>
      <w:r>
        <w:rPr>
          <w:rFonts w:hint="eastAsia" w:cs="仿宋_GB2312"/>
          <w:lang w:val="en-US" w:eastAsia="zh-CN"/>
        </w:rPr>
        <w:t>1.明赢合作社未开展隐患排查工作，未能消除切鱼机存在的安全隐患；对临聘人员安全交待、教育培训流于形式。对事故发生负有责任，应当依法承担赔偿责任。</w:t>
      </w:r>
    </w:p>
    <w:p>
      <w:pPr>
        <w:keepNext w:val="0"/>
        <w:keepLines w:val="0"/>
        <w:pageBreakBefore w:val="0"/>
        <w:widowControl w:val="0"/>
        <w:kinsoku/>
        <w:wordWrap/>
        <w:topLinePunct w:val="0"/>
        <w:autoSpaceDE/>
        <w:autoSpaceDN/>
        <w:bidi w:val="0"/>
        <w:spacing w:line="560" w:lineRule="exact"/>
        <w:textAlignment w:val="auto"/>
        <w:rPr>
          <w:rFonts w:hint="eastAsia" w:cs="仿宋_GB2312"/>
          <w:lang w:val="en-US" w:eastAsia="zh-CN"/>
        </w:rPr>
      </w:pPr>
      <w:r>
        <w:rPr>
          <w:rFonts w:hint="eastAsia" w:cs="仿宋_GB2312"/>
          <w:lang w:val="en-US" w:eastAsia="zh-CN"/>
        </w:rPr>
        <w:t>2.新弘公司安全生产统一协调、管理不力，对渔业养殖安全检查流于形式。对事故发生负有责任，应当依法承担赔偿责任。</w:t>
      </w:r>
    </w:p>
    <w:p>
      <w:pPr>
        <w:keepNext w:val="0"/>
        <w:keepLines w:val="0"/>
        <w:pageBreakBefore w:val="0"/>
        <w:widowControl w:val="0"/>
        <w:kinsoku/>
        <w:wordWrap/>
        <w:topLinePunct w:val="0"/>
        <w:autoSpaceDE/>
        <w:autoSpaceDN/>
        <w:bidi w:val="0"/>
        <w:adjustRightInd/>
        <w:snapToGrid/>
        <w:spacing w:line="560" w:lineRule="exact"/>
        <w:textAlignment w:val="auto"/>
        <w:rPr>
          <w:rFonts w:hint="eastAsia"/>
          <w:lang w:val="en-US" w:eastAsia="zh-CN"/>
        </w:rPr>
      </w:pPr>
      <w:r>
        <w:rPr>
          <w:rFonts w:hint="eastAsia" w:ascii="楷体_GB2312" w:hAnsi="Times New Roman" w:eastAsia="楷体_GB2312"/>
          <w:b/>
          <w:bCs w:val="0"/>
          <w:color w:val="auto"/>
          <w:szCs w:val="32"/>
        </w:rPr>
        <w:t>（</w:t>
      </w:r>
      <w:r>
        <w:rPr>
          <w:rFonts w:hint="eastAsia" w:ascii="楷体_GB2312" w:hAnsi="Times New Roman" w:eastAsia="楷体_GB2312"/>
          <w:b/>
          <w:bCs w:val="0"/>
          <w:color w:val="auto"/>
          <w:szCs w:val="32"/>
          <w:lang w:eastAsia="zh-CN"/>
        </w:rPr>
        <w:t>二</w:t>
      </w:r>
      <w:r>
        <w:rPr>
          <w:rFonts w:hint="eastAsia" w:ascii="楷体_GB2312" w:hAnsi="Times New Roman" w:eastAsia="楷体_GB2312"/>
          <w:b/>
          <w:bCs w:val="0"/>
          <w:color w:val="auto"/>
          <w:szCs w:val="32"/>
        </w:rPr>
        <w:t>）责任人员的认定及</w:t>
      </w:r>
      <w:r>
        <w:rPr>
          <w:rFonts w:hint="eastAsia" w:ascii="楷体_GB2312" w:hAnsi="Times New Roman" w:eastAsia="楷体_GB2312"/>
          <w:b/>
          <w:bCs w:val="0"/>
          <w:color w:val="auto"/>
          <w:szCs w:val="32"/>
          <w:lang w:eastAsia="zh-CN"/>
        </w:rPr>
        <w:t>处理</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outlineLvl w:val="9"/>
        <w:rPr>
          <w:rFonts w:hint="eastAsia" w:eastAsia="仿宋_GB2312" w:cs="仿宋_GB2312"/>
          <w:color w:val="auto"/>
          <w:lang w:val="en-US" w:eastAsia="zh-CN"/>
        </w:rPr>
      </w:pPr>
      <w:r>
        <w:rPr>
          <w:rFonts w:hint="eastAsia" w:cs="仿宋_GB2312"/>
          <w:color w:val="auto"/>
          <w:lang w:val="en-US" w:eastAsia="zh-CN"/>
        </w:rPr>
        <w:t>1.贾XX，</w:t>
      </w:r>
      <w:r>
        <w:rPr>
          <w:rFonts w:hint="eastAsia" w:cs="仿宋_GB2312"/>
          <w:lang w:eastAsia="zh-CN"/>
        </w:rPr>
        <w:t>明赢合作社</w:t>
      </w:r>
      <w:r>
        <w:rPr>
          <w:rFonts w:hint="eastAsia" w:cs="仿宋_GB2312"/>
          <w:color w:val="auto"/>
          <w:kern w:val="2"/>
          <w:sz w:val="32"/>
          <w:szCs w:val="32"/>
          <w:u w:val="none"/>
          <w:lang w:val="en-US" w:eastAsia="zh-CN" w:bidi="ar-SA"/>
        </w:rPr>
        <w:t>临聘人员</w:t>
      </w:r>
      <w:r>
        <w:rPr>
          <w:rFonts w:hint="eastAsia" w:cs="仿宋_GB2312"/>
          <w:color w:val="auto"/>
          <w:lang w:val="en-US" w:eastAsia="zh-CN"/>
        </w:rPr>
        <w:t>。安全意识淡薄，穿着不安全装束，冒险打开运行中的切鱼机盖板清洗内部滚齿刀具，对事故发生负有责任。鉴于已在事故中受伤，建议不追究责任。</w:t>
      </w:r>
    </w:p>
    <w:p>
      <w:pPr>
        <w:keepNext w:val="0"/>
        <w:keepLines w:val="0"/>
        <w:pageBreakBefore w:val="0"/>
        <w:widowControl w:val="0"/>
        <w:kinsoku/>
        <w:wordWrap/>
        <w:topLinePunct w:val="0"/>
        <w:autoSpaceDE/>
        <w:autoSpaceDN/>
        <w:bidi w:val="0"/>
        <w:spacing w:line="560" w:lineRule="exact"/>
        <w:textAlignment w:val="auto"/>
        <w:rPr>
          <w:rFonts w:hint="eastAsia"/>
          <w:lang w:val="en-US" w:eastAsia="zh-CN"/>
        </w:rPr>
      </w:pPr>
      <w:r>
        <w:rPr>
          <w:rFonts w:hint="eastAsia"/>
          <w:lang w:val="en-US" w:eastAsia="zh-CN"/>
        </w:rPr>
        <w:t>2.</w:t>
      </w:r>
      <w:r>
        <w:rPr>
          <w:rFonts w:hint="eastAsia" w:cs="仿宋_GB2312"/>
          <w:color w:val="auto"/>
          <w:szCs w:val="32"/>
          <w:lang w:eastAsia="zh-CN"/>
        </w:rPr>
        <w:t>顾敏</w:t>
      </w:r>
      <w:r>
        <w:rPr>
          <w:rFonts w:hint="eastAsia"/>
          <w:lang w:val="en-US" w:eastAsia="zh-CN"/>
        </w:rPr>
        <w:t>，明赢合作社现场管理人员。对切鱼机存在的安全隐患辨识不足，作业现场安全管理不力，对临聘人员安全交待、教育培训缺失。对事故发生负有责任。</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cs="仿宋_GB2312"/>
          <w:color w:val="auto"/>
          <w:lang w:val="en-US" w:eastAsia="zh-CN"/>
        </w:rPr>
      </w:pPr>
      <w:r>
        <w:rPr>
          <w:rFonts w:hint="eastAsia" w:cs="仿宋_GB2312"/>
          <w:color w:val="auto"/>
          <w:lang w:val="en-US" w:eastAsia="zh-CN"/>
        </w:rPr>
        <w:t>建议明赢合作社对顾敏按照企业规定给予处理，处理结果报区应急局。</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cs="仿宋_GB2312"/>
          <w:color w:val="auto"/>
          <w:lang w:val="en-US" w:eastAsia="zh-CN"/>
        </w:rPr>
      </w:pPr>
      <w:r>
        <w:rPr>
          <w:rFonts w:hint="eastAsia" w:cs="仿宋_GB2312"/>
          <w:color w:val="auto"/>
          <w:lang w:val="en-US" w:eastAsia="zh-CN"/>
        </w:rPr>
        <w:t>3.姚鸣，明赢合作社主要负责人。未落实安全生产主体责任，未完全履行安全生产主要负责人职责，未能督促检查本单位的安全生产工作，未及时消除生产安全事故隐患，对管理人员履职不力情况失管失察。对事故发生负有责任。</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default" w:cs="仿宋_GB2312"/>
          <w:color w:val="auto"/>
          <w:lang w:val="en-US" w:eastAsia="zh-CN"/>
        </w:rPr>
      </w:pPr>
      <w:r>
        <w:rPr>
          <w:rFonts w:hint="eastAsia" w:cs="仿宋_GB2312"/>
          <w:color w:val="auto"/>
          <w:lang w:val="en-US" w:eastAsia="zh-CN"/>
        </w:rPr>
        <w:t>建议区应急局依据《中华人民共和国安全生产法》第九十五条第一项（附件1）的规定，对姚鸣处上一年年收入百分之四十的罚款。</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ascii="黑体" w:eastAsia="黑体"/>
          <w:b w:val="0"/>
          <w:bCs/>
          <w:color w:val="auto"/>
          <w:szCs w:val="32"/>
          <w:lang w:eastAsia="zh-CN"/>
        </w:rPr>
      </w:pPr>
      <w:r>
        <w:rPr>
          <w:rFonts w:hint="eastAsia" w:ascii="黑体" w:eastAsia="黑体"/>
          <w:b w:val="0"/>
          <w:bCs/>
          <w:color w:val="auto"/>
          <w:szCs w:val="32"/>
          <w:lang w:eastAsia="zh-CN"/>
        </w:rPr>
        <w:t>六</w:t>
      </w:r>
      <w:r>
        <w:rPr>
          <w:rFonts w:hint="eastAsia" w:ascii="黑体" w:eastAsia="黑体"/>
          <w:b w:val="0"/>
          <w:bCs/>
          <w:color w:val="auto"/>
          <w:szCs w:val="32"/>
        </w:rPr>
        <w:t>、事故</w:t>
      </w:r>
      <w:r>
        <w:rPr>
          <w:rFonts w:hint="eastAsia" w:ascii="黑体" w:eastAsia="黑体"/>
          <w:b w:val="0"/>
          <w:bCs/>
          <w:color w:val="auto"/>
          <w:szCs w:val="32"/>
          <w:lang w:eastAsia="zh-CN"/>
        </w:rPr>
        <w:t>教训</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针对“</w:t>
      </w:r>
      <w:r>
        <w:rPr>
          <w:rFonts w:hint="eastAsia" w:cs="仿宋_GB2312"/>
          <w:color w:val="auto"/>
          <w:szCs w:val="32"/>
          <w:lang w:val="en-US" w:eastAsia="zh-CN"/>
        </w:rPr>
        <w:t>5·15</w:t>
      </w:r>
      <w:r>
        <w:rPr>
          <w:rFonts w:hint="eastAsia" w:ascii="仿宋_GB2312" w:hAnsi="仿宋_GB2312" w:eastAsia="仿宋_GB2312" w:cs="仿宋_GB2312"/>
          <w:color w:val="auto"/>
          <w:szCs w:val="32"/>
        </w:rPr>
        <w:t>”事故暴露出的问题，相关</w:t>
      </w:r>
      <w:r>
        <w:rPr>
          <w:rFonts w:hint="eastAsia" w:cs="仿宋_GB2312"/>
          <w:color w:val="auto"/>
          <w:szCs w:val="32"/>
          <w:lang w:eastAsia="zh-CN"/>
        </w:rPr>
        <w:t>单位</w:t>
      </w:r>
      <w:r>
        <w:rPr>
          <w:rFonts w:hint="eastAsia" w:ascii="仿宋_GB2312" w:hAnsi="仿宋_GB2312" w:eastAsia="仿宋_GB2312" w:cs="仿宋_GB2312"/>
          <w:color w:val="auto"/>
          <w:szCs w:val="32"/>
        </w:rPr>
        <w:t>思想上要高度重视，深刻吸取事故教训，加强风险防控，抓好源头治理和事故预防，坚决</w:t>
      </w:r>
      <w:r>
        <w:rPr>
          <w:rFonts w:hint="eastAsia" w:cs="仿宋_GB2312"/>
          <w:color w:val="auto"/>
          <w:szCs w:val="32"/>
          <w:lang w:eastAsia="zh-CN"/>
        </w:rPr>
        <w:t>杜绝</w:t>
      </w:r>
      <w:r>
        <w:rPr>
          <w:rFonts w:hint="eastAsia" w:ascii="仿宋_GB2312" w:hAnsi="仿宋_GB2312" w:eastAsia="仿宋_GB2312" w:cs="仿宋_GB2312"/>
          <w:color w:val="auto"/>
          <w:szCs w:val="32"/>
        </w:rPr>
        <w:t>类似事故发生。</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textAlignment w:val="auto"/>
        <w:outlineLvl w:val="9"/>
        <w:rPr>
          <w:rFonts w:hint="eastAsia" w:ascii="楷体_GB2312" w:hAnsi="楷体_GB2312" w:eastAsia="楷体_GB2312" w:cs="楷体_GB2312"/>
          <w:b/>
          <w:bCs/>
          <w:color w:val="auto"/>
          <w:szCs w:val="32"/>
        </w:rPr>
      </w:pPr>
      <w:r>
        <w:rPr>
          <w:rFonts w:hint="eastAsia" w:ascii="楷体_GB2312" w:hAnsi="楷体_GB2312" w:eastAsia="楷体_GB2312" w:cs="楷体_GB2312"/>
          <w:b/>
          <w:bCs/>
          <w:color w:val="auto"/>
          <w:szCs w:val="32"/>
        </w:rPr>
        <w:t>（一）剖析事故教训，深刻反思安全</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b w:val="0"/>
          <w:bCs w:val="0"/>
          <w:color w:val="auto"/>
          <w:szCs w:val="32"/>
        </w:rPr>
      </w:pPr>
      <w:r>
        <w:rPr>
          <w:rFonts w:hint="eastAsia" w:ascii="仿宋_GB2312" w:hAnsi="仿宋_GB2312" w:eastAsia="仿宋_GB2312" w:cs="仿宋_GB2312"/>
          <w:b w:val="0"/>
          <w:bCs w:val="0"/>
          <w:color w:val="auto"/>
          <w:szCs w:val="32"/>
        </w:rPr>
        <w:t>相关企业要增强安全生产工作的紧迫感和责任感，充分认识</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0" w:firstLineChars="0"/>
        <w:textAlignment w:val="auto"/>
        <w:outlineLvl w:val="9"/>
        <w:rPr>
          <w:rFonts w:hint="eastAsia" w:ascii="仿宋_GB2312" w:hAnsi="仿宋_GB2312" w:eastAsia="仿宋_GB2312" w:cs="仿宋_GB2312"/>
          <w:b w:val="0"/>
          <w:bCs w:val="0"/>
          <w:color w:val="auto"/>
          <w:szCs w:val="32"/>
        </w:rPr>
      </w:pPr>
      <w:r>
        <w:rPr>
          <w:rFonts w:hint="eastAsia" w:ascii="仿宋_GB2312" w:hAnsi="仿宋_GB2312" w:eastAsia="仿宋_GB2312" w:cs="仿宋_GB2312"/>
          <w:b w:val="0"/>
          <w:bCs w:val="0"/>
          <w:color w:val="auto"/>
          <w:szCs w:val="32"/>
        </w:rPr>
        <w:t>并深刻吸取事故带来的教训，有效落实全员安全生产责任制，完善、规范作业现场的设施、作业工器具管理；强化对现场作业人员安全防护技能、安全防护意识的教育培训，加强岗位危险因素的告知，进一步梳理和完善安全</w:t>
      </w:r>
      <w:r>
        <w:rPr>
          <w:rFonts w:hint="eastAsia" w:cs="仿宋_GB2312"/>
          <w:b w:val="0"/>
          <w:bCs w:val="0"/>
          <w:color w:val="auto"/>
          <w:szCs w:val="32"/>
          <w:lang w:eastAsia="zh-CN"/>
        </w:rPr>
        <w:t>生产</w:t>
      </w:r>
      <w:r>
        <w:rPr>
          <w:rFonts w:hint="eastAsia" w:ascii="仿宋_GB2312" w:hAnsi="仿宋_GB2312" w:eastAsia="仿宋_GB2312" w:cs="仿宋_GB2312"/>
          <w:b w:val="0"/>
          <w:bCs w:val="0"/>
          <w:color w:val="auto"/>
          <w:szCs w:val="32"/>
        </w:rPr>
        <w:t>操作规程；落实现场安全监护，防范措施以及事故应急措施，严禁</w:t>
      </w:r>
      <w:r>
        <w:rPr>
          <w:rFonts w:hint="eastAsia" w:cs="仿宋_GB2312"/>
          <w:b w:val="0"/>
          <w:bCs w:val="0"/>
          <w:color w:val="auto"/>
          <w:szCs w:val="32"/>
          <w:lang w:eastAsia="zh-CN"/>
        </w:rPr>
        <w:t>规章冒险</w:t>
      </w:r>
      <w:r>
        <w:rPr>
          <w:rFonts w:hint="eastAsia" w:ascii="仿宋_GB2312" w:hAnsi="仿宋_GB2312" w:eastAsia="仿宋_GB2312" w:cs="仿宋_GB2312"/>
          <w:b w:val="0"/>
          <w:bCs w:val="0"/>
          <w:color w:val="auto"/>
          <w:szCs w:val="32"/>
        </w:rPr>
        <w:t>等作业行为，夯实安全生产各项基础工作，切实履行安全生产主体责任。</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textAlignment w:val="auto"/>
        <w:outlineLvl w:val="9"/>
        <w:rPr>
          <w:rFonts w:hint="eastAsia" w:ascii="楷体_GB2312" w:hAnsi="楷体_GB2312" w:eastAsia="楷体_GB2312" w:cs="楷体_GB2312"/>
          <w:b/>
          <w:bCs/>
          <w:color w:val="auto"/>
          <w:szCs w:val="32"/>
        </w:rPr>
      </w:pPr>
      <w:r>
        <w:rPr>
          <w:rFonts w:hint="eastAsia" w:ascii="楷体_GB2312" w:hAnsi="楷体_GB2312" w:eastAsia="楷体_GB2312" w:cs="楷体_GB2312"/>
          <w:b/>
          <w:bCs/>
          <w:color w:val="auto"/>
          <w:szCs w:val="32"/>
        </w:rPr>
        <w:t>（二）强化行业监管，提升安全水平</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color w:val="auto"/>
          <w:szCs w:val="32"/>
        </w:rPr>
        <w:t>行业主管部门和属地政府要按照“管行业必须管安全、管业务必须管安全、管生产经营必须管安全”的原则严格落实行业监管、属地监管职责，督促企业有效落实企业安全生产主体责任，严格履行相应的安全生产管理职责，加强安全生产管理。</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lang w:val="en-US" w:eastAsia="zh-CN"/>
        </w:rPr>
      </w:pP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outlineLvl w:val="9"/>
        <w:rPr>
          <w:rFonts w:hint="eastAsia"/>
          <w:lang w:val="en-US" w:eastAsia="zh-CN"/>
        </w:rPr>
      </w:pPr>
      <w:r>
        <w:rPr>
          <w:rFonts w:hint="eastAsia" w:ascii="仿宋_GB2312" w:hAnsi="仿宋_GB2312" w:eastAsia="仿宋_GB2312" w:cs="仿宋_GB2312"/>
          <w:lang w:val="en-US" w:eastAsia="zh-CN"/>
        </w:rPr>
        <w:t>附件：《中华人民共和国安全生产法》部分法律条款</w:t>
      </w:r>
    </w:p>
    <w:p>
      <w:pPr>
        <w:pStyle w:val="2"/>
        <w:ind w:left="0" w:leftChars="0" w:firstLine="0" w:firstLineChars="0"/>
        <w:rPr>
          <w:rFonts w:hint="eastAsia"/>
          <w:lang w:val="en-US" w:eastAsia="zh-CN"/>
        </w:rPr>
      </w:pPr>
    </w:p>
    <w:p>
      <w:pPr>
        <w:pStyle w:val="2"/>
        <w:ind w:left="0" w:leftChars="0" w:firstLine="0" w:firstLineChars="0"/>
        <w:rPr>
          <w:rFonts w:hint="eastAsia"/>
          <w:lang w:val="en-US" w:eastAsia="zh-CN"/>
        </w:rPr>
      </w:pPr>
    </w:p>
    <w:p>
      <w:pPr>
        <w:pStyle w:val="2"/>
        <w:ind w:left="0" w:leftChars="0" w:firstLine="0" w:firstLineChars="0"/>
        <w:rPr>
          <w:rFonts w:hint="eastAsia"/>
          <w:lang w:val="en-US" w:eastAsia="zh-CN"/>
        </w:rPr>
      </w:pPr>
    </w:p>
    <w:p>
      <w:pPr>
        <w:keepNext w:val="0"/>
        <w:keepLines w:val="0"/>
        <w:pageBreakBefore w:val="0"/>
        <w:widowControl w:val="0"/>
        <w:kinsoku/>
        <w:wordWrap/>
        <w:topLinePunct w:val="0"/>
        <w:autoSpaceDE/>
        <w:autoSpaceDN/>
        <w:bidi w:val="0"/>
        <w:adjustRightInd/>
        <w:snapToGrid/>
        <w:spacing w:line="560" w:lineRule="exact"/>
        <w:jc w:val="right"/>
        <w:textAlignment w:val="auto"/>
        <w:rPr>
          <w:rFonts w:hint="eastAsia"/>
          <w:color w:val="auto"/>
          <w:lang w:eastAsia="zh-CN"/>
        </w:rPr>
      </w:pPr>
      <w:r>
        <w:rPr>
          <w:rFonts w:hint="eastAsia"/>
          <w:color w:val="auto"/>
          <w:lang w:eastAsia="zh-CN"/>
        </w:rPr>
        <w:t>“</w:t>
      </w:r>
      <w:r>
        <w:rPr>
          <w:rFonts w:hint="eastAsia"/>
          <w:color w:val="auto"/>
          <w:lang w:val="en-US" w:eastAsia="zh-CN"/>
        </w:rPr>
        <w:t>5</w:t>
      </w:r>
      <w:r>
        <w:rPr>
          <w:rFonts w:hint="eastAsia"/>
          <w:color w:val="auto"/>
          <w:lang w:eastAsia="zh-CN"/>
        </w:rPr>
        <w:t>·</w:t>
      </w:r>
      <w:r>
        <w:rPr>
          <w:rFonts w:hint="eastAsia"/>
          <w:color w:val="auto"/>
          <w:lang w:val="en-US" w:eastAsia="zh-CN"/>
        </w:rPr>
        <w:t>15”</w:t>
      </w:r>
      <w:r>
        <w:rPr>
          <w:rFonts w:hint="eastAsia"/>
          <w:color w:val="auto"/>
          <w:lang w:eastAsia="zh-CN"/>
        </w:rPr>
        <w:t>一般生产安全</w:t>
      </w:r>
    </w:p>
    <w:p>
      <w:pPr>
        <w:keepNext w:val="0"/>
        <w:keepLines w:val="0"/>
        <w:pageBreakBefore w:val="0"/>
        <w:widowControl w:val="0"/>
        <w:kinsoku/>
        <w:wordWrap/>
        <w:topLinePunct w:val="0"/>
        <w:autoSpaceDE/>
        <w:autoSpaceDN/>
        <w:bidi w:val="0"/>
        <w:adjustRightInd/>
        <w:snapToGrid/>
        <w:spacing w:line="560" w:lineRule="exact"/>
        <w:jc w:val="center"/>
        <w:textAlignment w:val="auto"/>
        <w:rPr>
          <w:rFonts w:hint="eastAsia" w:eastAsia="仿宋_GB2312"/>
          <w:color w:val="auto"/>
          <w:lang w:val="en-US" w:eastAsia="zh-CN"/>
        </w:rPr>
      </w:pPr>
      <w:r>
        <w:rPr>
          <w:rFonts w:hint="eastAsia"/>
          <w:color w:val="auto"/>
          <w:lang w:val="en-US" w:eastAsia="zh-CN"/>
        </w:rPr>
        <w:t xml:space="preserve">                               </w:t>
      </w:r>
      <w:r>
        <w:rPr>
          <w:rFonts w:hint="eastAsia"/>
          <w:color w:val="auto"/>
          <w:lang w:eastAsia="zh-CN"/>
        </w:rPr>
        <w:t>责任</w:t>
      </w:r>
      <w:r>
        <w:rPr>
          <w:rFonts w:hint="eastAsia"/>
          <w:color w:val="auto"/>
        </w:rPr>
        <w:t>事故调查</w:t>
      </w:r>
      <w:r>
        <w:rPr>
          <w:rFonts w:hint="eastAsia"/>
          <w:color w:val="auto"/>
          <w:lang w:eastAsia="zh-CN"/>
        </w:rPr>
        <w:t>组</w:t>
      </w:r>
    </w:p>
    <w:p>
      <w:pPr>
        <w:keepNext w:val="0"/>
        <w:keepLines w:val="0"/>
        <w:pageBreakBefore w:val="0"/>
        <w:widowControl w:val="0"/>
        <w:kinsoku/>
        <w:wordWrap/>
        <w:topLinePunct w:val="0"/>
        <w:autoSpaceDE/>
        <w:autoSpaceDN/>
        <w:bidi w:val="0"/>
        <w:adjustRightInd/>
        <w:snapToGrid/>
        <w:spacing w:line="560" w:lineRule="exact"/>
        <w:ind w:firstLine="640"/>
        <w:jc w:val="center"/>
        <w:textAlignment w:val="auto"/>
        <w:rPr>
          <w:rFonts w:hint="eastAsia"/>
          <w:color w:val="auto"/>
        </w:rPr>
        <w:sectPr>
          <w:headerReference r:id="rId3" w:type="default"/>
          <w:footerReference r:id="rId4" w:type="default"/>
          <w:footnotePr>
            <w:numFmt w:val="decimal"/>
          </w:footnotePr>
          <w:pgSz w:w="11906" w:h="16838"/>
          <w:pgMar w:top="2098" w:right="1474" w:bottom="1984" w:left="1587" w:header="851" w:footer="1417" w:gutter="0"/>
          <w:pgNumType w:fmt="numberInDash" w:start="1"/>
          <w:cols w:space="425" w:num="1"/>
          <w:docGrid w:type="lines" w:linePitch="312" w:charSpace="0"/>
        </w:sectPr>
      </w:pPr>
      <w:r>
        <w:rPr>
          <w:rFonts w:hint="eastAsia"/>
          <w:color w:val="auto"/>
          <w:lang w:val="en-US" w:eastAsia="zh-CN"/>
        </w:rPr>
        <w:t xml:space="preserve">                               2</w:t>
      </w:r>
      <w:r>
        <w:rPr>
          <w:rFonts w:hint="eastAsia"/>
          <w:color w:val="auto"/>
        </w:rPr>
        <w:t>02</w:t>
      </w:r>
      <w:r>
        <w:rPr>
          <w:rFonts w:hint="eastAsia"/>
          <w:color w:val="auto"/>
          <w:lang w:val="en-US" w:eastAsia="zh-CN"/>
        </w:rPr>
        <w:t>4</w:t>
      </w:r>
      <w:r>
        <w:rPr>
          <w:rFonts w:hint="eastAsia"/>
          <w:color w:val="auto"/>
        </w:rPr>
        <w:t>年</w:t>
      </w:r>
      <w:r>
        <w:rPr>
          <w:rFonts w:hint="eastAsia"/>
          <w:color w:val="auto"/>
          <w:lang w:val="en-US" w:eastAsia="zh-CN"/>
        </w:rPr>
        <w:t>7</w:t>
      </w:r>
      <w:r>
        <w:rPr>
          <w:rFonts w:hint="eastAsia"/>
          <w:color w:val="auto"/>
        </w:rPr>
        <w:t>月</w:t>
      </w:r>
      <w:r>
        <w:rPr>
          <w:rFonts w:hint="eastAsia"/>
          <w:color w:val="auto"/>
          <w:lang w:val="en-US" w:eastAsia="zh-CN"/>
        </w:rPr>
        <w:t>8</w:t>
      </w:r>
      <w:r>
        <w:rPr>
          <w:rFonts w:hint="eastAsia"/>
          <w:color w:val="auto"/>
        </w:rPr>
        <w:t>日</w:t>
      </w:r>
    </w:p>
    <w:p>
      <w:pPr>
        <w:keepNext w:val="0"/>
        <w:keepLines w:val="0"/>
        <w:pageBreakBefore w:val="0"/>
        <w:widowControl w:val="0"/>
        <w:kinsoku/>
        <w:wordWrap/>
        <w:topLinePunct w:val="0"/>
        <w:autoSpaceDE/>
        <w:autoSpaceDN/>
        <w:bidi w:val="0"/>
        <w:adjustRightInd/>
        <w:snapToGrid/>
        <w:spacing w:line="560" w:lineRule="exact"/>
        <w:ind w:left="0" w:leftChars="0" w:firstLine="0" w:firstLineChars="0"/>
        <w:jc w:val="both"/>
        <w:textAlignment w:val="auto"/>
        <w:rPr>
          <w:rFonts w:hint="eastAsia" w:ascii="黑体" w:hAnsi="黑体" w:eastAsia="黑体" w:cs="黑体"/>
          <w:lang w:val="en-US" w:eastAsia="zh-CN"/>
        </w:rPr>
      </w:pPr>
      <w:r>
        <w:rPr>
          <w:rFonts w:hint="eastAsia" w:ascii="黑体" w:hAnsi="黑体" w:eastAsia="黑体" w:cs="黑体"/>
          <w:lang w:val="en-US" w:eastAsia="zh-CN"/>
        </w:rPr>
        <w:t>附件：《中华人民共和国安全生产法》部分法律条款</w:t>
      </w:r>
    </w:p>
    <w:p>
      <w:pPr>
        <w:pStyle w:val="2"/>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outlineLvl w:val="9"/>
        <w:rPr>
          <w:rFonts w:hint="eastAsia" w:ascii="黑体" w:hAnsi="黑体" w:eastAsia="黑体" w:cs="黑体"/>
          <w:sz w:val="32"/>
          <w:szCs w:val="32"/>
          <w:lang w:val="en-US" w:eastAsia="zh-CN"/>
        </w:rPr>
      </w:pPr>
    </w:p>
    <w:p>
      <w:pPr>
        <w:pStyle w:val="2"/>
        <w:rPr>
          <w:rFonts w:hint="default"/>
          <w:lang w:val="en-US" w:eastAsia="zh-CN"/>
        </w:rPr>
      </w:pPr>
      <w:r>
        <w:rPr>
          <w:rFonts w:hint="eastAsia" w:ascii="仿宋_GB2312" w:hAnsi="仿宋_GB2312" w:eastAsia="仿宋_GB2312" w:cs="仿宋_GB2312"/>
          <w:b/>
          <w:bCs/>
          <w:lang w:val="en-US" w:eastAsia="zh-CN"/>
        </w:rPr>
        <w:t xml:space="preserve">第九十五条第一项 </w:t>
      </w:r>
      <w:r>
        <w:rPr>
          <w:rFonts w:hint="eastAsia"/>
          <w:b/>
          <w:bCs/>
          <w:lang w:val="en-US" w:eastAsia="zh-CN"/>
        </w:rPr>
        <w:t xml:space="preserve"> </w:t>
      </w:r>
      <w:r>
        <w:rPr>
          <w:rFonts w:hint="default"/>
          <w:lang w:val="en-US" w:eastAsia="zh-CN"/>
        </w:rPr>
        <w:t>生产经营单位的主要负责人未履行本法规定的安全生产管理职责，导致发生生产安全事故的，由应急管理部门依照下列规定处以罚款:</w:t>
      </w:r>
    </w:p>
    <w:p>
      <w:pPr>
        <w:pStyle w:val="2"/>
        <w:rPr>
          <w:rFonts w:hint="default"/>
          <w:lang w:val="en-US" w:eastAsia="zh-CN"/>
        </w:rPr>
      </w:pPr>
      <w:r>
        <w:rPr>
          <w:rFonts w:hint="default"/>
          <w:lang w:val="en-US" w:eastAsia="zh-CN"/>
        </w:rPr>
        <w:t>（一）发生一般事故的，处上一年年收入百分之四十的罚款</w:t>
      </w:r>
      <w:r>
        <w:rPr>
          <w:rFonts w:hint="eastAsia"/>
          <w:b w:val="0"/>
          <w:bCs w:val="0"/>
          <w:lang w:val="en-US" w:eastAsia="zh-CN"/>
        </w:rPr>
        <w:t>。</w:t>
      </w:r>
    </w:p>
    <w:p/>
    <w:sectPr>
      <w:headerReference r:id="rId5" w:type="default"/>
      <w:footerReference r:id="rId6" w:type="default"/>
      <w:footnotePr>
        <w:numFmt w:val="decimal"/>
      </w:footnotePr>
      <w:pgSz w:w="11906" w:h="16838"/>
      <w:pgMar w:top="2098" w:right="1474" w:bottom="1984" w:left="1587" w:header="851" w:footer="1417" w:gutter="0"/>
      <w:pgNumType w:fmt="numberInDash" w:start="8"/>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ind w:left="0" w:leftChars="0" w:firstLine="0" w:firstLineChars="0"/>
                            <w:rPr>
                              <w:rFonts w:hint="eastAsia" w:eastAsia="仿宋_GB2312"/>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3</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I3F45UVAgAAFQQAAA4AAAAAAAAA&#10;AQAgAAAAHwEAAGRycy9lMm9Eb2MueG1sUEsFBgAAAAAGAAYAWQEAAKYFAAAAAA==&#10;">
              <v:fill on="f" focussize="0,0"/>
              <v:stroke on="f" weight="0.5pt"/>
              <v:imagedata o:title=""/>
              <o:lock v:ext="edit" aspectratio="f"/>
              <v:textbox inset="0mm,0mm,0mm,0mm" style="mso-fit-shape-to-text:t;">
                <w:txbxContent>
                  <w:p>
                    <w:pPr>
                      <w:pStyle w:val="6"/>
                      <w:ind w:left="0" w:leftChars="0" w:firstLine="0" w:firstLineChars="0"/>
                      <w:rPr>
                        <w:rFonts w:hint="eastAsia" w:eastAsia="仿宋_GB2312"/>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3</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ind w:left="0" w:leftChars="0" w:firstLine="0" w:firstLineChars="0"/>
                            <w:rPr>
                              <w:rFonts w:hint="eastAsia" w:eastAsia="仿宋_GB2312"/>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3</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6"/>
                      <w:ind w:left="0" w:leftChars="0" w:firstLine="0" w:firstLineChars="0"/>
                      <w:rPr>
                        <w:rFonts w:hint="eastAsia" w:eastAsia="仿宋_GB2312"/>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3</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0" w:leftChars="0" w:firstLine="0" w:firstLineChars="0"/>
      <w:rPr>
        <w:rFonts w:hint="default" w:eastAsia="仿宋_GB2312"/>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0" w:leftChars="0" w:firstLine="0" w:firstLineChars="0"/>
      <w:rPr>
        <w:rFonts w:hint="default" w:eastAsia="仿宋_GB2312"/>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7E6F5A"/>
    <w:rsid w:val="0C335B4B"/>
    <w:rsid w:val="307E6F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overflowPunct w:val="0"/>
      <w:spacing w:line="560" w:lineRule="exact"/>
      <w:ind w:firstLine="880" w:firstLineChars="200"/>
      <w:jc w:val="both"/>
    </w:pPr>
    <w:rPr>
      <w:rFonts w:ascii="仿宋_GB2312" w:hAnsi="仿宋_GB2312" w:eastAsia="仿宋_GB2312" w:cs="Times New Roman"/>
      <w:kern w:val="2"/>
      <w:sz w:val="32"/>
      <w:szCs w:val="22"/>
      <w:lang w:val="en-US" w:eastAsia="zh-CN" w:bidi="ar-SA"/>
    </w:rPr>
  </w:style>
  <w:style w:type="character" w:default="1" w:styleId="8">
    <w:name w:val="Default Paragraph Font"/>
    <w:semiHidden/>
    <w:uiPriority w:val="0"/>
  </w:style>
  <w:style w:type="table" w:default="1" w:styleId="9">
    <w:name w:val="Normal Table"/>
    <w:semiHidden/>
    <w:uiPriority w:val="0"/>
    <w:tblPr>
      <w:tblLayout w:type="fixed"/>
      <w:tblCellMar>
        <w:top w:w="0" w:type="dxa"/>
        <w:left w:w="108" w:type="dxa"/>
        <w:bottom w:w="0" w:type="dxa"/>
        <w:right w:w="108" w:type="dxa"/>
      </w:tblCellMar>
    </w:tblPr>
  </w:style>
  <w:style w:type="paragraph" w:styleId="2">
    <w:name w:val="Body Text First Indent 2"/>
    <w:basedOn w:val="3"/>
    <w:next w:val="1"/>
    <w:qFormat/>
    <w:uiPriority w:val="0"/>
    <w:pPr>
      <w:spacing w:after="0"/>
      <w:ind w:firstLine="420" w:firstLineChars="200"/>
    </w:pPr>
    <w:rPr>
      <w:rFonts w:ascii="Calibri" w:hAnsi="Calibri" w:cs="Times New Roman"/>
    </w:rPr>
  </w:style>
  <w:style w:type="paragraph" w:styleId="3">
    <w:name w:val="Body Text Indent"/>
    <w:basedOn w:val="1"/>
    <w:next w:val="4"/>
    <w:qFormat/>
    <w:uiPriority w:val="0"/>
    <w:pPr>
      <w:spacing w:line="600" w:lineRule="exact"/>
      <w:ind w:firstLine="630"/>
    </w:pPr>
    <w:rPr>
      <w:rFonts w:ascii="仿宋_GB2312" w:eastAsia="仿宋_GB2312"/>
      <w:sz w:val="32"/>
    </w:rPr>
  </w:style>
  <w:style w:type="paragraph" w:styleId="4">
    <w:name w:val="Normal Indent"/>
    <w:basedOn w:val="1"/>
    <w:next w:val="1"/>
    <w:qFormat/>
    <w:uiPriority w:val="0"/>
    <w:pPr>
      <w:ind w:firstLine="420" w:firstLineChars="200"/>
    </w:pPr>
    <w:rPr>
      <w:rFonts w:eastAsia="仿宋"/>
      <w:sz w:val="32"/>
    </w:rPr>
  </w:style>
  <w:style w:type="paragraph" w:styleId="5">
    <w:name w:val="Date"/>
    <w:basedOn w:val="1"/>
    <w:next w:val="1"/>
    <w:qFormat/>
    <w:uiPriority w:val="0"/>
    <w:rPr>
      <w:rFonts w:ascii="仿宋_GB2312" w:eastAsia="仿宋_GB2312"/>
      <w:sz w:val="28"/>
      <w:szCs w:val="20"/>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1">
    <w:name w:val="Default"/>
    <w:qFormat/>
    <w:uiPriority w:val="99"/>
    <w:pPr>
      <w:widowControl w:val="0"/>
      <w:autoSpaceDE w:val="0"/>
      <w:autoSpaceDN w:val="0"/>
      <w:adjustRightInd w:val="0"/>
    </w:pPr>
    <w:rPr>
      <w:rFonts w:ascii="黑体" w:hAnsi="Calibri"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上海市崇明区应急管理局</Company>
  <Pages>1</Pages>
  <Words>0</Words>
  <Characters>0</Characters>
  <Lines>0</Lines>
  <Paragraphs>0</Paragraphs>
  <TotalTime>13</TotalTime>
  <ScaleCrop>false</ScaleCrop>
  <LinksUpToDate>false</LinksUpToDate>
  <CharactersWithSpaces>0</CharactersWithSpaces>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2024-07-10T05:32:00Z</dcterms:created>
  <dc:creator>Administrator</dc:creator>
  <cp:lastModifiedBy>Administrator</cp:lastModifiedBy>
  <dcterms:modified xsi:type="dcterms:W3CDTF">2024-07-10T07:19:03Z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2052-10.8.2.7119</vt:lpwstr>
  </property>
</Properties>
</file>