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河南存远建设工程有限公司“4.14”高处坠落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ascii="仿宋_GB2312" w:hAnsi="Calibri" w:eastAsia="仿宋_GB2312" w:cs="Times New Roman"/>
          <w:snapToGrid/>
          <w:kern w:val="2"/>
          <w:sz w:val="32"/>
          <w:szCs w:val="32"/>
          <w:lang w:eastAsia="zh-CN"/>
        </w:rPr>
        <w:t>2023</w:t>
      </w:r>
      <w:r>
        <w:rPr>
          <w:rStyle w:val="12"/>
          <w:rFonts w:hint="eastAsia" w:ascii="仿宋_GB2312" w:hAnsi="Calibri" w:eastAsia="仿宋_GB2312" w:cs="Times New Roman"/>
          <w:snapToGrid/>
          <w:kern w:val="2"/>
          <w:sz w:val="32"/>
          <w:szCs w:val="32"/>
          <w:lang w:eastAsia="zh-CN"/>
        </w:rPr>
        <w:t>年</w:t>
      </w:r>
      <w:r>
        <w:rPr>
          <w:rStyle w:val="12"/>
          <w:rFonts w:ascii="仿宋_GB2312" w:hAnsi="Calibri" w:eastAsia="仿宋_GB2312" w:cs="Times New Roman"/>
          <w:snapToGrid/>
          <w:kern w:val="2"/>
          <w:sz w:val="32"/>
          <w:szCs w:val="32"/>
          <w:lang w:eastAsia="zh-CN"/>
        </w:rPr>
        <w:t>4</w:t>
      </w:r>
      <w:r>
        <w:rPr>
          <w:rStyle w:val="12"/>
          <w:rFonts w:hint="eastAsia" w:ascii="仿宋_GB2312" w:hAnsi="Calibri" w:eastAsia="仿宋_GB2312" w:cs="Times New Roman"/>
          <w:snapToGrid/>
          <w:kern w:val="2"/>
          <w:sz w:val="32"/>
          <w:szCs w:val="32"/>
          <w:lang w:eastAsia="zh-CN"/>
        </w:rPr>
        <w:t>月</w:t>
      </w:r>
      <w:r>
        <w:rPr>
          <w:rStyle w:val="12"/>
          <w:rFonts w:ascii="仿宋_GB2312" w:hAnsi="Calibri" w:eastAsia="仿宋_GB2312" w:cs="Times New Roman"/>
          <w:snapToGrid/>
          <w:kern w:val="2"/>
          <w:sz w:val="32"/>
          <w:szCs w:val="32"/>
          <w:lang w:eastAsia="zh-CN"/>
        </w:rPr>
        <w:t>14</w:t>
      </w:r>
      <w:r>
        <w:rPr>
          <w:rStyle w:val="12"/>
          <w:rFonts w:hint="eastAsia" w:ascii="仿宋_GB2312" w:hAnsi="Calibri" w:eastAsia="仿宋_GB2312" w:cs="Times New Roman"/>
          <w:snapToGrid/>
          <w:kern w:val="2"/>
          <w:sz w:val="32"/>
          <w:szCs w:val="32"/>
          <w:lang w:eastAsia="zh-CN"/>
        </w:rPr>
        <w:t>日下午</w:t>
      </w:r>
      <w:r>
        <w:rPr>
          <w:rStyle w:val="12"/>
          <w:rFonts w:ascii="仿宋_GB2312" w:hAnsi="Calibri" w:eastAsia="仿宋_GB2312" w:cs="Times New Roman"/>
          <w:snapToGrid/>
          <w:kern w:val="2"/>
          <w:sz w:val="32"/>
          <w:szCs w:val="32"/>
          <w:lang w:eastAsia="zh-CN"/>
        </w:rPr>
        <w:t>15</w:t>
      </w:r>
      <w:r>
        <w:rPr>
          <w:rStyle w:val="12"/>
          <w:rFonts w:hint="eastAsia" w:ascii="仿宋_GB2312" w:hAnsi="Calibri" w:eastAsia="仿宋_GB2312" w:cs="Times New Roman"/>
          <w:snapToGrid/>
          <w:kern w:val="2"/>
          <w:sz w:val="32"/>
          <w:szCs w:val="32"/>
          <w:lang w:eastAsia="zh-CN"/>
        </w:rPr>
        <w:t>时</w:t>
      </w:r>
      <w:r>
        <w:rPr>
          <w:rStyle w:val="12"/>
          <w:rFonts w:ascii="仿宋_GB2312" w:hAnsi="Calibri" w:eastAsia="仿宋_GB2312" w:cs="Times New Roman"/>
          <w:snapToGrid/>
          <w:kern w:val="2"/>
          <w:sz w:val="32"/>
          <w:szCs w:val="32"/>
          <w:lang w:eastAsia="zh-CN"/>
        </w:rPr>
        <w:t>50</w:t>
      </w:r>
      <w:r>
        <w:rPr>
          <w:rStyle w:val="12"/>
          <w:rFonts w:hint="eastAsia" w:ascii="仿宋_GB2312" w:hAnsi="Calibri" w:eastAsia="仿宋_GB2312" w:cs="Times New Roman"/>
          <w:snapToGrid/>
          <w:kern w:val="2"/>
          <w:sz w:val="32"/>
          <w:szCs w:val="32"/>
          <w:lang w:eastAsia="zh-CN"/>
        </w:rPr>
        <w:t>分许，上海市青浦区松泽大道</w:t>
      </w:r>
      <w:r>
        <w:rPr>
          <w:rStyle w:val="12"/>
          <w:rFonts w:ascii="仿宋_GB2312" w:hAnsi="Calibri" w:eastAsia="仿宋_GB2312" w:cs="Times New Roman"/>
          <w:snapToGrid/>
          <w:kern w:val="2"/>
          <w:sz w:val="32"/>
          <w:szCs w:val="32"/>
          <w:lang w:eastAsia="zh-CN"/>
        </w:rPr>
        <w:t>8500</w:t>
      </w:r>
      <w:r>
        <w:rPr>
          <w:rStyle w:val="12"/>
          <w:rFonts w:hint="eastAsia" w:ascii="仿宋_GB2312" w:hAnsi="Calibri" w:eastAsia="仿宋_GB2312" w:cs="Times New Roman"/>
          <w:snapToGrid/>
          <w:kern w:val="2"/>
          <w:sz w:val="32"/>
          <w:szCs w:val="32"/>
          <w:lang w:eastAsia="zh-CN"/>
        </w:rPr>
        <w:t>号厂区内，一名施工人员</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王现义，男，</w:t>
      </w:r>
      <w:r>
        <w:rPr>
          <w:rStyle w:val="12"/>
          <w:rFonts w:ascii="仿宋_GB2312" w:hAnsi="Calibri" w:eastAsia="仿宋_GB2312" w:cs="Times New Roman"/>
          <w:snapToGrid/>
          <w:kern w:val="2"/>
          <w:sz w:val="32"/>
          <w:szCs w:val="32"/>
          <w:lang w:eastAsia="zh-CN"/>
        </w:rPr>
        <w:t>50</w:t>
      </w:r>
      <w:r>
        <w:rPr>
          <w:rStyle w:val="12"/>
          <w:rFonts w:hint="eastAsia" w:ascii="仿宋_GB2312" w:hAnsi="Calibri" w:eastAsia="仿宋_GB2312" w:cs="Times New Roman"/>
          <w:snapToGrid/>
          <w:kern w:val="2"/>
          <w:sz w:val="32"/>
          <w:szCs w:val="32"/>
          <w:lang w:eastAsia="zh-CN"/>
        </w:rPr>
        <w:t>岁</w:t>
      </w:r>
      <w:r>
        <w:rPr>
          <w:rStyle w:val="12"/>
          <w:rFonts w:hint="eastAsia" w:ascii="仿宋_GB2312" w:hAnsi="Calibri" w:eastAsia="仿宋_GB2312" w:cs="Times New Roman"/>
          <w:snapToGrid/>
          <w:kern w:val="2"/>
          <w:sz w:val="32"/>
          <w:szCs w:val="32"/>
          <w:lang w:val="en-US" w:eastAsia="zh-CN"/>
        </w:rPr>
        <w:t>,</w:t>
      </w:r>
      <w:r>
        <w:rPr>
          <w:rStyle w:val="12"/>
          <w:rFonts w:hint="eastAsia" w:ascii="仿宋_GB2312" w:hAnsi="Calibri" w:eastAsia="仿宋_GB2312" w:cs="Times New Roman"/>
          <w:snapToGrid/>
          <w:kern w:val="2"/>
          <w:sz w:val="32"/>
          <w:szCs w:val="32"/>
          <w:lang w:eastAsia="zh-CN"/>
        </w:rPr>
        <w:t>安徽人</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在雨棚顶部行走时，踩踏的采光带突然破碎，施工人员随即坠落地面，坠落高度约</w:t>
      </w:r>
      <w:r>
        <w:rPr>
          <w:rStyle w:val="12"/>
          <w:rFonts w:ascii="仿宋_GB2312" w:hAnsi="Calibri" w:eastAsia="仿宋_GB2312" w:cs="Times New Roman"/>
          <w:snapToGrid/>
          <w:kern w:val="2"/>
          <w:sz w:val="32"/>
          <w:szCs w:val="32"/>
          <w:lang w:eastAsia="zh-CN"/>
        </w:rPr>
        <w:t>5</w:t>
      </w:r>
      <w:r>
        <w:rPr>
          <w:rStyle w:val="12"/>
          <w:rFonts w:hint="eastAsia" w:ascii="仿宋_GB2312" w:hAnsi="Calibri" w:eastAsia="仿宋_GB2312" w:cs="Times New Roman"/>
          <w:snapToGrid/>
          <w:kern w:val="2"/>
          <w:sz w:val="32"/>
          <w:szCs w:val="32"/>
          <w:lang w:eastAsia="zh-CN"/>
        </w:rPr>
        <w:t>米，事故造成</w:t>
      </w:r>
      <w:r>
        <w:rPr>
          <w:rStyle w:val="12"/>
          <w:rFonts w:ascii="仿宋_GB2312" w:hAnsi="Calibri" w:eastAsia="仿宋_GB2312" w:cs="Times New Roman"/>
          <w:snapToGrid/>
          <w:kern w:val="2"/>
          <w:sz w:val="32"/>
          <w:szCs w:val="32"/>
          <w:lang w:eastAsia="zh-CN"/>
        </w:rPr>
        <w:t>1</w:t>
      </w:r>
      <w:r>
        <w:rPr>
          <w:rStyle w:val="12"/>
          <w:rFonts w:hint="eastAsia" w:ascii="仿宋_GB2312" w:hAnsi="Calibri" w:eastAsia="仿宋_GB2312" w:cs="Times New Roman"/>
          <w:snapToGrid/>
          <w:kern w:val="2"/>
          <w:sz w:val="32"/>
          <w:szCs w:val="32"/>
          <w:lang w:eastAsia="zh-CN"/>
        </w:rPr>
        <w:t>人死亡。直接损失约158万元整。事发后，上海市青浦区应急管理局会同相关部门依法开展事故调查，形成《河南存远建设工程有限公司”4.14”高处坠落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2023 年 11 月 10 日至 202</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年1</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8</w:t>
      </w:r>
      <w:r>
        <w:rPr>
          <w:rStyle w:val="12"/>
          <w:rFonts w:hint="eastAsia" w:ascii="仿宋_GB2312" w:hAnsi="Calibri" w:eastAsia="仿宋_GB2312" w:cs="Times New Roman"/>
          <w:snapToGrid/>
          <w:kern w:val="2"/>
          <w:sz w:val="32"/>
          <w:szCs w:val="32"/>
          <w:lang w:eastAsia="zh-CN"/>
        </w:rPr>
        <w:t>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按照“谁牵头调查，谁组织评估”原则，区应急管理局会同公安青浦分局、区总工会、区建管委、青浦工业园区组成河南存远建设工程有限公司”4.14”高处坠落一般事故整改和防</w:t>
      </w:r>
      <w:bookmarkStart w:id="0" w:name="_GoBack"/>
      <w:bookmarkEnd w:id="0"/>
      <w:r>
        <w:rPr>
          <w:rStyle w:val="12"/>
          <w:rFonts w:hint="eastAsia" w:ascii="仿宋_GB2312" w:hAnsi="Calibri" w:eastAsia="仿宋_GB2312" w:cs="Times New Roman"/>
          <w:snapToGrid/>
          <w:kern w:val="2"/>
          <w:sz w:val="32"/>
          <w:szCs w:val="32"/>
          <w:lang w:eastAsia="zh-CN"/>
        </w:rPr>
        <w:t>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2023年9月2日，上海市青浦区应急管理局（以下简称区应急管理局）按照事故责任认定及处理建议，对事故责任单位河南存远建设工程有限公司作出罚款 35万元的行政处罚决定；对事故责任人时任河南存远建设工程有限公司项目负责人胡国春、上海金山石油化工建筑有限公司项目经理李雄建</w:t>
      </w:r>
      <w:r>
        <w:rPr>
          <w:rStyle w:val="12"/>
          <w:rFonts w:hint="eastAsia" w:ascii="仿宋_GB2312" w:hAnsi="Calibri" w:eastAsia="仿宋_GB2312" w:cs="Times New Roman"/>
          <w:snapToGrid/>
          <w:kern w:val="2"/>
          <w:sz w:val="32"/>
          <w:szCs w:val="32"/>
          <w:lang w:val="en-US" w:eastAsia="zh-CN"/>
        </w:rPr>
        <w:t>,分别</w:t>
      </w:r>
      <w:r>
        <w:rPr>
          <w:rStyle w:val="12"/>
          <w:rFonts w:hint="eastAsia" w:ascii="仿宋_GB2312" w:hAnsi="Calibri" w:eastAsia="仿宋_GB2312" w:cs="Times New Roman"/>
          <w:snapToGrid/>
          <w:kern w:val="2"/>
          <w:sz w:val="32"/>
          <w:szCs w:val="32"/>
          <w:lang w:eastAsia="zh-CN"/>
        </w:rPr>
        <w:t>作出罚款24000元、50696元的行政处罚决定。</w:t>
      </w:r>
    </w:p>
    <w:p>
      <w:pPr>
        <w:pStyle w:val="6"/>
        <w:keepNext w:val="0"/>
        <w:keepLines w:val="0"/>
        <w:pageBreakBefore w:val="0"/>
        <w:wordWrap/>
        <w:overflowPunct/>
        <w:topLinePunct w:val="0"/>
        <w:bidi w:val="0"/>
        <w:spacing w:line="560" w:lineRule="exact"/>
        <w:ind w:firstLine="640" w:firstLineChars="200"/>
        <w:jc w:val="both"/>
        <w:rPr>
          <w:rStyle w:val="12"/>
          <w:rFonts w:hAnsi="Calibri" w:cs="Times New Roman"/>
          <w:snapToGrid/>
          <w:kern w:val="2"/>
          <w:sz w:val="32"/>
          <w:szCs w:val="32"/>
          <w:lang w:eastAsia="zh-CN"/>
        </w:rPr>
      </w:pPr>
      <w:r>
        <w:rPr>
          <w:rStyle w:val="12"/>
          <w:rFonts w:hint="eastAsia" w:hAnsi="Calibri" w:cs="Times New Roman"/>
          <w:snapToGrid/>
          <w:kern w:val="2"/>
          <w:sz w:val="32"/>
          <w:szCs w:val="32"/>
          <w:lang w:eastAsia="zh-CN"/>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numId w:val="0"/>
        </w:numPr>
        <w:tabs>
          <w:tab w:val="center" w:pos="4153"/>
          <w:tab w:val="right" w:pos="8306"/>
        </w:tabs>
        <w:kinsoku/>
        <w:wordWrap/>
        <w:overflowPunct/>
        <w:topLinePunct w:val="0"/>
        <w:autoSpaceDE/>
        <w:autoSpaceDN/>
        <w:bidi w:val="0"/>
        <w:adjustRightInd/>
        <w:snapToGrid/>
        <w:spacing w:line="560" w:lineRule="exact"/>
        <w:ind w:left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w:t>
      </w:r>
      <w:r>
        <w:rPr>
          <w:rFonts w:hint="eastAsia" w:ascii="黑体" w:hAnsi="黑体" w:eastAsia="CESI楷体-GB2312" w:cs="黑体"/>
          <w:b/>
          <w:bCs/>
          <w:snapToGrid/>
          <w:kern w:val="2"/>
          <w:sz w:val="32"/>
          <w:szCs w:val="32"/>
          <w:lang w:val="en-US" w:eastAsia="zh-CN"/>
        </w:rPr>
        <w:t>）巴克曼实验室化工（上海）有限公司</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实施钢棚施工安全作业许可证审批制度，审核上海金山石油化工建筑有限公司提交的钢棚施工方案，落实现场监护人制度，加强现场安全交底和微信监管群等措施确保安全措施的落实。加强对上海金山石油化工建筑有限公司进场施工人员的安全培训教育培训，审核施工人员的保险和特种作业人员的操作资格证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rPr>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吸取事故经验教训，对巴克曼实验室化工（上海）有限公司全体员工进行安全教育培训。</w:t>
      </w:r>
    </w:p>
    <w:p>
      <w:pPr>
        <w:keepNext w:val="0"/>
        <w:keepLines w:val="0"/>
        <w:pageBreakBefore w:val="0"/>
        <w:widowControl w:val="0"/>
        <w:numPr>
          <w:numId w:val="0"/>
        </w:numPr>
        <w:tabs>
          <w:tab w:val="center" w:pos="4153"/>
          <w:tab w:val="right" w:pos="8306"/>
        </w:tabs>
        <w:kinsoku/>
        <w:wordWrap/>
        <w:overflowPunct/>
        <w:topLinePunct w:val="0"/>
        <w:autoSpaceDE/>
        <w:autoSpaceDN/>
        <w:bidi w:val="0"/>
        <w:adjustRightInd/>
        <w:snapToGrid/>
        <w:spacing w:line="560" w:lineRule="exact"/>
        <w:ind w:left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（二）青浦工业园区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严格督促企业落实安全生产主体责任。园区督促企业按照“五落实五到位”要求，建立健全安全生产规章制度、安全生产操作规程，成立安全生产组织领导机构，做到安全责任到位、安全投入到位、安全培训到位、安全管理到位、应急救援到位。制定全员岗位安全生产责任制，企业按照《关于进一步落实企业安全生产责任意见》根据各岗位工作内容，结合不同岗位实际，制定全员岗位安全生产责任制，建立考核评价体系，保证相关安全生产责任可执行、可考核，实现企业安全生产全链条责任实名追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强化业务培训，提高履职能力。</w:t>
      </w:r>
      <w:r>
        <w:rPr>
          <w:rStyle w:val="12"/>
          <w:rFonts w:ascii="仿宋_GB2312" w:hAnsi="Calibri" w:eastAsia="仿宋_GB2312" w:cs="Times New Roman"/>
          <w:snapToGrid/>
          <w:kern w:val="2"/>
          <w:sz w:val="32"/>
          <w:szCs w:val="32"/>
          <w:lang w:eastAsia="zh-CN"/>
        </w:rPr>
        <w:t xml:space="preserve"> </w:t>
      </w:r>
      <w:r>
        <w:rPr>
          <w:rStyle w:val="12"/>
          <w:rFonts w:hint="eastAsia" w:ascii="仿宋_GB2312" w:hAnsi="Calibri" w:eastAsia="仿宋_GB2312" w:cs="Times New Roman"/>
          <w:snapToGrid/>
          <w:kern w:val="2"/>
          <w:sz w:val="32"/>
          <w:szCs w:val="32"/>
          <w:lang w:eastAsia="zh-CN"/>
        </w:rPr>
        <w:t>园区集团公司加大线下安全宣传力度，加强安全生产宣传、营造良好的安全生产环境，不断增强企业的安全生产意识，提高从业人员的法律意识和自我防范能力，为安全生产形势的稳定提供强大的舆论支持。</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强化承揽商作业排查整改，杜绝事故隐患滋长发生。为进一步加强园区区域内承揽商进厂作业安全风险管控，园区综服办努力做到“脚勤”、“嘴勤”</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体现出“防”、“早”“改”，努力纠正园区企业在承揽商进厂作业安全监管中的不到位。杜绝企业承揽商无序交叉作业、未经安全教育培训入厂作业和未进行安全技术交底的行为。保障园区企业安全有序地开展生产作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突出重点行业</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领域</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专项整治。坚持统筹兼顾点面结合的原则，做到既要全面发动，督促各企业彻底排查隐患和问题，更要重点检查事故频发、隐患突出、基础薄弱的行业和企业，尤其针对再生资源企业安全检查整治工作中发现的问题进行梳理归类，做到了即知即改；属疑难问题无法按时整改的，制定了整改时间表，尽快实施隐患清零。同时开展“回头看”</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确保各类问题整改到位。</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评估组按照事故调查报告及其批复要求，经资料审查、现场核查、专业评查，对该起事故处理、整改和防范措施落实情况进行综合评估后认为：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综上，该起事故处理已全部落实，事故整改措施已全部落实。</w:t>
      </w:r>
      <w:r>
        <w:rPr>
          <w:rStyle w:val="12"/>
          <w:rFonts w:hint="eastAsia" w:ascii="仿宋_GB2312" w:hAnsi="Calibri" w:eastAsia="仿宋_GB2312" w:cs="Times New Roman"/>
          <w:snapToGrid/>
          <w:kern w:val="2"/>
          <w:sz w:val="32"/>
          <w:szCs w:val="32"/>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（一）建议事故发生地巴克曼实验室化工（上海）有限公司继续完善公司安全生产标准化的建设，落实本单位安全生产主体责任，强化安全管理工作。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建议巴克曼实验室化工（上海）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（三）建议巴克曼实验室化工（上海）有限公司继续加强作业安全管理，严格执行特殊作业安全管理制度，安全工作许可证施行规则，上锁挂牌规则。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（四）建议巴克曼实验室化工（上海）有限公司继续加强承包商安全管理，严格执行承包商入厂教育培训规定，定期回顾各部门相关承包商安全表现业绩；严格落实承包商现场施工安全责任，优化现场监督管理。</w:t>
      </w:r>
    </w:p>
    <w:p>
      <w:pPr>
        <w:widowControl w:val="0"/>
        <w:kinsoku/>
        <w:autoSpaceDE/>
        <w:autoSpaceDN/>
        <w:adjustRightInd/>
        <w:snapToGrid/>
        <w:spacing w:line="560" w:lineRule="exact"/>
        <w:ind w:firstLine="640" w:firstLineChars="200"/>
        <w:jc w:val="right"/>
        <w:rPr>
          <w:rStyle w:val="12"/>
          <w:rFonts w:ascii="仿宋_GB2312" w:hAnsi="Calibri" w:eastAsia="仿宋_GB2312" w:cs="Times New Roman"/>
          <w:snapToGrid/>
          <w:kern w:val="2"/>
          <w:sz w:val="32"/>
          <w:szCs w:val="32"/>
          <w:lang w:eastAsia="zh-CN"/>
        </w:rPr>
      </w:pPr>
    </w:p>
    <w:p>
      <w:pPr>
        <w:widowControl w:val="0"/>
        <w:kinsoku/>
        <w:autoSpaceDE/>
        <w:autoSpaceDN/>
        <w:adjustRightInd/>
        <w:snapToGrid/>
        <w:spacing w:line="560" w:lineRule="exact"/>
        <w:ind w:firstLine="640" w:firstLineChars="200"/>
        <w:jc w:val="right"/>
        <w:rPr>
          <w:rStyle w:val="12"/>
          <w:rFonts w:ascii="仿宋_GB2312" w:hAnsi="Calibri" w:eastAsia="仿宋_GB2312" w:cs="Times New Roman"/>
          <w:snapToGrid/>
          <w:kern w:val="2"/>
          <w:sz w:val="32"/>
          <w:szCs w:val="32"/>
          <w:lang w:eastAsia="zh-CN"/>
        </w:rPr>
      </w:pPr>
    </w:p>
    <w:p>
      <w:pPr>
        <w:widowControl w:val="0"/>
        <w:kinsoku/>
        <w:autoSpaceDE/>
        <w:autoSpaceDN/>
        <w:adjustRightInd/>
        <w:snapToGrid/>
        <w:spacing w:line="560" w:lineRule="exact"/>
        <w:ind w:firstLine="640" w:firstLineChars="200"/>
        <w:jc w:val="right"/>
        <w:rPr>
          <w:rStyle w:val="12"/>
          <w:rFonts w:ascii="仿宋_GB2312" w:hAnsi="Calibri" w:eastAsia="仿宋_GB2312" w:cs="Times New Roman"/>
          <w:snapToGrid/>
          <w:kern w:val="2"/>
          <w:sz w:val="32"/>
          <w:szCs w:val="32"/>
          <w:lang w:eastAsia="zh-CN"/>
        </w:rPr>
      </w:pPr>
    </w:p>
    <w:p>
      <w:pPr>
        <w:widowControl w:val="0"/>
        <w:kinsoku/>
        <w:autoSpaceDE/>
        <w:autoSpaceDN/>
        <w:adjustRightInd/>
        <w:snapToGrid/>
        <w:spacing w:line="560" w:lineRule="exact"/>
        <w:ind w:firstLine="640" w:firstLineChars="200"/>
        <w:jc w:val="right"/>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河南存远建设工程有限公司”4.14”高处坠落</w:t>
      </w:r>
    </w:p>
    <w:p>
      <w:pPr>
        <w:widowControl w:val="0"/>
        <w:kinsoku/>
        <w:autoSpaceDE/>
        <w:autoSpaceDN/>
        <w:adjustRightInd/>
        <w:snapToGrid/>
        <w:spacing w:line="560" w:lineRule="exact"/>
        <w:ind w:firstLine="640" w:firstLineChars="200"/>
        <w:jc w:val="right"/>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一般事故整改和防范措施落实情况评估组</w:t>
      </w:r>
    </w:p>
    <w:p>
      <w:pPr>
        <w:widowControl w:val="0"/>
        <w:kinsoku/>
        <w:autoSpaceDE/>
        <w:autoSpaceDN/>
        <w:adjustRightInd/>
        <w:snapToGrid/>
        <w:spacing w:line="560" w:lineRule="exact"/>
        <w:ind w:firstLine="640" w:firstLineChars="200"/>
        <w:jc w:val="right"/>
        <w:rPr>
          <w:rFonts w:hint="eastAsia" w:asciiTheme="minorEastAsia" w:hAnsiTheme="minorEastAsia" w:eastAsiaTheme="minorEastAsia"/>
          <w:sz w:val="32"/>
          <w:szCs w:val="32"/>
          <w:lang w:eastAsia="zh-CN"/>
        </w:rPr>
      </w:pPr>
      <w:r>
        <w:rPr>
          <w:rStyle w:val="12"/>
          <w:rFonts w:hint="eastAsia" w:ascii="仿宋_GB2312" w:hAnsi="Calibri" w:eastAsia="仿宋_GB2312" w:cs="Times New Roman"/>
          <w:snapToGrid/>
          <w:kern w:val="2"/>
          <w:sz w:val="32"/>
          <w:szCs w:val="32"/>
          <w:lang w:eastAsia="zh-CN"/>
        </w:rPr>
        <w:t>202</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年 1</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 xml:space="preserve">月 </w:t>
      </w:r>
      <w:r>
        <w:rPr>
          <w:rStyle w:val="12"/>
          <w:rFonts w:hint="eastAsia" w:ascii="仿宋_GB2312" w:hAnsi="Calibri" w:eastAsia="仿宋_GB2312" w:cs="Times New Roman"/>
          <w:snapToGrid/>
          <w:kern w:val="2"/>
          <w:sz w:val="32"/>
          <w:szCs w:val="32"/>
          <w:lang w:val="en-US" w:eastAsia="zh-CN"/>
        </w:rPr>
        <w:t>08</w:t>
      </w:r>
      <w:r>
        <w:rPr>
          <w:rStyle w:val="12"/>
          <w:rFonts w:hint="eastAsia" w:ascii="仿宋_GB2312" w:hAnsi="Calibri" w:eastAsia="仿宋_GB2312" w:cs="Times New Roman"/>
          <w:snapToGrid/>
          <w:kern w:val="2"/>
          <w:sz w:val="32"/>
          <w:szCs w:val="32"/>
          <w:lang w:eastAsia="zh-CN"/>
        </w:rPr>
        <w:t xml:space="preserve"> 日</w:t>
      </w:r>
    </w:p>
    <w:p>
      <w:pPr>
        <w:pStyle w:val="6"/>
        <w:spacing w:line="328" w:lineRule="auto"/>
        <w:ind w:right="112"/>
        <w:rPr>
          <w:rFonts w:hint="eastAsia" w:asciiTheme="minorEastAsia" w:hAnsiTheme="minorEastAsia" w:eastAsiaTheme="minorEastAsia"/>
          <w:sz w:val="32"/>
          <w:szCs w:val="32"/>
          <w:lang w:eastAsia="zh-CN"/>
        </w:rPr>
      </w:pPr>
    </w:p>
    <w:p>
      <w:pPr>
        <w:pStyle w:val="6"/>
        <w:spacing w:line="328" w:lineRule="auto"/>
        <w:ind w:right="112"/>
        <w:rPr>
          <w:rFonts w:hint="eastAsia" w:asciiTheme="minorEastAsia" w:hAnsiTheme="minorEastAsia" w:eastAsiaTheme="minorEastAsia"/>
          <w:sz w:val="32"/>
          <w:szCs w:val="32"/>
          <w:lang w:eastAsia="zh-CN"/>
        </w:rPr>
      </w:pP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81" w:lineRule="auto"/>
      <w:ind w:left="4087"/>
      <w:rPr>
        <w:rFonts w:hint="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7ED22D68"/>
    <w:multiLevelType w:val="singleLevel"/>
    <w:tmpl w:val="7ED22D68"/>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33843"/>
    <w:rsid w:val="00043350"/>
    <w:rsid w:val="000612EF"/>
    <w:rsid w:val="000B35E9"/>
    <w:rsid w:val="000B5CDE"/>
    <w:rsid w:val="000C1ADB"/>
    <w:rsid w:val="000D1332"/>
    <w:rsid w:val="000F0079"/>
    <w:rsid w:val="00136FF6"/>
    <w:rsid w:val="00161533"/>
    <w:rsid w:val="00166A17"/>
    <w:rsid w:val="001C4529"/>
    <w:rsid w:val="00215989"/>
    <w:rsid w:val="002172BB"/>
    <w:rsid w:val="002209AC"/>
    <w:rsid w:val="002318F6"/>
    <w:rsid w:val="00232D43"/>
    <w:rsid w:val="00232F7F"/>
    <w:rsid w:val="002334BA"/>
    <w:rsid w:val="00276526"/>
    <w:rsid w:val="00294323"/>
    <w:rsid w:val="002B18AB"/>
    <w:rsid w:val="002B23E2"/>
    <w:rsid w:val="002C42DE"/>
    <w:rsid w:val="003111A8"/>
    <w:rsid w:val="0031596E"/>
    <w:rsid w:val="003559FC"/>
    <w:rsid w:val="003E3EEA"/>
    <w:rsid w:val="003E7CA8"/>
    <w:rsid w:val="004017D8"/>
    <w:rsid w:val="00441B51"/>
    <w:rsid w:val="004851EA"/>
    <w:rsid w:val="004930F4"/>
    <w:rsid w:val="004C2307"/>
    <w:rsid w:val="004C2CDA"/>
    <w:rsid w:val="004D012A"/>
    <w:rsid w:val="005178CB"/>
    <w:rsid w:val="00550B57"/>
    <w:rsid w:val="0056251C"/>
    <w:rsid w:val="0058492E"/>
    <w:rsid w:val="005D3499"/>
    <w:rsid w:val="005E4172"/>
    <w:rsid w:val="005E4C43"/>
    <w:rsid w:val="005E73F3"/>
    <w:rsid w:val="00602760"/>
    <w:rsid w:val="00627A60"/>
    <w:rsid w:val="00675371"/>
    <w:rsid w:val="006A58C8"/>
    <w:rsid w:val="006C2780"/>
    <w:rsid w:val="006F4831"/>
    <w:rsid w:val="007D58A2"/>
    <w:rsid w:val="008422C4"/>
    <w:rsid w:val="00851B00"/>
    <w:rsid w:val="00864E3F"/>
    <w:rsid w:val="008C2028"/>
    <w:rsid w:val="008E2486"/>
    <w:rsid w:val="00917D4C"/>
    <w:rsid w:val="00953491"/>
    <w:rsid w:val="0096514A"/>
    <w:rsid w:val="00966773"/>
    <w:rsid w:val="009C7BA1"/>
    <w:rsid w:val="009D03C7"/>
    <w:rsid w:val="00A2572B"/>
    <w:rsid w:val="00A55ECC"/>
    <w:rsid w:val="00A67385"/>
    <w:rsid w:val="00A75191"/>
    <w:rsid w:val="00A82407"/>
    <w:rsid w:val="00A97E6E"/>
    <w:rsid w:val="00AA0C47"/>
    <w:rsid w:val="00AA22BD"/>
    <w:rsid w:val="00AB3161"/>
    <w:rsid w:val="00B3521D"/>
    <w:rsid w:val="00B8686E"/>
    <w:rsid w:val="00BA231F"/>
    <w:rsid w:val="00C140AC"/>
    <w:rsid w:val="00C57041"/>
    <w:rsid w:val="00C72784"/>
    <w:rsid w:val="00C7730C"/>
    <w:rsid w:val="00C80C62"/>
    <w:rsid w:val="00C869D6"/>
    <w:rsid w:val="00CA0496"/>
    <w:rsid w:val="00CD3135"/>
    <w:rsid w:val="00CE6D89"/>
    <w:rsid w:val="00D03AC5"/>
    <w:rsid w:val="00D12F4B"/>
    <w:rsid w:val="00D237E1"/>
    <w:rsid w:val="00D85665"/>
    <w:rsid w:val="00D94D48"/>
    <w:rsid w:val="00DE61C2"/>
    <w:rsid w:val="00DF56EA"/>
    <w:rsid w:val="00E0434E"/>
    <w:rsid w:val="00E1320C"/>
    <w:rsid w:val="00E3494B"/>
    <w:rsid w:val="00E366F0"/>
    <w:rsid w:val="00E46327"/>
    <w:rsid w:val="00E54B71"/>
    <w:rsid w:val="00E87D1F"/>
    <w:rsid w:val="00E87DE6"/>
    <w:rsid w:val="00E930CC"/>
    <w:rsid w:val="00EE68BD"/>
    <w:rsid w:val="00EF16A5"/>
    <w:rsid w:val="00F24A3E"/>
    <w:rsid w:val="00F449E0"/>
    <w:rsid w:val="00F451AC"/>
    <w:rsid w:val="00F52B32"/>
    <w:rsid w:val="00F7641B"/>
    <w:rsid w:val="09EDEF68"/>
    <w:rsid w:val="25FB4205"/>
    <w:rsid w:val="2B77CF6C"/>
    <w:rsid w:val="2C3D9A19"/>
    <w:rsid w:val="32BF25F8"/>
    <w:rsid w:val="3AB47223"/>
    <w:rsid w:val="3FA076F0"/>
    <w:rsid w:val="53F7CD71"/>
    <w:rsid w:val="568720DD"/>
    <w:rsid w:val="57936EF0"/>
    <w:rsid w:val="5B6F8C9E"/>
    <w:rsid w:val="5EAFCBB6"/>
    <w:rsid w:val="6DFF5AF4"/>
    <w:rsid w:val="6EBF95A5"/>
    <w:rsid w:val="6FBF0F0D"/>
    <w:rsid w:val="6FBF4C2C"/>
    <w:rsid w:val="71D5D338"/>
    <w:rsid w:val="73ED2064"/>
    <w:rsid w:val="73FBF9DC"/>
    <w:rsid w:val="75FB7510"/>
    <w:rsid w:val="78EE5BCB"/>
    <w:rsid w:val="7D53908F"/>
    <w:rsid w:val="7FEA1360"/>
    <w:rsid w:val="7FFBAC46"/>
    <w:rsid w:val="7FFC0D20"/>
    <w:rsid w:val="7FFF3263"/>
    <w:rsid w:val="9B1F6CD4"/>
    <w:rsid w:val="AD7F2AA9"/>
    <w:rsid w:val="AF9E0EB5"/>
    <w:rsid w:val="BDE6D0E8"/>
    <w:rsid w:val="BFDE767F"/>
    <w:rsid w:val="BFF65060"/>
    <w:rsid w:val="DFFF5988"/>
    <w:rsid w:val="EFD7C7A9"/>
    <w:rsid w:val="F3EF60BC"/>
    <w:rsid w:val="F67D4C76"/>
    <w:rsid w:val="F67F046D"/>
    <w:rsid w:val="F7DF7371"/>
    <w:rsid w:val="FB7CF99F"/>
    <w:rsid w:val="FBEEE941"/>
    <w:rsid w:val="FD784FE5"/>
    <w:rsid w:val="FDF42875"/>
    <w:rsid w:val="FF7E9E6D"/>
    <w:rsid w:val="FFC94981"/>
    <w:rsid w:val="FFFBC47E"/>
    <w:rsid w:val="FFFDF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370</Words>
  <Characters>2109</Characters>
  <Lines>17</Lines>
  <Paragraphs>4</Paragraphs>
  <TotalTime>37</TotalTime>
  <ScaleCrop>false</ScaleCrop>
  <LinksUpToDate>false</LinksUpToDate>
  <CharactersWithSpaces>2475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2024-11-06T15:05:00Z</dcterms:created>
  <dc:creator>ms</dc:creator>
  <cp:lastModifiedBy>yjj-503</cp:lastModifiedBy>
  <dcterms:modified xsi:type="dcterms:W3CDTF">2024-11-11T09:35:33Z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