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Theme="minorEastAsia" w:hAnsiTheme="minorEastAsia" w:eastAsiaTheme="minorEastAsia" w:cstheme="minorEastAsia"/>
          <w:b w:val="0"/>
          <w:bCs w:val="0"/>
          <w:snapToGrid/>
          <w:color w:val="auto"/>
          <w:kern w:val="2"/>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佰弘机械（上海）有限公司“10·30”高处坠落</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8"/>
        <w:rPr>
          <w:rFonts w:hint="eastAsia"/>
          <w:lang w:val="en-US" w:eastAsia="zh-CN"/>
        </w:rPr>
      </w:pPr>
      <w:bookmarkStart w:id="1" w:name="_GoBack"/>
      <w:bookmarkEnd w:id="1"/>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Style w:val="13"/>
          <w:rFonts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color w:val="000000"/>
          <w:kern w:val="2"/>
          <w:sz w:val="32"/>
          <w:szCs w:val="32"/>
          <w:lang w:val="en-US" w:eastAsia="zh-CN" w:bidi="ar-SA"/>
        </w:rPr>
        <w:t>2024年10月30日上午9时15分许，上海市青浦区白鹤镇外青松公路2599弄8号佰弘机械（上海）有限公司厂区内，1名工人韩海清（男，上海人，69岁）攀爬在爬梯上修剪枝桠时不慎坠落地面，坠落高度约2.5米。事故共造成1人死亡，直接经济损失约105万元。事发后，上海市青浦区应急管理局会同相关部门依法开展事故调查，形成《青浦白鹤佰弘机械（上海）有限公司“10·30”一般高处坠落事故调查报告》（以下简称事故调查报告）并报经青浦区人民政府批复同意。根据《中华人民共和国安全生产法》《生产安全</w:t>
      </w:r>
      <w:r>
        <w:rPr>
          <w:rStyle w:val="13"/>
          <w:rFonts w:ascii="仿宋_GB2312" w:hAnsi="Calibri" w:eastAsia="仿宋_GB2312" w:cs="Times New Roman"/>
          <w:snapToGrid/>
          <w:kern w:val="2"/>
          <w:sz w:val="32"/>
          <w:szCs w:val="32"/>
          <w:lang w:eastAsia="zh-CN"/>
        </w:rPr>
        <w:t>事故报告和调查处理条例》《上海市实施〈生产安全事故报告和调查处理条例〉的若干规定》《生产安全事故防范和整改措施落实情况评估办法》等有关规定，</w:t>
      </w:r>
      <w:r>
        <w:rPr>
          <w:rStyle w:val="13"/>
          <w:rFonts w:hint="eastAsia" w:ascii="仿宋_GB2312" w:hAnsi="Calibri" w:eastAsia="仿宋_GB2312" w:cs="Times New Roman"/>
          <w:snapToGrid/>
          <w:kern w:val="2"/>
          <w:sz w:val="32"/>
          <w:szCs w:val="32"/>
          <w:lang w:eastAsia="zh-CN"/>
        </w:rPr>
        <w:t>青浦区</w:t>
      </w:r>
      <w:r>
        <w:rPr>
          <w:rStyle w:val="13"/>
          <w:rFonts w:ascii="仿宋_GB2312" w:hAnsi="Calibri" w:eastAsia="仿宋_GB2312" w:cs="Times New Roman"/>
          <w:snapToGrid/>
          <w:kern w:val="2"/>
          <w:sz w:val="32"/>
          <w:szCs w:val="32"/>
          <w:lang w:eastAsia="zh-CN"/>
        </w:rPr>
        <w:t>应急管理局牵头会同相关部门成立评估组，于202</w:t>
      </w:r>
      <w:r>
        <w:rPr>
          <w:rStyle w:val="13"/>
          <w:rFonts w:hint="eastAsia" w:ascii="仿宋_GB2312" w:hAnsi="Calibri" w:eastAsia="仿宋_GB2312" w:cs="Times New Roman"/>
          <w:snapToGrid/>
          <w:kern w:val="2"/>
          <w:sz w:val="32"/>
          <w:szCs w:val="32"/>
          <w:lang w:eastAsia="zh-CN"/>
        </w:rPr>
        <w:t>5</w:t>
      </w:r>
      <w:r>
        <w:rPr>
          <w:rStyle w:val="13"/>
          <w:rFonts w:ascii="仿宋_GB2312" w:hAnsi="Calibri" w:eastAsia="仿宋_GB2312" w:cs="Times New Roman"/>
          <w:snapToGrid/>
          <w:kern w:val="2"/>
          <w:sz w:val="32"/>
          <w:szCs w:val="32"/>
          <w:lang w:eastAsia="zh-CN"/>
        </w:rPr>
        <w:t>年</w:t>
      </w:r>
      <w:r>
        <w:rPr>
          <w:rStyle w:val="13"/>
          <w:rFonts w:hint="eastAsia" w:ascii="仿宋_GB2312" w:hAnsi="Calibri" w:eastAsia="仿宋_GB2312" w:cs="Times New Roman"/>
          <w:snapToGrid/>
          <w:kern w:val="2"/>
          <w:sz w:val="32"/>
          <w:szCs w:val="32"/>
          <w:lang w:eastAsia="zh-CN"/>
        </w:rPr>
        <w:t>4</w:t>
      </w:r>
      <w:r>
        <w:rPr>
          <w:rStyle w:val="13"/>
          <w:rFonts w:ascii="仿宋_GB2312" w:hAnsi="Calibri" w:eastAsia="仿宋_GB2312" w:cs="Times New Roman"/>
          <w:snapToGrid/>
          <w:kern w:val="2"/>
          <w:sz w:val="32"/>
          <w:szCs w:val="32"/>
          <w:lang w:eastAsia="zh-CN"/>
        </w:rPr>
        <w:t>月</w:t>
      </w:r>
      <w:r>
        <w:rPr>
          <w:rStyle w:val="13"/>
          <w:rFonts w:hint="eastAsia" w:ascii="仿宋_GB2312" w:hAnsi="Calibri" w:eastAsia="仿宋_GB2312" w:cs="Times New Roman"/>
          <w:snapToGrid/>
          <w:kern w:val="2"/>
          <w:sz w:val="32"/>
          <w:szCs w:val="32"/>
          <w:lang w:eastAsia="zh-CN"/>
        </w:rPr>
        <w:t>2</w:t>
      </w:r>
      <w:r>
        <w:rPr>
          <w:rStyle w:val="13"/>
          <w:rFonts w:hint="eastAsia" w:ascii="仿宋_GB2312" w:hAnsi="Calibri" w:eastAsia="仿宋_GB2312" w:cs="Times New Roman"/>
          <w:snapToGrid/>
          <w:kern w:val="2"/>
          <w:sz w:val="32"/>
          <w:szCs w:val="32"/>
          <w:lang w:val="en-US" w:eastAsia="zh-CN"/>
        </w:rPr>
        <w:t>4</w:t>
      </w:r>
      <w:r>
        <w:rPr>
          <w:rStyle w:val="13"/>
          <w:rFonts w:ascii="仿宋_GB2312" w:hAnsi="Calibri" w:eastAsia="仿宋_GB2312" w:cs="Times New Roman"/>
          <w:snapToGrid/>
          <w:kern w:val="2"/>
          <w:sz w:val="32"/>
          <w:szCs w:val="32"/>
          <w:lang w:eastAsia="zh-CN"/>
        </w:rPr>
        <w:t>日至</w:t>
      </w:r>
      <w:r>
        <w:rPr>
          <w:rStyle w:val="13"/>
          <w:rFonts w:hint="eastAsia" w:ascii="仿宋_GB2312" w:hAnsi="Calibri" w:eastAsia="仿宋_GB2312" w:cs="Times New Roman"/>
          <w:snapToGrid/>
          <w:kern w:val="2"/>
          <w:sz w:val="32"/>
          <w:szCs w:val="32"/>
          <w:lang w:eastAsia="zh-CN"/>
        </w:rPr>
        <w:t>5</w:t>
      </w:r>
      <w:r>
        <w:rPr>
          <w:rStyle w:val="13"/>
          <w:rFonts w:ascii="仿宋_GB2312" w:hAnsi="Calibri" w:eastAsia="仿宋_GB2312" w:cs="Times New Roman"/>
          <w:snapToGrid/>
          <w:kern w:val="2"/>
          <w:sz w:val="32"/>
          <w:szCs w:val="32"/>
          <w:lang w:eastAsia="zh-CN"/>
        </w:rPr>
        <w:t>月</w:t>
      </w:r>
      <w:r>
        <w:rPr>
          <w:rStyle w:val="13"/>
          <w:rFonts w:hint="eastAsia" w:ascii="仿宋_GB2312" w:hAnsi="Calibri" w:eastAsia="仿宋_GB2312" w:cs="Times New Roman"/>
          <w:snapToGrid/>
          <w:kern w:val="2"/>
          <w:sz w:val="32"/>
          <w:szCs w:val="32"/>
          <w:lang w:eastAsia="zh-CN"/>
        </w:rPr>
        <w:t>30</w:t>
      </w:r>
      <w:r>
        <w:rPr>
          <w:rStyle w:val="13"/>
          <w:rFonts w:ascii="仿宋_GB2312" w:hAnsi="Calibri" w:eastAsia="仿宋_GB2312" w:cs="Times New Roman"/>
          <w:snapToGrid/>
          <w:kern w:val="2"/>
          <w:sz w:val="32"/>
          <w:szCs w:val="32"/>
          <w:lang w:eastAsia="zh-CN"/>
        </w:rPr>
        <w:t>日开展事故整改和防范措施落实情况评估，形成本评估</w:t>
      </w:r>
      <w:r>
        <w:rPr>
          <w:rStyle w:val="13"/>
          <w:rFonts w:hint="eastAsia" w:ascii="仿宋_GB2312" w:hAnsi="Calibri" w:eastAsia="仿宋_GB2312" w:cs="Times New Roman"/>
          <w:snapToGrid/>
          <w:kern w:val="2"/>
          <w:sz w:val="32"/>
          <w:szCs w:val="32"/>
          <w:lang w:eastAsia="zh-CN"/>
        </w:rPr>
        <w:t>报告</w:t>
      </w:r>
      <w:r>
        <w:rPr>
          <w:rStyle w:val="13"/>
          <w:rFonts w:ascii="仿宋_GB2312" w:hAnsi="Calibri" w:eastAsia="仿宋_GB2312" w:cs="Times New Roman"/>
          <w:snapToGrid/>
          <w:kern w:val="2"/>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按照“谁牵头调查，谁组织评估”原则，区应急管理局会同上海市公安局青浦分局、区总工会、白鹤镇人民政府组成</w:t>
      </w:r>
      <w:r>
        <w:rPr>
          <w:rStyle w:val="13"/>
          <w:rFonts w:hint="eastAsia" w:ascii="仿宋_GB2312" w:hAnsi="Calibri" w:eastAsia="仿宋_GB2312" w:cs="Times New Roman"/>
          <w:snapToGrid/>
          <w:color w:val="000000"/>
          <w:kern w:val="2"/>
          <w:sz w:val="32"/>
          <w:szCs w:val="32"/>
          <w:lang w:val="en-US" w:eastAsia="zh-CN" w:bidi="ar-SA"/>
        </w:rPr>
        <w:t>青浦白鹤</w:t>
      </w:r>
      <w:r>
        <w:rPr>
          <w:rStyle w:val="13"/>
          <w:rFonts w:hint="eastAsia" w:ascii="仿宋_GB2312" w:hAnsi="Calibri" w:eastAsia="仿宋_GB2312" w:cs="Times New Roman"/>
          <w:snapToGrid/>
          <w:kern w:val="2"/>
          <w:sz w:val="32"/>
          <w:szCs w:val="32"/>
          <w:lang w:eastAsia="zh-CN"/>
        </w:rPr>
        <w:t>佰弘机械（上海）有限公司“10.30”高处坠落一般事故整改和防范措施落实情况评估组（以下简称评估组），委托上海欣企安全生产咨询服务有限公司及相关专家参与评估。</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事故处理落实情况</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2025年</w:t>
      </w:r>
      <w:r>
        <w:rPr>
          <w:rStyle w:val="13"/>
          <w:rFonts w:hint="eastAsia" w:ascii="仿宋_GB2312" w:hAnsi="Calibri" w:eastAsia="仿宋_GB2312" w:cs="Times New Roman"/>
          <w:snapToGrid/>
          <w:kern w:val="2"/>
          <w:sz w:val="32"/>
          <w:szCs w:val="32"/>
          <w:lang w:val="en-US" w:eastAsia="zh-CN"/>
        </w:rPr>
        <w:t>3</w:t>
      </w:r>
      <w:r>
        <w:rPr>
          <w:rStyle w:val="13"/>
          <w:rFonts w:hint="eastAsia" w:ascii="仿宋_GB2312" w:hAnsi="Calibri" w:eastAsia="仿宋_GB2312" w:cs="Times New Roman"/>
          <w:snapToGrid/>
          <w:kern w:val="2"/>
          <w:sz w:val="32"/>
          <w:szCs w:val="32"/>
          <w:lang w:eastAsia="zh-CN"/>
        </w:rPr>
        <w:t>月</w:t>
      </w:r>
      <w:r>
        <w:rPr>
          <w:rStyle w:val="13"/>
          <w:rFonts w:hint="eastAsia" w:ascii="仿宋_GB2312" w:hAnsi="Calibri" w:eastAsia="仿宋_GB2312" w:cs="Times New Roman"/>
          <w:snapToGrid/>
          <w:kern w:val="2"/>
          <w:sz w:val="32"/>
          <w:szCs w:val="32"/>
          <w:lang w:val="en-US" w:eastAsia="zh-CN"/>
        </w:rPr>
        <w:t>6</w:t>
      </w:r>
      <w:r>
        <w:rPr>
          <w:rStyle w:val="13"/>
          <w:rFonts w:hint="eastAsia" w:ascii="仿宋_GB2312" w:hAnsi="Calibri" w:eastAsia="仿宋_GB2312" w:cs="Times New Roman"/>
          <w:snapToGrid/>
          <w:kern w:val="2"/>
          <w:sz w:val="32"/>
          <w:szCs w:val="32"/>
          <w:lang w:eastAsia="zh-CN"/>
        </w:rPr>
        <w:t>日，上海市青浦区应急管理局（以下简称区应急管理局）按照事故责任认定及处理建议，对事故责任人</w:t>
      </w:r>
      <w:r>
        <w:rPr>
          <w:rStyle w:val="13"/>
          <w:rFonts w:hint="eastAsia" w:ascii="仿宋_GB2312" w:hAnsi="Calibri" w:eastAsia="仿宋_GB2312" w:cs="Times New Roman"/>
          <w:snapToGrid/>
          <w:kern w:val="2"/>
          <w:sz w:val="32"/>
          <w:szCs w:val="32"/>
          <w:lang w:val="en-US" w:eastAsia="zh-CN"/>
        </w:rPr>
        <w:t>涉事厂区树木修剪移植工程的承揽人</w:t>
      </w:r>
      <w:r>
        <w:rPr>
          <w:rStyle w:val="13"/>
          <w:rFonts w:hint="eastAsia" w:ascii="仿宋_GB2312" w:hAnsi="Calibri" w:eastAsia="仿宋_GB2312" w:cs="Times New Roman"/>
          <w:snapToGrid/>
          <w:kern w:val="2"/>
          <w:sz w:val="32"/>
          <w:szCs w:val="32"/>
          <w:lang w:eastAsia="zh-CN"/>
        </w:rPr>
        <w:t>冒正明、</w:t>
      </w:r>
      <w:r>
        <w:rPr>
          <w:rStyle w:val="13"/>
          <w:rFonts w:hint="eastAsia" w:ascii="仿宋_GB2312" w:hAnsi="Calibri" w:eastAsia="仿宋_GB2312" w:cs="Times New Roman"/>
          <w:snapToGrid/>
          <w:kern w:val="2"/>
          <w:sz w:val="32"/>
          <w:szCs w:val="32"/>
          <w:lang w:val="en-US" w:eastAsia="zh-CN"/>
        </w:rPr>
        <w:t>佰弘机械（上海）有限公司车间主任兼安全员</w:t>
      </w:r>
      <w:r>
        <w:rPr>
          <w:rStyle w:val="13"/>
          <w:rFonts w:hint="eastAsia" w:ascii="仿宋_GB2312" w:hAnsi="Calibri" w:eastAsia="仿宋_GB2312" w:cs="Times New Roman"/>
          <w:snapToGrid/>
          <w:kern w:val="2"/>
          <w:sz w:val="32"/>
          <w:szCs w:val="32"/>
          <w:lang w:eastAsia="zh-CN"/>
        </w:rPr>
        <w:t>于斌，分别作出罚款30000元、8000元的行政处罚决定。</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经核实，以上行政处罚均已执行。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0" w:firstLine="641" w:firstLineChars="200"/>
        <w:jc w:val="both"/>
        <w:textAlignment w:val="baseline"/>
        <w:rPr>
          <w:rFonts w:hint="eastAsia" w:asciiTheme="minorEastAsia" w:hAnsiTheme="minorEastAsia" w:eastAsiaTheme="minorEastAsia"/>
          <w:sz w:val="32"/>
          <w:szCs w:val="32"/>
          <w:lang w:eastAsia="zh-CN"/>
        </w:rPr>
      </w:pPr>
      <w:r>
        <w:rPr>
          <w:rFonts w:hint="eastAsia" w:ascii="黑体" w:hAnsi="黑体" w:eastAsia="CESI楷体-GB2312" w:cs="黑体"/>
          <w:b/>
          <w:bCs/>
          <w:snapToGrid/>
          <w:color w:val="000000"/>
          <w:kern w:val="2"/>
          <w:sz w:val="32"/>
          <w:szCs w:val="32"/>
          <w:lang w:val="en-US" w:eastAsia="zh-CN" w:bidi="ar-SA"/>
        </w:rPr>
        <w:t>（一）佰弘机械（上海）有限公司</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right="0" w:firstLine="640" w:firstLineChars="200"/>
        <w:jc w:val="both"/>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建立健全对外来工作人员的安全生产规章制度，对可能出现的安全生产风险隐患做好预判预防工作，加强对生产经营项目的发包管理，禁止将生产经营项目发包至不具备资质和安全生产条件的单位和个人，切实落实安全生产主体责任。</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right="0" w:firstLine="640" w:firstLineChars="200"/>
        <w:jc w:val="both"/>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加强安全生产工作，定期开展安全检查，及时发现安全隐患问题并积极整改落实到位，加强作业现场的安全管理工作，严格规范落实特种作业的相关规定要求，通过技术、管理、教育等有效措施，及时发现并消除生产安全事故隐患，谨防事故发生。</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right="0" w:firstLine="640" w:firstLineChars="200"/>
        <w:jc w:val="both"/>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强化全体员工的安全教育培训，再针对管理层和安全员做定期重点安全培训和会议，加强防范意识，做到安全无小事，安全工作高于天，安全责任重于泰山，对安全工作要有紧迫感和忧患意识，时刻保持警觉，不能有丝毫的懈怠和厌倦。加强对本公司和外来作业人员的安全生产教育培训工作，提高作业人员岗位所必须得安全意识和安全操作技能，确保作业人员按照安全操作规程要求规范进行作业。</w:t>
      </w:r>
    </w:p>
    <w:p>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0" w:firstLine="641" w:firstLineChars="200"/>
        <w:jc w:val="both"/>
        <w:textAlignment w:val="baseline"/>
        <w:rPr>
          <w:rFonts w:hint="eastAsia" w:ascii="黑体" w:hAnsi="黑体" w:eastAsia="CESI楷体-GB2312" w:cs="黑体"/>
          <w:b/>
          <w:bCs/>
          <w:snapToGrid/>
          <w:color w:val="000000"/>
          <w:kern w:val="2"/>
          <w:sz w:val="32"/>
          <w:szCs w:val="32"/>
          <w:lang w:val="en-US" w:eastAsia="zh-CN" w:bidi="ar-SA"/>
        </w:rPr>
      </w:pPr>
      <w:r>
        <w:rPr>
          <w:rFonts w:hint="eastAsia" w:ascii="黑体" w:hAnsi="黑体" w:eastAsia="CESI楷体-GB2312" w:cs="黑体"/>
          <w:b/>
          <w:bCs/>
          <w:snapToGrid/>
          <w:color w:val="000000"/>
          <w:kern w:val="2"/>
          <w:sz w:val="32"/>
          <w:szCs w:val="32"/>
          <w:lang w:val="en-US" w:eastAsia="zh-CN" w:bidi="ar-SA"/>
        </w:rPr>
        <w:t>（二）白鹤镇人民政府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firstLine="640" w:firstLineChars="200"/>
        <w:jc w:val="both"/>
        <w:textAlignment w:val="baseline"/>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val="en-US" w:eastAsia="zh-CN"/>
        </w:rPr>
        <w:t>1、</w:t>
      </w:r>
      <w:r>
        <w:rPr>
          <w:rStyle w:val="13"/>
          <w:rFonts w:hint="eastAsia" w:ascii="仿宋_GB2312" w:hAnsi="Calibri" w:eastAsia="仿宋_GB2312" w:cs="Times New Roman"/>
          <w:snapToGrid/>
          <w:kern w:val="2"/>
          <w:sz w:val="32"/>
          <w:szCs w:val="32"/>
          <w:lang w:eastAsia="zh-CN"/>
        </w:rPr>
        <w:t>完善制度，严格治理。深刻总结安全生产经验教训，于2024年11月启动编制并于2025年4月14日经镇党委会审议通过推出《全面推进安全生产除险保安工程行动方案》，将建设工程安全监管列为重点任务。方案明确要求：职能部门需建立项目动态排查备案机制，严查关键岗位到岗履职，落实复工安全培训；深化高空作业整治，运用实名制及智慧监管平台闭环整改隐患，构建全流程安全监管体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firstLine="640" w:firstLineChars="200"/>
        <w:jc w:val="both"/>
        <w:textAlignment w:val="baseline"/>
        <w:rPr>
          <w:rStyle w:val="13"/>
          <w:rFonts w:hint="eastAsia" w:ascii="仿宋_GB2312" w:hAnsi="Calibri" w:eastAsia="仿宋_GB2312" w:cs="Times New Roman"/>
          <w:snapToGrid/>
          <w:kern w:val="2"/>
          <w:sz w:val="32"/>
          <w:szCs w:val="32"/>
          <w:lang w:val="en-US" w:eastAsia="zh-CN"/>
        </w:rPr>
      </w:pPr>
      <w:r>
        <w:rPr>
          <w:rStyle w:val="13"/>
          <w:rFonts w:hint="eastAsia" w:ascii="仿宋_GB2312" w:hAnsi="Calibri" w:eastAsia="仿宋_GB2312" w:cs="Times New Roman"/>
          <w:snapToGrid/>
          <w:kern w:val="2"/>
          <w:sz w:val="32"/>
          <w:szCs w:val="32"/>
          <w:lang w:val="en-US" w:eastAsia="zh-CN"/>
        </w:rPr>
        <w:t>2、举一反三，消除隐患。镇安管中心在安全生产专题会上多次强调，一线安全指导人员日常督导中须重点核查登高作业等“三要素”，即制度执行是否到位、人员资质是否合规、防护装置是否有效。发现问题必须当场叫停，责令企业对照高坠事故典型案例开展整改，深刻汲取事故教训，严格规范作业流程，切实消除高空作业安全隐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firstLine="640" w:firstLineChars="200"/>
        <w:jc w:val="both"/>
        <w:textAlignment w:val="baseline"/>
        <w:rPr>
          <w:rStyle w:val="13"/>
          <w:rFonts w:hint="eastAsia" w:ascii="仿宋_GB2312" w:hAnsi="Calibri" w:eastAsia="仿宋_GB2312" w:cs="Times New Roman"/>
          <w:snapToGrid/>
          <w:kern w:val="2"/>
          <w:sz w:val="32"/>
          <w:szCs w:val="32"/>
          <w:lang w:val="en-US" w:eastAsia="zh-CN"/>
        </w:rPr>
      </w:pPr>
      <w:r>
        <w:rPr>
          <w:rStyle w:val="13"/>
          <w:rFonts w:hint="eastAsia" w:ascii="仿宋_GB2312" w:hAnsi="Calibri" w:eastAsia="仿宋_GB2312" w:cs="Times New Roman"/>
          <w:snapToGrid/>
          <w:kern w:val="2"/>
          <w:sz w:val="32"/>
          <w:szCs w:val="32"/>
          <w:lang w:val="en-US" w:eastAsia="zh-CN"/>
        </w:rPr>
        <w:t>3、广泛宣传，提高意识。构建多元化安全培训体系，采取“线上理论学习+线下实操演练”双轨模式，分层分类开展多领域安全技能培训。聚焦登高作业等高风险领域，特邀行业专家开展专题授课，同步组织镇村企三级安全管理人员参训，累计培训超500人次，实现安全监管队伍专业能力整体提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firstLine="640" w:firstLineChars="200"/>
        <w:jc w:val="both"/>
        <w:textAlignment w:val="baseline"/>
        <w:rPr>
          <w:rStyle w:val="13"/>
          <w:rFonts w:hint="eastAsia" w:ascii="仿宋_GB2312" w:hAnsi="Calibri" w:eastAsia="仿宋_GB2312" w:cs="Times New Roman"/>
          <w:snapToGrid/>
          <w:kern w:val="2"/>
          <w:sz w:val="32"/>
          <w:szCs w:val="32"/>
          <w:lang w:val="en-US" w:eastAsia="zh-CN"/>
        </w:rPr>
      </w:pPr>
      <w:r>
        <w:rPr>
          <w:rStyle w:val="13"/>
          <w:rFonts w:hint="eastAsia" w:ascii="仿宋_GB2312" w:hAnsi="Calibri" w:eastAsia="仿宋_GB2312" w:cs="Times New Roman"/>
          <w:snapToGrid/>
          <w:kern w:val="2"/>
          <w:sz w:val="32"/>
          <w:szCs w:val="32"/>
          <w:lang w:val="en-US" w:eastAsia="zh-CN"/>
        </w:rPr>
        <w:t>4、深刻吸取事故教训，强化安全发展理念。切实履行“属地管理”职责，督促指导企业落实安全生产主体责任，认真开展辖区安全隐患排查治理工作及时消除各类事故隐患，对企业做好安全生产宣传工作，强化生产经营单位安全生产的主体责任意识，坚决遏制安全事故发生。</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评估组按照事故调查报告及其批复要求，经资料审查、座谈问询、查阅文件、走访核查、专业评查，对该起事故处理、整改和防范措施落实情况进行综合评估后认为：</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rPr>
          <w:rStyle w:val="13"/>
          <w:rFonts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（一）相关单位及人员已履行行政处罚决定；相关单位对该起事故责任人的处理已落实。</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rPr>
          <w:rStyle w:val="13"/>
          <w:rFonts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（二）该起事故相关单位、属地政府及相关部门已实施事故 调查报告提出的整改和防范措施。</w:t>
      </w:r>
    </w:p>
    <w:p>
      <w:pPr>
        <w:pStyle w:val="5"/>
        <w:keepNext w:val="0"/>
        <w:keepLines w:val="0"/>
        <w:pageBreakBefore w:val="0"/>
        <w:wordWrap/>
        <w:overflowPunct/>
        <w:topLinePunct w:val="0"/>
        <w:bidi w:val="0"/>
        <w:spacing w:line="560" w:lineRule="exact"/>
        <w:ind w:right="0" w:firstLine="640" w:firstLineChars="200"/>
        <w:jc w:val="both"/>
        <w:rPr>
          <w:rFonts w:hint="eastAsia" w:asciiTheme="minorEastAsia" w:hAnsiTheme="minorEastAsia" w:eastAsiaTheme="minorEastAsia"/>
          <w:sz w:val="32"/>
          <w:szCs w:val="32"/>
          <w:lang w:eastAsia="zh-CN"/>
        </w:rPr>
      </w:pPr>
      <w:r>
        <w:rPr>
          <w:rStyle w:val="13"/>
          <w:rFonts w:hint="eastAsia" w:ascii="仿宋_GB2312" w:hAnsi="Calibri" w:eastAsia="仿宋_GB2312" w:cs="Times New Roman"/>
          <w:snapToGrid/>
          <w:kern w:val="2"/>
          <w:sz w:val="32"/>
          <w:szCs w:val="32"/>
          <w:lang w:eastAsia="zh-CN"/>
        </w:rPr>
        <w:t>综上，该起事故处理已全部落实，事故整改措施已全部落实。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（一）建议佰弘机械（上海）有限公司继续严格落实安全生产责任制，并定期进行安全生产责任制和责任目标的考核。切实做好作业人员的安全培训教育工作，加强现场安全管理工作。</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（二）建议</w:t>
      </w:r>
      <w:bookmarkStart w:id="0" w:name="OLE_LINK2"/>
      <w:r>
        <w:rPr>
          <w:rStyle w:val="13"/>
          <w:rFonts w:hint="eastAsia" w:ascii="仿宋_GB2312" w:hAnsi="Calibri" w:eastAsia="仿宋_GB2312" w:cs="Times New Roman"/>
          <w:snapToGrid/>
          <w:kern w:val="2"/>
          <w:sz w:val="32"/>
          <w:szCs w:val="32"/>
          <w:lang w:eastAsia="zh-CN"/>
        </w:rPr>
        <w:t>佰弘机械（上海）有限公司</w:t>
      </w:r>
      <w:bookmarkEnd w:id="0"/>
      <w:r>
        <w:rPr>
          <w:rStyle w:val="13"/>
          <w:rFonts w:hint="eastAsia" w:ascii="仿宋_GB2312" w:hAnsi="Calibri" w:eastAsia="仿宋_GB2312" w:cs="Times New Roman"/>
          <w:snapToGrid/>
          <w:kern w:val="2"/>
          <w:sz w:val="32"/>
          <w:szCs w:val="32"/>
          <w:lang w:eastAsia="zh-CN"/>
        </w:rPr>
        <w:t>针对第三方及外来人员建立健全安全生产管理制度，加强对第三方的发包管理，禁止将生产或维保项目发包给不具备安全生产或维保资质、不具备安全生产条件的单位或个人。切实做好第三方或外来人员管理，加强防护安全工作和人员安排，从工程控制，技术改进方面考虑，全面控制不安全问题的发生，杜绝一切可能发生的安全事故。</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三）建议佰弘机械（上海）有限公司继续加强作业过程中的安全检查、巡查，贯彻落实隐患排查治理制度，及时发现并消除事故隐患，及时发现并制止作业过程中的动态安全隐患，做到早发现早预防。切实做好施工人员安全培训工作，不断提高作业人员的安全意识和制止不安全行为的发生，确保施工过程安全可靠，谨防事故发生。</w:t>
      </w:r>
    </w:p>
    <w:p>
      <w:pPr>
        <w:pStyle w:val="5"/>
        <w:spacing w:before="141" w:line="311" w:lineRule="auto"/>
        <w:ind w:left="3" w:firstLine="634"/>
        <w:jc w:val="both"/>
        <w:rPr>
          <w:rFonts w:hint="eastAsia" w:asciiTheme="minorEastAsia" w:hAnsiTheme="minorEastAsia" w:eastAsiaTheme="minorEastAsia"/>
          <w:spacing w:val="5"/>
          <w:sz w:val="32"/>
          <w:szCs w:val="32"/>
          <w:lang w:eastAsia="zh-CN"/>
        </w:rPr>
      </w:pPr>
    </w:p>
    <w:p>
      <w:pPr>
        <w:widowControl w:val="0"/>
        <w:kinsoku/>
        <w:autoSpaceDE/>
        <w:autoSpaceDN/>
        <w:adjustRightInd/>
        <w:snapToGrid/>
        <w:spacing w:line="560" w:lineRule="exact"/>
        <w:ind w:firstLine="640" w:firstLineChars="200"/>
        <w:jc w:val="right"/>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佰弘机械（上海）有限公司“10.30”高处坠落</w:t>
      </w:r>
    </w:p>
    <w:p>
      <w:pPr>
        <w:widowControl w:val="0"/>
        <w:kinsoku/>
        <w:autoSpaceDE/>
        <w:autoSpaceDN/>
        <w:adjustRightInd/>
        <w:snapToGrid/>
        <w:spacing w:line="560" w:lineRule="exact"/>
        <w:ind w:firstLine="640" w:firstLineChars="200"/>
        <w:jc w:val="right"/>
        <w:rPr>
          <w:rStyle w:val="13"/>
          <w:rFonts w:hint="eastAsia" w:ascii="仿宋_GB2312" w:hAnsi="Calibri" w:eastAsia="仿宋_GB2312" w:cs="Times New Roman"/>
          <w:snapToGrid/>
          <w:kern w:val="2"/>
          <w:sz w:val="32"/>
          <w:szCs w:val="32"/>
          <w:lang w:eastAsia="zh-CN"/>
        </w:rPr>
      </w:pPr>
      <w:r>
        <w:rPr>
          <w:rStyle w:val="13"/>
          <w:rFonts w:hint="eastAsia" w:ascii="仿宋_GB2312" w:hAnsi="Calibri" w:eastAsia="仿宋_GB2312" w:cs="Times New Roman"/>
          <w:snapToGrid/>
          <w:kern w:val="2"/>
          <w:sz w:val="32"/>
          <w:szCs w:val="32"/>
          <w:lang w:eastAsia="zh-CN"/>
        </w:rPr>
        <w:t>一般事故整改和防范措施情况评估组</w:t>
      </w:r>
    </w:p>
    <w:p>
      <w:pPr>
        <w:widowControl w:val="0"/>
        <w:kinsoku/>
        <w:autoSpaceDE/>
        <w:autoSpaceDN/>
        <w:adjustRightInd/>
        <w:snapToGrid/>
        <w:spacing w:line="560" w:lineRule="exact"/>
        <w:ind w:firstLine="640" w:firstLineChars="200"/>
        <w:jc w:val="right"/>
        <w:rPr>
          <w:rStyle w:val="13"/>
          <w:rFonts w:hint="default" w:ascii="仿宋_GB2312" w:hAnsi="Calibri" w:eastAsia="仿宋_GB2312" w:cs="Times New Roman"/>
          <w:snapToGrid/>
          <w:kern w:val="2"/>
          <w:sz w:val="32"/>
          <w:szCs w:val="32"/>
          <w:lang w:val="en-US" w:eastAsia="zh-CN"/>
        </w:rPr>
      </w:pPr>
      <w:r>
        <w:rPr>
          <w:rStyle w:val="13"/>
          <w:rFonts w:hint="eastAsia" w:ascii="仿宋_GB2312" w:hAnsi="Calibri" w:eastAsia="仿宋_GB2312" w:cs="Times New Roman"/>
          <w:snapToGrid/>
          <w:kern w:val="2"/>
          <w:sz w:val="32"/>
          <w:szCs w:val="32"/>
          <w:lang w:eastAsia="zh-CN"/>
        </w:rPr>
        <w:t>2025年</w:t>
      </w:r>
      <w:r>
        <w:rPr>
          <w:rStyle w:val="13"/>
          <w:rFonts w:hint="eastAsia" w:ascii="仿宋_GB2312" w:hAnsi="Calibri" w:eastAsia="仿宋_GB2312" w:cs="Times New Roman"/>
          <w:snapToGrid/>
          <w:kern w:val="2"/>
          <w:sz w:val="32"/>
          <w:szCs w:val="32"/>
          <w:lang w:val="en-US" w:eastAsia="zh-CN"/>
        </w:rPr>
        <w:t>5</w:t>
      </w:r>
      <w:r>
        <w:rPr>
          <w:rStyle w:val="13"/>
          <w:rFonts w:hint="eastAsia" w:ascii="仿宋_GB2312" w:hAnsi="Calibri" w:eastAsia="仿宋_GB2312" w:cs="Times New Roman"/>
          <w:snapToGrid/>
          <w:kern w:val="2"/>
          <w:sz w:val="32"/>
          <w:szCs w:val="32"/>
          <w:lang w:eastAsia="zh-CN"/>
        </w:rPr>
        <w:t>月</w:t>
      </w:r>
      <w:r>
        <w:rPr>
          <w:rStyle w:val="13"/>
          <w:rFonts w:hint="eastAsia" w:ascii="仿宋_GB2312" w:hAnsi="Calibri" w:eastAsia="仿宋_GB2312" w:cs="Times New Roman"/>
          <w:snapToGrid/>
          <w:kern w:val="2"/>
          <w:sz w:val="32"/>
          <w:szCs w:val="32"/>
          <w:lang w:val="en-US" w:eastAsia="zh-CN"/>
        </w:rPr>
        <w:t>30日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abstractNum w:abstractNumId="2">
    <w:nsid w:val="7ED22D68"/>
    <w:multiLevelType w:val="singleLevel"/>
    <w:tmpl w:val="7ED22D68"/>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33843"/>
    <w:rsid w:val="00060D57"/>
    <w:rsid w:val="000612EF"/>
    <w:rsid w:val="00094489"/>
    <w:rsid w:val="000B5CDE"/>
    <w:rsid w:val="000C10BF"/>
    <w:rsid w:val="000C1ADB"/>
    <w:rsid w:val="000D1332"/>
    <w:rsid w:val="000F0079"/>
    <w:rsid w:val="00127191"/>
    <w:rsid w:val="00135E28"/>
    <w:rsid w:val="00136FF6"/>
    <w:rsid w:val="00161533"/>
    <w:rsid w:val="00166A17"/>
    <w:rsid w:val="0018765D"/>
    <w:rsid w:val="00187BB6"/>
    <w:rsid w:val="001D686B"/>
    <w:rsid w:val="001F0CAB"/>
    <w:rsid w:val="00215989"/>
    <w:rsid w:val="002172BB"/>
    <w:rsid w:val="002209AC"/>
    <w:rsid w:val="00224AD7"/>
    <w:rsid w:val="002318F6"/>
    <w:rsid w:val="00232F7F"/>
    <w:rsid w:val="002334BA"/>
    <w:rsid w:val="002533FC"/>
    <w:rsid w:val="00276526"/>
    <w:rsid w:val="00292217"/>
    <w:rsid w:val="002B18AB"/>
    <w:rsid w:val="002B23E2"/>
    <w:rsid w:val="002C42DE"/>
    <w:rsid w:val="00307DFD"/>
    <w:rsid w:val="00314098"/>
    <w:rsid w:val="00346849"/>
    <w:rsid w:val="003559FC"/>
    <w:rsid w:val="003A3FD6"/>
    <w:rsid w:val="003B43DE"/>
    <w:rsid w:val="003C4C3B"/>
    <w:rsid w:val="003C66DD"/>
    <w:rsid w:val="003E3EEA"/>
    <w:rsid w:val="003E7CA8"/>
    <w:rsid w:val="004017D8"/>
    <w:rsid w:val="00441B51"/>
    <w:rsid w:val="0045440E"/>
    <w:rsid w:val="00482EAD"/>
    <w:rsid w:val="004851EA"/>
    <w:rsid w:val="004930F4"/>
    <w:rsid w:val="004C2307"/>
    <w:rsid w:val="004C2CDA"/>
    <w:rsid w:val="005178CB"/>
    <w:rsid w:val="00550B57"/>
    <w:rsid w:val="0056251C"/>
    <w:rsid w:val="0058492E"/>
    <w:rsid w:val="005B7166"/>
    <w:rsid w:val="005D3499"/>
    <w:rsid w:val="005E4C43"/>
    <w:rsid w:val="00602760"/>
    <w:rsid w:val="00627A60"/>
    <w:rsid w:val="00670940"/>
    <w:rsid w:val="006A18AE"/>
    <w:rsid w:val="006A58C8"/>
    <w:rsid w:val="006C2780"/>
    <w:rsid w:val="006F4831"/>
    <w:rsid w:val="00704484"/>
    <w:rsid w:val="007C5D76"/>
    <w:rsid w:val="008006D2"/>
    <w:rsid w:val="00835C2C"/>
    <w:rsid w:val="008422C4"/>
    <w:rsid w:val="00882583"/>
    <w:rsid w:val="008831FD"/>
    <w:rsid w:val="008C2028"/>
    <w:rsid w:val="008C2463"/>
    <w:rsid w:val="008E2486"/>
    <w:rsid w:val="008F3F3F"/>
    <w:rsid w:val="008F4F29"/>
    <w:rsid w:val="00953491"/>
    <w:rsid w:val="0095749B"/>
    <w:rsid w:val="0096514A"/>
    <w:rsid w:val="00966773"/>
    <w:rsid w:val="009C7BA1"/>
    <w:rsid w:val="009D03C7"/>
    <w:rsid w:val="00A2572B"/>
    <w:rsid w:val="00A67385"/>
    <w:rsid w:val="00A75191"/>
    <w:rsid w:val="00A82407"/>
    <w:rsid w:val="00A84121"/>
    <w:rsid w:val="00A97E6E"/>
    <w:rsid w:val="00AA0C47"/>
    <w:rsid w:val="00AA78F8"/>
    <w:rsid w:val="00B04BAD"/>
    <w:rsid w:val="00B3521D"/>
    <w:rsid w:val="00B8686E"/>
    <w:rsid w:val="00B877FB"/>
    <w:rsid w:val="00BA407D"/>
    <w:rsid w:val="00BB7B6E"/>
    <w:rsid w:val="00C339C7"/>
    <w:rsid w:val="00C57041"/>
    <w:rsid w:val="00C72784"/>
    <w:rsid w:val="00C764CC"/>
    <w:rsid w:val="00C80C62"/>
    <w:rsid w:val="00C869D6"/>
    <w:rsid w:val="00CA0496"/>
    <w:rsid w:val="00CB0055"/>
    <w:rsid w:val="00CE6D89"/>
    <w:rsid w:val="00D03AC5"/>
    <w:rsid w:val="00D07951"/>
    <w:rsid w:val="00D12F4B"/>
    <w:rsid w:val="00D1425D"/>
    <w:rsid w:val="00D237E1"/>
    <w:rsid w:val="00D85665"/>
    <w:rsid w:val="00D94D48"/>
    <w:rsid w:val="00DD61A7"/>
    <w:rsid w:val="00DE61C2"/>
    <w:rsid w:val="00E0434E"/>
    <w:rsid w:val="00E1320C"/>
    <w:rsid w:val="00E3494B"/>
    <w:rsid w:val="00E366F0"/>
    <w:rsid w:val="00E54B71"/>
    <w:rsid w:val="00E87D1F"/>
    <w:rsid w:val="00E87DE6"/>
    <w:rsid w:val="00F24A3E"/>
    <w:rsid w:val="00F41758"/>
    <w:rsid w:val="00F449E0"/>
    <w:rsid w:val="00F451AC"/>
    <w:rsid w:val="00F52B32"/>
    <w:rsid w:val="00F7641B"/>
    <w:rsid w:val="15BBA693"/>
    <w:rsid w:val="3CD7DD71"/>
    <w:rsid w:val="3FA076F0"/>
    <w:rsid w:val="3FDEC507"/>
    <w:rsid w:val="3FFEF902"/>
    <w:rsid w:val="5F83DBA7"/>
    <w:rsid w:val="5FB9F4D4"/>
    <w:rsid w:val="6E3D45E3"/>
    <w:rsid w:val="6E5E8913"/>
    <w:rsid w:val="6F5B308A"/>
    <w:rsid w:val="6FCE59BF"/>
    <w:rsid w:val="75FF0E84"/>
    <w:rsid w:val="777EEC2D"/>
    <w:rsid w:val="77B2BB95"/>
    <w:rsid w:val="77FD08A1"/>
    <w:rsid w:val="77FFF32E"/>
    <w:rsid w:val="7BCF5ED0"/>
    <w:rsid w:val="7BEFACC5"/>
    <w:rsid w:val="7CEDD38F"/>
    <w:rsid w:val="7FD735B1"/>
    <w:rsid w:val="7FFFCA60"/>
    <w:rsid w:val="9E373640"/>
    <w:rsid w:val="A3BD5957"/>
    <w:rsid w:val="AF7E45BD"/>
    <w:rsid w:val="BFFBD3DB"/>
    <w:rsid w:val="CEF7E18E"/>
    <w:rsid w:val="DBFBE9FE"/>
    <w:rsid w:val="DECC0BBF"/>
    <w:rsid w:val="E3FEB686"/>
    <w:rsid w:val="EB1BA36E"/>
    <w:rsid w:val="EDBFD943"/>
    <w:rsid w:val="F37F7424"/>
    <w:rsid w:val="F77BCE68"/>
    <w:rsid w:val="F9F3887F"/>
    <w:rsid w:val="FBEF45BD"/>
    <w:rsid w:val="FBF7A006"/>
    <w:rsid w:val="FBFF920E"/>
    <w:rsid w:val="FFFE8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0"/>
    <w:pPr>
      <w:spacing w:after="120"/>
      <w:ind w:left="420" w:leftChars="200" w:firstLine="420" w:firstLineChars="200"/>
    </w:pPr>
    <w:rPr>
      <w:rFonts w:hint="default" w:ascii="Calibri" w:hAnsi="Calibri" w:cs="Times New Roman"/>
      <w:sz w:val="21"/>
    </w:rPr>
  </w:style>
  <w:style w:type="paragraph" w:styleId="3">
    <w:name w:val="Body Text Indent"/>
    <w:basedOn w:val="1"/>
    <w:next w:val="4"/>
    <w:qFormat/>
    <w:uiPriority w:val="0"/>
    <w:pPr>
      <w:ind w:left="100" w:leftChars="100"/>
    </w:pPr>
    <w:rPr>
      <w:rFonts w:hint="eastAsia" w:ascii="宋体" w:hAnsi="宋体" w:eastAsia="宋体"/>
      <w:sz w:val="28"/>
      <w:szCs w:val="24"/>
    </w:rPr>
  </w:style>
  <w:style w:type="paragraph" w:styleId="4">
    <w:name w:val="Normal Indent"/>
    <w:basedOn w:val="1"/>
    <w:next w:val="1"/>
    <w:qFormat/>
    <w:uiPriority w:val="0"/>
    <w:pPr>
      <w:ind w:firstLine="420" w:firstLineChars="200"/>
    </w:pPr>
    <w:rPr>
      <w:rFonts w:ascii="Times New Roman" w:hAnsi="Times New Roman" w:eastAsia="仿宋" w:cs="Times New Roman"/>
      <w:sz w:val="32"/>
    </w:rPr>
  </w:style>
  <w:style w:type="paragraph" w:styleId="5">
    <w:name w:val="Body Text"/>
    <w:basedOn w:val="1"/>
    <w:semiHidden/>
    <w:qFormat/>
    <w:uiPriority w:val="0"/>
    <w:rPr>
      <w:rFonts w:ascii="仿宋_GB2312" w:hAnsi="仿宋_GB2312" w:eastAsia="仿宋_GB2312" w:cs="仿宋_GB2312"/>
      <w:sz w:val="31"/>
      <w:szCs w:val="31"/>
    </w:rPr>
  </w:style>
  <w:style w:type="paragraph" w:styleId="6">
    <w:name w:val="footer"/>
    <w:basedOn w:val="1"/>
    <w:link w:val="16"/>
    <w:qFormat/>
    <w:uiPriority w:val="0"/>
    <w:pPr>
      <w:tabs>
        <w:tab w:val="center" w:pos="4153"/>
        <w:tab w:val="right" w:pos="8306"/>
      </w:tabs>
    </w:pPr>
    <w:rPr>
      <w:sz w:val="18"/>
      <w:szCs w:val="18"/>
    </w:rPr>
  </w:style>
  <w:style w:type="paragraph" w:styleId="7">
    <w:name w:val="header"/>
    <w:basedOn w:val="1"/>
    <w:link w:val="15"/>
    <w:qFormat/>
    <w:uiPriority w:val="0"/>
    <w:pPr>
      <w:tabs>
        <w:tab w:val="center" w:pos="4153"/>
        <w:tab w:val="right" w:pos="8306"/>
      </w:tabs>
      <w:jc w:val="center"/>
    </w:pPr>
    <w:rPr>
      <w:sz w:val="18"/>
      <w:szCs w:val="18"/>
    </w:rPr>
  </w:style>
  <w:style w:type="paragraph" w:styleId="8">
    <w:name w:val="Body Text 2"/>
    <w:basedOn w:val="1"/>
    <w:next w:val="2"/>
    <w:qFormat/>
    <w:uiPriority w:val="0"/>
    <w:pPr>
      <w:jc w:val="right"/>
    </w:pPr>
    <w:rPr>
      <w:rFonts w:ascii="黑体" w:eastAsia="黑体"/>
      <w:sz w:val="44"/>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customStyle="1" w:styleId="12">
    <w:name w:val="Table Normal"/>
    <w:semiHidden/>
    <w:unhideWhenUsed/>
    <w:qFormat/>
    <w:uiPriority w:val="0"/>
    <w:tblPr>
      <w:tblCellMar>
        <w:top w:w="0" w:type="dxa"/>
        <w:left w:w="0" w:type="dxa"/>
        <w:bottom w:w="0" w:type="dxa"/>
        <w:right w:w="0" w:type="dxa"/>
      </w:tblCellMar>
    </w:tblPr>
  </w:style>
  <w:style w:type="character" w:customStyle="1" w:styleId="13">
    <w:name w:val="NormalCharacter"/>
    <w:qFormat/>
    <w:uiPriority w:val="0"/>
  </w:style>
  <w:style w:type="paragraph" w:styleId="14">
    <w:name w:val="List Paragraph"/>
    <w:basedOn w:val="1"/>
    <w:unhideWhenUsed/>
    <w:qFormat/>
    <w:uiPriority w:val="99"/>
    <w:pPr>
      <w:ind w:firstLine="420" w:firstLineChars="200"/>
    </w:pPr>
  </w:style>
  <w:style w:type="character" w:customStyle="1" w:styleId="15">
    <w:name w:val="页眉 字符"/>
    <w:basedOn w:val="11"/>
    <w:link w:val="7"/>
    <w:qFormat/>
    <w:uiPriority w:val="0"/>
    <w:rPr>
      <w:rFonts w:eastAsia="Arial"/>
      <w:snapToGrid w:val="0"/>
      <w:color w:val="000000"/>
      <w:sz w:val="18"/>
      <w:szCs w:val="18"/>
      <w:lang w:eastAsia="en-US"/>
    </w:rPr>
  </w:style>
  <w:style w:type="character" w:customStyle="1" w:styleId="16">
    <w:name w:val="页脚 字符"/>
    <w:basedOn w:val="11"/>
    <w:link w:val="6"/>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382</Words>
  <Characters>2182</Characters>
  <Lines>18</Lines>
  <Paragraphs>5</Paragraphs>
  <TotalTime>13</TotalTime>
  <ScaleCrop>false</ScaleCrop>
  <LinksUpToDate>false</LinksUpToDate>
  <CharactersWithSpaces>2559</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2024-10-21T13:12:00Z</dcterms:created>
  <dc:creator>ms</dc:creator>
  <cp:lastModifiedBy>yjj-503</cp:lastModifiedBy>
  <dcterms:modified xsi:type="dcterms:W3CDTF">2025-10-27T10:29:32Z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