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rPr>
          <w:rFonts w:ascii="黑体" w:hAnsi="黑体" w:eastAsia="黑体"/>
          <w:kern w:val="2"/>
          <w:szCs w:val="24"/>
        </w:rPr>
      </w:pPr>
      <w:bookmarkStart w:id="0" w:name="_GoBack"/>
      <w:bookmarkEnd w:id="0"/>
    </w:p>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小标宋简体" w:eastAsia="方正小标宋简体"/>
          <w:color w:val="000000"/>
          <w:kern w:val="0"/>
          <w:sz w:val="44"/>
          <w:szCs w:val="44"/>
          <w:lang w:eastAsia="zh-CN"/>
        </w:rPr>
      </w:pPr>
      <w:r>
        <w:rPr>
          <w:rFonts w:hint="eastAsia" w:ascii="方正小标宋简体" w:eastAsia="方正小标宋简体"/>
          <w:color w:val="000000"/>
          <w:kern w:val="0"/>
          <w:sz w:val="44"/>
          <w:szCs w:val="44"/>
          <w:lang w:eastAsia="zh-CN"/>
        </w:rPr>
        <w:t>天津志伟盛强铝业有限公司</w:t>
      </w:r>
    </w:p>
    <w:p>
      <w:pPr>
        <w:spacing w:line="560" w:lineRule="exact"/>
        <w:jc w:val="center"/>
        <w:rPr>
          <w:rFonts w:hint="eastAsia" w:ascii="方正小标宋简体" w:eastAsia="方正小标宋简体"/>
          <w:sz w:val="44"/>
          <w:szCs w:val="44"/>
        </w:rPr>
      </w:pPr>
      <w:r>
        <w:rPr>
          <w:rFonts w:hint="eastAsia" w:ascii="方正小标宋简体" w:eastAsia="方正小标宋简体"/>
          <w:color w:val="000000"/>
          <w:kern w:val="0"/>
          <w:sz w:val="44"/>
          <w:szCs w:val="44"/>
          <w:lang w:eastAsia="zh-CN"/>
        </w:rPr>
        <w:t>“</w:t>
      </w:r>
      <w:r>
        <w:rPr>
          <w:rFonts w:hint="eastAsia" w:ascii="方正小标宋简体" w:eastAsia="方正小标宋简体"/>
          <w:color w:val="000000"/>
          <w:kern w:val="0"/>
          <w:sz w:val="44"/>
          <w:szCs w:val="44"/>
          <w:lang w:val="en-US" w:eastAsia="zh-CN"/>
        </w:rPr>
        <w:t>3·16</w:t>
      </w:r>
      <w:r>
        <w:rPr>
          <w:rFonts w:hint="eastAsia" w:ascii="方正小标宋简体" w:eastAsia="方正小标宋简体"/>
          <w:color w:val="000000"/>
          <w:kern w:val="0"/>
          <w:sz w:val="44"/>
          <w:szCs w:val="44"/>
          <w:lang w:eastAsia="zh-CN"/>
        </w:rPr>
        <w:t>”</w:t>
      </w:r>
      <w:r>
        <w:rPr>
          <w:rFonts w:hint="eastAsia" w:ascii="方正小标宋简体" w:hAnsi="宋体" w:eastAsia="方正小标宋简体"/>
          <w:sz w:val="44"/>
          <w:szCs w:val="44"/>
          <w:lang w:eastAsia="zh-CN"/>
        </w:rPr>
        <w:t>物体打击</w:t>
      </w:r>
      <w:r>
        <w:rPr>
          <w:rFonts w:hint="eastAsia" w:ascii="方正小标宋简体" w:hAnsi="宋体" w:eastAsia="方正小标宋简体"/>
          <w:sz w:val="44"/>
          <w:szCs w:val="44"/>
        </w:rPr>
        <w:t>事故评估</w:t>
      </w:r>
      <w:r>
        <w:rPr>
          <w:rFonts w:hint="eastAsia" w:ascii="方正小标宋简体" w:eastAsia="方正小标宋简体"/>
          <w:sz w:val="44"/>
          <w:szCs w:val="44"/>
        </w:rPr>
        <w:t>报告</w:t>
      </w:r>
    </w:p>
    <w:p>
      <w:pPr>
        <w:spacing w:before="156" w:beforeLines="50" w:line="560" w:lineRule="exact"/>
        <w:ind w:firstLine="640" w:firstLineChars="200"/>
        <w:jc w:val="both"/>
        <w:rPr>
          <w:bCs/>
        </w:rPr>
      </w:pPr>
    </w:p>
    <w:p>
      <w:pPr>
        <w:spacing w:line="560" w:lineRule="exact"/>
        <w:ind w:firstLine="640" w:firstLineChars="200"/>
        <w:jc w:val="both"/>
      </w:pPr>
      <w:r>
        <w:rPr>
          <w:rFonts w:hint="eastAsia"/>
          <w:bCs/>
          <w:lang w:eastAsia="zh-CN"/>
        </w:rPr>
        <w:t>依据</w:t>
      </w:r>
      <w:r>
        <w:rPr>
          <w:rFonts w:hint="eastAsia"/>
        </w:rPr>
        <w:t>《生产安全事故防范和整改措施落实情况评估办法》</w:t>
      </w:r>
      <w:r>
        <w:rPr>
          <w:rFonts w:hint="eastAsia"/>
          <w:lang w:val="en-US" w:eastAsia="zh-CN"/>
        </w:rPr>
        <w:t xml:space="preserve"> </w:t>
      </w:r>
      <w:r>
        <w:rPr>
          <w:rFonts w:hint="eastAsia"/>
        </w:rPr>
        <w:t>《天津市</w:t>
      </w:r>
      <w:r>
        <w:t>生产安全事故</w:t>
      </w:r>
      <w:r>
        <w:rPr>
          <w:rFonts w:hint="eastAsia"/>
        </w:rPr>
        <w:t>防范和整改措施落实情况评估办法》</w:t>
      </w:r>
      <w:r>
        <w:t>规定</w:t>
      </w:r>
      <w:r>
        <w:rPr>
          <w:rFonts w:hint="eastAsia"/>
        </w:rPr>
        <w:t>，202</w:t>
      </w:r>
      <w:r>
        <w:rPr>
          <w:rFonts w:hint="eastAsia"/>
          <w:lang w:val="en-US" w:eastAsia="zh-CN"/>
        </w:rPr>
        <w:t>3</w:t>
      </w:r>
      <w:r>
        <w:rPr>
          <w:rFonts w:hint="eastAsia"/>
        </w:rPr>
        <w:t>年</w:t>
      </w:r>
      <w:r>
        <w:rPr>
          <w:rFonts w:hint="eastAsia"/>
          <w:lang w:val="en-US" w:eastAsia="zh-CN"/>
        </w:rPr>
        <w:t>5</w:t>
      </w:r>
      <w:r>
        <w:rPr>
          <w:rFonts w:hint="eastAsia"/>
        </w:rPr>
        <w:t>月</w:t>
      </w:r>
      <w:r>
        <w:rPr>
          <w:rFonts w:hint="eastAsia"/>
          <w:lang w:val="en-US" w:eastAsia="zh-CN"/>
        </w:rPr>
        <w:t>4</w:t>
      </w:r>
      <w:r>
        <w:rPr>
          <w:rFonts w:hint="eastAsia"/>
        </w:rPr>
        <w:t>日</w:t>
      </w:r>
      <w:r>
        <w:t>，</w:t>
      </w:r>
      <w:r>
        <w:rPr>
          <w:rFonts w:hint="eastAsia" w:hAnsi="仿宋_GB2312" w:cs="仿宋_GB2312"/>
          <w:kern w:val="0"/>
          <w:sz w:val="32"/>
          <w:szCs w:val="32"/>
          <w:lang w:val="en" w:eastAsia="zh-CN"/>
        </w:rPr>
        <w:t>我区</w:t>
      </w:r>
      <w:r>
        <w:rPr>
          <w:rFonts w:hint="eastAsia"/>
        </w:rPr>
        <w:t>成立了</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eastAsia="仿宋_GB2312"/>
          <w:sz w:val="32"/>
          <w:szCs w:val="32"/>
        </w:rPr>
        <w:t>“</w:t>
      </w:r>
      <w:r>
        <w:rPr>
          <w:rFonts w:hint="eastAsia"/>
          <w:sz w:val="32"/>
          <w:szCs w:val="32"/>
          <w:lang w:val="en-US" w:eastAsia="zh-CN"/>
        </w:rPr>
        <w:t>3</w:t>
      </w:r>
      <w:r>
        <w:rPr>
          <w:rFonts w:hint="eastAsia" w:ascii="仿宋_GB2312" w:eastAsia="仿宋_GB2312"/>
          <w:sz w:val="32"/>
          <w:szCs w:val="32"/>
        </w:rPr>
        <w:t>·</w:t>
      </w:r>
      <w:r>
        <w:rPr>
          <w:rFonts w:hint="eastAsia"/>
          <w:sz w:val="32"/>
          <w:szCs w:val="32"/>
          <w:lang w:val="en-US" w:eastAsia="zh-CN"/>
        </w:rPr>
        <w:t>16</w:t>
      </w:r>
      <w:r>
        <w:rPr>
          <w:rFonts w:hint="eastAsia" w:ascii="仿宋_GB2312" w:eastAsia="仿宋_GB2312"/>
          <w:sz w:val="32"/>
          <w:szCs w:val="32"/>
        </w:rPr>
        <w:t>”</w:t>
      </w:r>
      <w:r>
        <w:rPr>
          <w:rFonts w:hint="eastAsia"/>
          <w:sz w:val="32"/>
          <w:szCs w:val="32"/>
          <w:lang w:eastAsia="zh-CN"/>
        </w:rPr>
        <w:t>物体打击</w:t>
      </w:r>
      <w:r>
        <w:rPr>
          <w:rFonts w:hint="eastAsia" w:ascii="Times New Roman" w:hAnsi="Times New Roman" w:eastAsia="仿宋_GB2312" w:cs="Times New Roman"/>
          <w:sz w:val="32"/>
          <w:szCs w:val="32"/>
        </w:rPr>
        <w:t>事故</w:t>
      </w:r>
      <w:r>
        <w:rPr>
          <w:rFonts w:hint="eastAsia"/>
        </w:rPr>
        <w:t>评估</w:t>
      </w:r>
      <w:r>
        <w:t>组</w:t>
      </w:r>
      <w:r>
        <w:rPr>
          <w:rFonts w:hint="eastAsia"/>
          <w:lang w:eastAsia="zh-CN"/>
        </w:rPr>
        <w:t>，</w:t>
      </w:r>
      <w:r>
        <w:t>开展</w:t>
      </w:r>
      <w:r>
        <w:rPr>
          <w:rFonts w:hint="eastAsia"/>
          <w:lang w:eastAsia="zh-CN"/>
        </w:rPr>
        <w:t>该起事故</w:t>
      </w:r>
      <w:r>
        <w:t>评估</w:t>
      </w:r>
      <w:r>
        <w:rPr>
          <w:rFonts w:hint="eastAsia"/>
          <w:lang w:eastAsia="zh-CN"/>
        </w:rPr>
        <w:t>相关</w:t>
      </w:r>
      <w:r>
        <w:rPr>
          <w:rFonts w:hint="eastAsia"/>
        </w:rPr>
        <w:t>工作</w:t>
      </w:r>
      <w:r>
        <w:rPr>
          <w:rFonts w:hint="eastAsia"/>
          <w:lang w:eastAsia="zh-CN"/>
        </w:rPr>
        <w:t>。</w:t>
      </w:r>
      <w:r>
        <w:t>202</w:t>
      </w:r>
      <w:r>
        <w:rPr>
          <w:rFonts w:hint="eastAsia"/>
          <w:lang w:val="en-US" w:eastAsia="zh-CN"/>
        </w:rPr>
        <w:t>3</w:t>
      </w:r>
      <w:r>
        <w:rPr>
          <w:rFonts w:hint="eastAsia"/>
        </w:rPr>
        <w:t>年</w:t>
      </w:r>
      <w:r>
        <w:rPr>
          <w:rFonts w:hint="eastAsia"/>
          <w:lang w:val="en-US" w:eastAsia="zh-CN"/>
        </w:rPr>
        <w:t>6</w:t>
      </w:r>
      <w:r>
        <w:rPr>
          <w:rFonts w:hint="eastAsia"/>
        </w:rPr>
        <w:t>月</w:t>
      </w:r>
      <w:r>
        <w:rPr>
          <w:rFonts w:hint="eastAsia"/>
          <w:lang w:val="en-US" w:eastAsia="zh-CN"/>
        </w:rPr>
        <w:t>9</w:t>
      </w:r>
      <w:r>
        <w:rPr>
          <w:rFonts w:hint="eastAsia"/>
        </w:rPr>
        <w:t>日，事故评估</w:t>
      </w:r>
      <w:r>
        <w:t>组</w:t>
      </w:r>
      <w:r>
        <w:rPr>
          <w:rFonts w:hint="eastAsia"/>
        </w:rPr>
        <w:t>完</w:t>
      </w:r>
      <w:r>
        <w:t>成事故评估工作</w:t>
      </w:r>
      <w:r>
        <w:rPr>
          <w:rFonts w:hint="eastAsia"/>
        </w:rPr>
        <w:t>，形成本报告。</w:t>
      </w:r>
    </w:p>
    <w:p>
      <w:pPr>
        <w:spacing w:line="560" w:lineRule="exact"/>
        <w:ind w:firstLine="640" w:firstLineChars="200"/>
        <w:jc w:val="both"/>
        <w:outlineLvl w:val="0"/>
        <w:rPr>
          <w:rFonts w:ascii="黑体" w:hAnsi="黑体" w:eastAsia="黑体"/>
        </w:rPr>
      </w:pPr>
      <w:r>
        <w:t xml:space="preserve"> </w:t>
      </w:r>
      <w:r>
        <w:rPr>
          <w:rFonts w:hint="eastAsia" w:ascii="黑体" w:hAnsi="黑体" w:eastAsia="黑体"/>
        </w:rPr>
        <w:t>一</w:t>
      </w:r>
      <w:r>
        <w:rPr>
          <w:rFonts w:ascii="黑体" w:hAnsi="黑体" w:eastAsia="黑体"/>
        </w:rPr>
        <w:t>、评估目的</w:t>
      </w:r>
    </w:p>
    <w:p>
      <w:pPr>
        <w:spacing w:line="560" w:lineRule="exact"/>
        <w:ind w:firstLine="640" w:firstLineChars="200"/>
        <w:jc w:val="both"/>
        <w:rPr>
          <w:rFonts w:hint="eastAsia" w:ascii="黑体" w:hAnsi="黑体" w:eastAsia="黑体"/>
        </w:rPr>
      </w:pPr>
      <w:r>
        <w:t>为深入贯彻落实习近平总书记关于安全生产的重要指示批 示精神，认真落实市委、市人民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w:t>
      </w:r>
      <w:r>
        <w:rPr>
          <w:rFonts w:hint="eastAsia"/>
          <w:lang w:eastAsia="zh-CN"/>
        </w:rPr>
        <w:t>等</w:t>
      </w:r>
      <w:r>
        <w:t>规定</w:t>
      </w:r>
      <w:r>
        <w:rPr>
          <w:rFonts w:hint="eastAsia"/>
          <w:bCs/>
        </w:rPr>
        <w:t>，</w:t>
      </w:r>
      <w:r>
        <w:rPr>
          <w:rFonts w:hint="eastAsia"/>
          <w:bCs/>
          <w:lang w:eastAsia="zh-CN"/>
        </w:rPr>
        <w:t>推动生产安全事故责任追究和整改措施的落实，</w:t>
      </w:r>
      <w:r>
        <w:rPr>
          <w:rFonts w:hint="eastAsia"/>
          <w:bCs/>
        </w:rPr>
        <w:t>特开展此次事故评估工作。</w:t>
      </w:r>
    </w:p>
    <w:p>
      <w:pPr>
        <w:spacing w:line="560" w:lineRule="exact"/>
        <w:ind w:firstLine="640" w:firstLineChars="200"/>
        <w:jc w:val="both"/>
        <w:outlineLvl w:val="0"/>
        <w:rPr>
          <w:rFonts w:ascii="黑体" w:hAnsi="黑体" w:eastAsia="黑体"/>
          <w:bCs/>
        </w:rPr>
      </w:pPr>
      <w:r>
        <w:rPr>
          <w:rFonts w:hint="eastAsia" w:ascii="黑体" w:hAnsi="黑体" w:eastAsia="黑体"/>
        </w:rPr>
        <w:t>二</w:t>
      </w:r>
      <w:r>
        <w:rPr>
          <w:rFonts w:ascii="黑体" w:hAnsi="黑体" w:eastAsia="黑体"/>
        </w:rPr>
        <w:t>、</w:t>
      </w:r>
      <w:r>
        <w:rPr>
          <w:rFonts w:ascii="黑体" w:hAnsi="黑体" w:eastAsia="黑体"/>
          <w:bCs/>
        </w:rPr>
        <w:t>评估依据及</w:t>
      </w:r>
      <w:r>
        <w:rPr>
          <w:rFonts w:hint="eastAsia" w:ascii="黑体" w:hAnsi="黑体" w:eastAsia="黑体"/>
          <w:bCs/>
        </w:rPr>
        <w:t>职责分工</w:t>
      </w:r>
    </w:p>
    <w:p>
      <w:pPr>
        <w:spacing w:line="560" w:lineRule="exact"/>
        <w:ind w:firstLine="640" w:firstLineChars="200"/>
        <w:jc w:val="both"/>
        <w:rPr>
          <w:bCs/>
        </w:rPr>
      </w:pPr>
      <w:r>
        <w:rPr>
          <w:rFonts w:hint="eastAsia"/>
          <w:bCs/>
        </w:rPr>
        <w:t>202</w:t>
      </w:r>
      <w:r>
        <w:rPr>
          <w:rFonts w:hint="eastAsia"/>
          <w:bCs/>
          <w:lang w:val="en-US" w:eastAsia="zh-CN"/>
        </w:rPr>
        <w:t>3</w:t>
      </w:r>
      <w:r>
        <w:rPr>
          <w:rFonts w:hint="eastAsia"/>
          <w:bCs/>
        </w:rPr>
        <w:t>年</w:t>
      </w:r>
      <w:r>
        <w:rPr>
          <w:rFonts w:hint="eastAsia"/>
          <w:bCs/>
          <w:lang w:val="en-US" w:eastAsia="zh-CN"/>
        </w:rPr>
        <w:t>5</w:t>
      </w:r>
      <w:r>
        <w:rPr>
          <w:rFonts w:hint="eastAsia"/>
          <w:bCs/>
        </w:rPr>
        <w:t>月</w:t>
      </w:r>
      <w:r>
        <w:rPr>
          <w:rFonts w:hint="eastAsia"/>
          <w:bCs/>
          <w:lang w:val="en-US" w:eastAsia="zh-CN"/>
        </w:rPr>
        <w:t>4</w:t>
      </w:r>
      <w:r>
        <w:rPr>
          <w:rFonts w:hint="eastAsia"/>
          <w:bCs/>
        </w:rPr>
        <w:t>日</w:t>
      </w:r>
      <w:r>
        <w:rPr>
          <w:rFonts w:hint="eastAsia"/>
          <w:bCs/>
          <w:lang w:eastAsia="zh-CN"/>
        </w:rPr>
        <w:t>，我区</w:t>
      </w:r>
      <w:r>
        <w:rPr>
          <w:rFonts w:hint="eastAsia"/>
          <w:bCs/>
        </w:rPr>
        <w:t>成立了</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eastAsia="仿宋_GB2312"/>
          <w:sz w:val="32"/>
          <w:szCs w:val="32"/>
        </w:rPr>
        <w:t>“</w:t>
      </w:r>
      <w:r>
        <w:rPr>
          <w:rFonts w:hint="eastAsia"/>
          <w:sz w:val="32"/>
          <w:szCs w:val="32"/>
          <w:lang w:val="en-US" w:eastAsia="zh-CN"/>
        </w:rPr>
        <w:t>3</w:t>
      </w:r>
      <w:r>
        <w:rPr>
          <w:rFonts w:hint="eastAsia" w:ascii="仿宋_GB2312" w:eastAsia="仿宋_GB2312"/>
          <w:sz w:val="32"/>
          <w:szCs w:val="32"/>
        </w:rPr>
        <w:t>·</w:t>
      </w:r>
      <w:r>
        <w:rPr>
          <w:rFonts w:hint="eastAsia"/>
          <w:sz w:val="32"/>
          <w:szCs w:val="32"/>
          <w:lang w:val="en-US" w:eastAsia="zh-CN"/>
        </w:rPr>
        <w:t>16</w:t>
      </w:r>
      <w:r>
        <w:rPr>
          <w:rFonts w:hint="eastAsia" w:ascii="仿宋_GB2312" w:eastAsia="仿宋_GB2312"/>
          <w:sz w:val="32"/>
          <w:szCs w:val="32"/>
        </w:rPr>
        <w:t>”</w:t>
      </w:r>
      <w:r>
        <w:rPr>
          <w:rFonts w:hint="eastAsia"/>
          <w:sz w:val="32"/>
          <w:szCs w:val="32"/>
          <w:lang w:eastAsia="zh-CN"/>
        </w:rPr>
        <w:t>物体打击</w:t>
      </w:r>
      <w:r>
        <w:rPr>
          <w:rFonts w:hint="eastAsia" w:ascii="Times New Roman" w:hAnsi="Times New Roman" w:eastAsia="仿宋_GB2312" w:cs="Times New Roman"/>
          <w:sz w:val="32"/>
          <w:szCs w:val="32"/>
        </w:rPr>
        <w:t>事故</w:t>
      </w:r>
      <w:r>
        <w:rPr>
          <w:rFonts w:hint="eastAsia"/>
        </w:rPr>
        <w:t>评估</w:t>
      </w:r>
      <w:r>
        <w:t>组</w:t>
      </w:r>
      <w:r>
        <w:rPr>
          <w:rFonts w:hint="eastAsia"/>
          <w:bCs/>
          <w:lang w:eastAsia="zh-CN"/>
        </w:rPr>
        <w:t>，区应急管理局、</w:t>
      </w:r>
      <w:r>
        <w:rPr>
          <w:rFonts w:hint="eastAsia" w:hAnsi="仿宋_GB2312" w:cs="仿宋_GB2312"/>
        </w:rPr>
        <w:t>公安静海分局、</w:t>
      </w:r>
      <w:r>
        <w:rPr>
          <w:rFonts w:hint="eastAsia" w:ascii="仿宋_GB2312" w:eastAsia="仿宋_GB2312"/>
          <w:sz w:val="32"/>
          <w:szCs w:val="32"/>
          <w:highlight w:val="none"/>
          <w:lang w:eastAsia="zh-CN"/>
        </w:rPr>
        <w:t>区市场监管局、</w:t>
      </w:r>
      <w:r>
        <w:rPr>
          <w:rFonts w:hint="eastAsia" w:hAnsi="仿宋_GB2312" w:cs="仿宋_GB2312"/>
        </w:rPr>
        <w:t>区</w:t>
      </w:r>
      <w:r>
        <w:rPr>
          <w:rFonts w:hint="eastAsia" w:hAnsi="仿宋_GB2312" w:cs="仿宋_GB2312"/>
          <w:lang w:val="en-US" w:eastAsia="zh-CN"/>
        </w:rPr>
        <w:t>工信</w:t>
      </w:r>
      <w:r>
        <w:rPr>
          <w:rFonts w:hint="eastAsia" w:hAnsi="仿宋_GB2312" w:cs="仿宋_GB2312"/>
        </w:rPr>
        <w:t>局、区总工会、</w:t>
      </w:r>
      <w:r>
        <w:rPr>
          <w:rFonts w:hint="eastAsia" w:ascii="仿宋_GB2312" w:hAnsi="仿宋_GB2312" w:eastAsia="仿宋_GB2312" w:cs="仿宋_GB2312"/>
          <w:sz w:val="32"/>
          <w:szCs w:val="32"/>
          <w:lang w:eastAsia="zh-CN"/>
        </w:rPr>
        <w:t>子牙经开区管委会</w:t>
      </w:r>
      <w:r>
        <w:rPr>
          <w:rFonts w:hint="eastAsia"/>
          <w:bCs/>
        </w:rPr>
        <w:t>为成员单位</w:t>
      </w:r>
      <w:r>
        <w:rPr>
          <w:rFonts w:hint="eastAsia"/>
          <w:bCs/>
          <w:lang w:val="en-US" w:eastAsia="zh-CN"/>
        </w:rPr>
        <w:t>开展评估工作。</w:t>
      </w:r>
    </w:p>
    <w:p>
      <w:pPr>
        <w:spacing w:line="560" w:lineRule="exact"/>
        <w:ind w:firstLine="640" w:firstLineChars="200"/>
        <w:jc w:val="both"/>
        <w:rPr>
          <w:rFonts w:hint="eastAsia" w:eastAsia="仿宋_GB2312"/>
          <w:bCs/>
          <w:lang w:val="en-US" w:eastAsia="zh-CN"/>
        </w:rPr>
      </w:pPr>
      <w:r>
        <w:rPr>
          <w:rFonts w:hint="eastAsia"/>
          <w:bCs/>
          <w:lang w:eastAsia="zh-CN"/>
        </w:rPr>
        <w:t>按照分工，</w:t>
      </w:r>
      <w:r>
        <w:rPr>
          <w:rFonts w:hint="eastAsia"/>
          <w:bCs/>
        </w:rPr>
        <w:t>区应急管理局</w:t>
      </w:r>
      <w:r>
        <w:rPr>
          <w:rFonts w:hint="eastAsia"/>
          <w:bCs/>
          <w:lang w:eastAsia="zh-CN"/>
        </w:rPr>
        <w:t>负责</w:t>
      </w:r>
      <w:r>
        <w:rPr>
          <w:rFonts w:hint="eastAsia"/>
          <w:bCs/>
        </w:rPr>
        <w:t>组织、协调事故评估组成员单位做好评估工作；</w:t>
      </w:r>
      <w:r>
        <w:rPr>
          <w:rFonts w:hint="eastAsia"/>
          <w:bCs/>
          <w:lang w:eastAsia="zh-CN"/>
        </w:rPr>
        <w:t>根据</w:t>
      </w:r>
      <w:r>
        <w:rPr>
          <w:rFonts w:hint="eastAsia"/>
          <w:bCs/>
        </w:rPr>
        <w:t>事故调查报告中建议给予行政处罚的单位和个人</w:t>
      </w:r>
      <w:r>
        <w:rPr>
          <w:rFonts w:hint="eastAsia"/>
          <w:bCs/>
          <w:lang w:eastAsia="zh-CN"/>
        </w:rPr>
        <w:t>的处理意见，</w:t>
      </w:r>
      <w:r>
        <w:rPr>
          <w:rFonts w:hint="eastAsia"/>
          <w:bCs/>
        </w:rPr>
        <w:t>对事故责任单位、人员</w:t>
      </w:r>
      <w:r>
        <w:rPr>
          <w:rFonts w:hint="eastAsia"/>
          <w:bCs/>
          <w:lang w:eastAsia="zh-CN"/>
        </w:rPr>
        <w:t>行政处罚方面</w:t>
      </w:r>
      <w:r>
        <w:rPr>
          <w:rFonts w:hint="eastAsia"/>
          <w:bCs/>
        </w:rPr>
        <w:t>落实情况进行评估</w:t>
      </w:r>
      <w:r>
        <w:rPr>
          <w:rFonts w:hint="eastAsia"/>
          <w:bCs/>
          <w:lang w:eastAsia="zh-CN"/>
        </w:rPr>
        <w:t>；根据</w:t>
      </w:r>
      <w:r>
        <w:rPr>
          <w:rFonts w:hint="eastAsia"/>
          <w:bCs/>
        </w:rPr>
        <w:t>事故调查报告中</w:t>
      </w:r>
      <w:r>
        <w:rPr>
          <w:rFonts w:hint="default"/>
          <w:bCs/>
        </w:rPr>
        <w:t>事故防范和</w:t>
      </w:r>
      <w:r>
        <w:rPr>
          <w:rFonts w:hint="eastAsia"/>
          <w:bCs/>
        </w:rPr>
        <w:t>整改措施意见，对事故发生单位的事故</w:t>
      </w:r>
      <w:r>
        <w:rPr>
          <w:rFonts w:hint="default"/>
          <w:bCs/>
        </w:rPr>
        <w:t>防范和</w:t>
      </w:r>
      <w:r>
        <w:rPr>
          <w:rFonts w:hint="eastAsia"/>
          <w:bCs/>
        </w:rPr>
        <w:t>整改措施落实情况进行评估形成总体评估报告</w:t>
      </w:r>
      <w:r>
        <w:rPr>
          <w:rFonts w:hint="eastAsia"/>
          <w:bCs/>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bCs/>
        </w:rPr>
      </w:pPr>
      <w:r>
        <w:rPr>
          <w:rFonts w:hint="eastAsia" w:hAnsi="仿宋_GB2312" w:cs="仿宋_GB2312"/>
        </w:rPr>
        <w:t>公安静海分局、</w:t>
      </w:r>
      <w:r>
        <w:rPr>
          <w:rFonts w:hint="eastAsia" w:ascii="仿宋_GB2312" w:eastAsia="仿宋_GB2312"/>
          <w:sz w:val="32"/>
          <w:szCs w:val="32"/>
          <w:highlight w:val="none"/>
          <w:lang w:eastAsia="zh-CN"/>
        </w:rPr>
        <w:t>区市场监管局</w:t>
      </w:r>
      <w:r>
        <w:rPr>
          <w:rFonts w:hint="eastAsia"/>
          <w:sz w:val="32"/>
          <w:szCs w:val="32"/>
          <w:highlight w:val="none"/>
          <w:lang w:eastAsia="zh-CN"/>
        </w:rPr>
        <w:t>、</w:t>
      </w:r>
      <w:r>
        <w:rPr>
          <w:rFonts w:hint="eastAsia" w:hAnsi="仿宋_GB2312" w:cs="仿宋_GB2312"/>
        </w:rPr>
        <w:t>区</w:t>
      </w:r>
      <w:r>
        <w:rPr>
          <w:rFonts w:hint="eastAsia" w:hAnsi="仿宋_GB2312" w:cs="仿宋_GB2312"/>
          <w:lang w:val="en-US" w:eastAsia="zh-CN"/>
        </w:rPr>
        <w:t>工信</w:t>
      </w:r>
      <w:r>
        <w:rPr>
          <w:rFonts w:hint="eastAsia" w:hAnsi="仿宋_GB2312" w:cs="仿宋_GB2312"/>
        </w:rPr>
        <w:t>局、区总工会</w:t>
      </w:r>
      <w:r>
        <w:rPr>
          <w:rFonts w:hint="eastAsia"/>
          <w:bCs/>
          <w:lang w:eastAsia="zh-CN"/>
        </w:rPr>
        <w:t>负责</w:t>
      </w:r>
      <w:r>
        <w:rPr>
          <w:rFonts w:hint="eastAsia"/>
          <w:bCs/>
          <w:lang w:val="en-US" w:eastAsia="zh-CN"/>
        </w:rPr>
        <w:t>参与对追责问责、事故防范和整改措施落实情况的评估。</w:t>
      </w:r>
    </w:p>
    <w:p>
      <w:pPr>
        <w:spacing w:line="560" w:lineRule="exact"/>
        <w:ind w:firstLine="640" w:firstLineChars="200"/>
        <w:jc w:val="both"/>
        <w:rPr>
          <w:bCs/>
        </w:rPr>
      </w:pPr>
      <w:r>
        <w:rPr>
          <w:rFonts w:hint="eastAsia" w:ascii="仿宋_GB2312" w:hAnsi="仿宋_GB2312" w:eastAsia="仿宋_GB2312" w:cs="仿宋_GB2312"/>
          <w:sz w:val="32"/>
          <w:szCs w:val="32"/>
          <w:lang w:eastAsia="zh-CN"/>
        </w:rPr>
        <w:t>子牙经开区管委会</w:t>
      </w:r>
      <w:r>
        <w:rPr>
          <w:rFonts w:hint="eastAsia"/>
          <w:bCs/>
          <w:lang w:eastAsia="zh-CN"/>
        </w:rPr>
        <w:t>负责</w:t>
      </w:r>
      <w:r>
        <w:rPr>
          <w:rFonts w:hint="eastAsia"/>
          <w:bCs/>
        </w:rPr>
        <w:t>落实属地责任，配合评估组其他成员单位做好此次事故评估工作</w:t>
      </w:r>
      <w:r>
        <w:rPr>
          <w:bCs/>
        </w:rPr>
        <w:t>。</w:t>
      </w:r>
    </w:p>
    <w:p>
      <w:pPr>
        <w:spacing w:line="560" w:lineRule="exact"/>
        <w:ind w:firstLine="640" w:firstLineChars="200"/>
        <w:jc w:val="both"/>
        <w:outlineLvl w:val="0"/>
        <w:rPr>
          <w:rFonts w:ascii="黑体" w:hAnsi="黑体" w:eastAsia="黑体"/>
        </w:rPr>
      </w:pPr>
      <w:r>
        <w:rPr>
          <w:rFonts w:hint="eastAsia" w:ascii="黑体" w:hAnsi="黑体" w:eastAsia="黑体"/>
        </w:rPr>
        <w:t>三、事故调查处理情况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仿宋_GB2312" w:hAnsi="仿宋_GB2312" w:eastAsia="仿宋_GB2312" w:cs="仿宋_GB2312"/>
          <w:sz w:val="32"/>
          <w:szCs w:val="32"/>
          <w:lang w:val="en-US" w:eastAsia="zh-CN"/>
        </w:rPr>
        <w:t>2022年3月16日9时10分左右</w:t>
      </w:r>
      <w:r>
        <w:rPr>
          <w:rFonts w:hint="eastAsia" w:ascii="仿宋_GB2312" w:hAnsi="仿宋_GB2312" w:eastAsia="仿宋_GB2312" w:cs="仿宋_GB2312"/>
          <w:sz w:val="32"/>
          <w:szCs w:val="32"/>
        </w:rPr>
        <w:t>，位于</w:t>
      </w:r>
      <w:r>
        <w:rPr>
          <w:rFonts w:hint="eastAsia" w:ascii="仿宋_GB2312" w:hAnsi="仿宋_GB2312" w:eastAsia="仿宋_GB2312" w:cs="仿宋_GB2312"/>
          <w:sz w:val="32"/>
          <w:szCs w:val="32"/>
          <w:lang w:eastAsia="zh-CN"/>
        </w:rPr>
        <w:t>子牙经开区</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天津志伟盛强铝业有限公司</w:t>
      </w:r>
      <w:r>
        <w:rPr>
          <w:rFonts w:hint="eastAsia" w:ascii="仿宋_GB2312" w:hAnsi="仿宋_GB2312" w:eastAsia="仿宋_GB2312" w:cs="仿宋_GB2312"/>
          <w:kern w:val="2"/>
          <w:sz w:val="32"/>
          <w:szCs w:val="32"/>
          <w:lang w:val="en-US" w:eastAsia="zh-CN" w:bidi="ar-SA"/>
        </w:rPr>
        <w:t>挤压</w:t>
      </w:r>
      <w:r>
        <w:rPr>
          <w:rFonts w:hint="eastAsia" w:ascii="仿宋_GB2312" w:hAnsi="仿宋_GB2312" w:eastAsia="仿宋_GB2312" w:cs="仿宋_GB2312"/>
          <w:sz w:val="32"/>
          <w:szCs w:val="32"/>
          <w:lang w:val="en-US" w:eastAsia="zh-CN"/>
        </w:rPr>
        <w:t>车间内</w:t>
      </w:r>
      <w:r>
        <w:rPr>
          <w:rFonts w:hint="eastAsia" w:ascii="仿宋_GB2312" w:hAnsi="仿宋_GB2312" w:eastAsia="仿宋_GB2312" w:cs="仿宋_GB2312"/>
          <w:sz w:val="32"/>
          <w:szCs w:val="32"/>
        </w:rPr>
        <w:t>发生一起</w:t>
      </w:r>
      <w:r>
        <w:rPr>
          <w:rFonts w:hint="eastAsia" w:ascii="仿宋_GB2312" w:hAnsi="仿宋_GB2312" w:eastAsia="仿宋_GB2312" w:cs="仿宋_GB2312"/>
          <w:sz w:val="32"/>
          <w:szCs w:val="32"/>
          <w:lang w:eastAsia="zh-CN"/>
        </w:rPr>
        <w:t>物体打击</w:t>
      </w:r>
      <w:r>
        <w:rPr>
          <w:rFonts w:hint="eastAsia" w:ascii="仿宋_GB2312" w:hAnsi="仿宋_GB2312" w:eastAsia="仿宋_GB2312" w:cs="仿宋_GB2312"/>
          <w:sz w:val="32"/>
          <w:szCs w:val="32"/>
        </w:rPr>
        <w:t>事故，造成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死亡</w:t>
      </w:r>
      <w:r>
        <w:rPr>
          <w:rFonts w:hint="default" w:hAnsi="仿宋"/>
          <w:sz w:val="32"/>
          <w:szCs w:val="32"/>
          <w:lang w:val="en"/>
        </w:rPr>
        <w:t>,</w:t>
      </w:r>
      <w:r>
        <w:rPr>
          <w:rFonts w:hint="eastAsia"/>
        </w:rPr>
        <w:t>直接经济损失</w:t>
      </w:r>
      <w:r>
        <w:rPr>
          <w:rFonts w:hint="eastAsia" w:hAnsi="仿宋"/>
          <w:sz w:val="32"/>
          <w:szCs w:val="32"/>
          <w:lang w:val="en-US" w:eastAsia="zh-CN"/>
        </w:rPr>
        <w:t>130</w:t>
      </w:r>
      <w:r>
        <w:rPr>
          <w:rFonts w:hint="eastAsia" w:hAnsi="仿宋"/>
          <w:sz w:val="32"/>
          <w:szCs w:val="32"/>
          <w:lang w:eastAsia="zh-CN"/>
        </w:rPr>
        <w:t>万</w:t>
      </w:r>
      <w:r>
        <w:rPr>
          <w:rFonts w:hint="eastAsia"/>
        </w:rPr>
        <w:t>元人民币。</w:t>
      </w:r>
    </w:p>
    <w:p>
      <w:pPr>
        <w:pStyle w:val="4"/>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rPr>
      </w:pPr>
      <w:r>
        <w:rPr>
          <w:rFonts w:hint="eastAsia"/>
          <w:lang w:eastAsia="zh-CN"/>
        </w:rPr>
        <w:t>事故发生后</w:t>
      </w:r>
      <w:r>
        <w:rPr>
          <w:rFonts w:hint="eastAsia"/>
        </w:rPr>
        <w:t>，</w:t>
      </w:r>
      <w:r>
        <w:rPr>
          <w:rFonts w:hint="eastAsia"/>
          <w:lang w:eastAsia="zh-CN"/>
        </w:rPr>
        <w:t>依据</w:t>
      </w:r>
      <w:r>
        <w:rPr>
          <w:rFonts w:hint="eastAsia"/>
        </w:rPr>
        <w:t>《天津市安全生产条例》第五十七条规定，经区政府研究决定成立</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eastAsia="仿宋_GB2312"/>
          <w:sz w:val="32"/>
          <w:szCs w:val="32"/>
        </w:rPr>
        <w:t>“</w:t>
      </w:r>
      <w:r>
        <w:rPr>
          <w:rFonts w:hint="eastAsia"/>
          <w:sz w:val="32"/>
          <w:szCs w:val="32"/>
          <w:lang w:val="en-US" w:eastAsia="zh-CN"/>
        </w:rPr>
        <w:t>3</w:t>
      </w:r>
      <w:r>
        <w:rPr>
          <w:rFonts w:hint="eastAsia" w:ascii="仿宋_GB2312" w:eastAsia="仿宋_GB2312"/>
          <w:sz w:val="32"/>
          <w:szCs w:val="32"/>
        </w:rPr>
        <w:t>·</w:t>
      </w:r>
      <w:r>
        <w:rPr>
          <w:rFonts w:hint="eastAsia"/>
          <w:sz w:val="32"/>
          <w:szCs w:val="32"/>
          <w:lang w:val="en-US" w:eastAsia="zh-CN"/>
        </w:rPr>
        <w:t>16</w:t>
      </w:r>
      <w:r>
        <w:rPr>
          <w:rFonts w:hint="eastAsia" w:ascii="仿宋_GB2312" w:eastAsia="仿宋_GB2312"/>
          <w:sz w:val="32"/>
          <w:szCs w:val="32"/>
        </w:rPr>
        <w:t>”</w:t>
      </w:r>
      <w:r>
        <w:rPr>
          <w:rFonts w:hint="eastAsia"/>
          <w:sz w:val="32"/>
          <w:szCs w:val="32"/>
          <w:lang w:eastAsia="zh-CN"/>
        </w:rPr>
        <w:t>物体打击</w:t>
      </w:r>
      <w:r>
        <w:rPr>
          <w:rFonts w:hint="eastAsia" w:ascii="Times New Roman" w:hAnsi="Times New Roman" w:eastAsia="仿宋_GB2312" w:cs="Times New Roman"/>
          <w:sz w:val="32"/>
          <w:szCs w:val="32"/>
        </w:rPr>
        <w:t>事故</w:t>
      </w:r>
      <w:r>
        <w:rPr>
          <w:rFonts w:ascii="Times New Roman" w:hAnsi="Times New Roman" w:eastAsia="仿宋_GB2312" w:cs="Times New Roman"/>
          <w:sz w:val="32"/>
          <w:szCs w:val="32"/>
        </w:rPr>
        <w:t>调查组</w:t>
      </w:r>
      <w:r>
        <w:rPr>
          <w:rFonts w:hint="eastAsia" w:ascii="Times New Roman" w:cs="Times New Roman"/>
          <w:sz w:val="32"/>
          <w:szCs w:val="32"/>
          <w:lang w:val="en-US" w:eastAsia="zh-CN"/>
        </w:rPr>
        <w:t>开展事故调查工作</w:t>
      </w:r>
      <w:r>
        <w:rPr>
          <w:rFonts w:hint="eastAsia"/>
        </w:rPr>
        <w:t>。</w:t>
      </w:r>
    </w:p>
    <w:p>
      <w:pPr>
        <w:pStyle w:val="4"/>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lang w:val="en-US" w:eastAsia="zh-CN"/>
        </w:rPr>
      </w:pPr>
      <w:r>
        <w:rPr>
          <w:rFonts w:hint="eastAsia"/>
          <w:lang w:val="en-US" w:eastAsia="zh-CN"/>
        </w:rPr>
        <w:t>经事故调查组现场勘查和调查取证认定该起事故的直接原因为：</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仿宋_GB2312" w:eastAsia="仿宋_GB2312" w:cs="仿宋_GB2312"/>
          <w:kern w:val="2"/>
          <w:sz w:val="32"/>
          <w:szCs w:val="32"/>
          <w:lang w:val="en-US" w:eastAsia="zh-CN" w:bidi="ar-SA"/>
        </w:rPr>
        <w:t>车间主任谭光兵使用撬棍撬铝棒炉料架上的两根铝棒时，两根铝棒失衡先后从高约1米未设置防护装置的料架上掉落，将谭光兵砸伤</w:t>
      </w:r>
      <w:r>
        <w:rPr>
          <w:rFonts w:hint="eastAsia" w:hAnsi="仿宋_GB2312" w:cs="仿宋_GB2312"/>
          <w:kern w:val="2"/>
          <w:sz w:val="32"/>
          <w:szCs w:val="32"/>
          <w:lang w:val="en-US" w:eastAsia="zh-CN" w:bidi="ar-SA"/>
        </w:rPr>
        <w:t>致死。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lang w:val="en-US" w:eastAsia="zh-CN"/>
        </w:rPr>
        <w:t>该起事故的间接原因为：1.</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Times New Roman" w:eastAsia="仿宋_GB2312" w:cs="Times New Roman"/>
          <w:kern w:val="2"/>
          <w:sz w:val="32"/>
          <w:szCs w:val="32"/>
          <w:lang w:val="en-US" w:eastAsia="zh-CN" w:bidi="ar-SA"/>
        </w:rPr>
        <w:t>未健全并落实全员安全生产责任制。该公司虽然制定了《各级安全生产责任制汇编》，但该汇编中未制定车间主任谭光兵的岗位安全生产责任制，也未明确谭光兵的安全生产责任范围。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hAnsi="仿宋_GB2312" w:cs="仿宋_GB2312"/>
          <w:sz w:val="32"/>
          <w:szCs w:val="32"/>
          <w:lang w:val="en-US" w:eastAsia="zh-CN"/>
        </w:rPr>
        <w:t>2.</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Calibri" w:eastAsia="仿宋_GB2312" w:cs="仿宋_GB2312"/>
          <w:color w:val="auto"/>
          <w:sz w:val="32"/>
          <w:szCs w:val="32"/>
          <w:lang w:eastAsia="zh-CN"/>
        </w:rPr>
        <w:t>安全教育培训不到位。谭光兵作为该公司的安全管理人员负责对该公司员工进行安全生产教育和培训工作，但</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Calibri" w:eastAsia="仿宋_GB2312" w:cs="仿宋_GB2312"/>
          <w:color w:val="auto"/>
          <w:sz w:val="32"/>
          <w:szCs w:val="32"/>
          <w:lang w:eastAsia="zh-CN"/>
        </w:rPr>
        <w:t>并</w:t>
      </w:r>
      <w:r>
        <w:rPr>
          <w:rFonts w:hint="eastAsia" w:ascii="仿宋_GB2312" w:hAnsi="仿宋_GB2312" w:eastAsia="仿宋_GB2312" w:cs="仿宋_GB2312"/>
          <w:color w:val="auto"/>
          <w:sz w:val="32"/>
          <w:szCs w:val="32"/>
        </w:rPr>
        <w:t>未</w:t>
      </w:r>
      <w:r>
        <w:rPr>
          <w:rFonts w:hint="eastAsia" w:ascii="仿宋_GB2312" w:hAnsi="仿宋_GB2312" w:eastAsia="仿宋_GB2312" w:cs="仿宋_GB2312"/>
          <w:color w:val="auto"/>
          <w:sz w:val="32"/>
          <w:szCs w:val="32"/>
          <w:lang w:eastAsia="zh-CN"/>
        </w:rPr>
        <w:t>对谭光兵进行过安全生产教育和培训，对其是否具备与本公司所从事的生产经营活动相应的安全生产知识和管理能力没有考核。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sz w:val="32"/>
          <w:szCs w:val="32"/>
          <w:lang w:val="en-US" w:eastAsia="zh-CN"/>
        </w:rPr>
      </w:pPr>
      <w:r>
        <w:rPr>
          <w:rFonts w:hint="eastAsia" w:hAnsi="仿宋_GB2312" w:cs="仿宋_GB2312"/>
          <w:sz w:val="32"/>
          <w:szCs w:val="32"/>
          <w:lang w:val="en-US" w:eastAsia="zh-CN"/>
        </w:rPr>
        <w:t>3.</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仿宋_GB2312" w:eastAsia="仿宋_GB2312" w:cs="仿宋_GB2312"/>
          <w:color w:val="auto"/>
          <w:sz w:val="32"/>
          <w:szCs w:val="32"/>
          <w:lang w:val="en-US" w:eastAsia="zh-CN"/>
        </w:rPr>
        <w:t>事故隐患排查治理不到位。</w:t>
      </w:r>
      <w:r>
        <w:rPr>
          <w:rFonts w:hint="eastAsia" w:hAnsi="仿宋_GB2312" w:cs="仿宋_GB2312"/>
          <w:color w:val="auto"/>
          <w:sz w:val="32"/>
          <w:szCs w:val="32"/>
          <w:lang w:val="en-US" w:eastAsia="zh-CN"/>
        </w:rPr>
        <w:t>该公司</w:t>
      </w:r>
      <w:r>
        <w:rPr>
          <w:rFonts w:hint="eastAsia" w:ascii="仿宋_GB2312" w:hAnsi="仿宋_GB2312" w:eastAsia="仿宋_GB2312" w:cs="仿宋_GB2312"/>
          <w:color w:val="auto"/>
          <w:sz w:val="32"/>
          <w:szCs w:val="32"/>
          <w:lang w:val="en-US" w:eastAsia="zh-CN"/>
        </w:rPr>
        <w:t>虽开展过隐患排查治理工作，但一直未发现铝棒炉料架未设置必要的防护装置等问题</w:t>
      </w:r>
      <w:r>
        <w:rPr>
          <w:rFonts w:hint="eastAsia" w:ascii="仿宋_GB2312" w:hAnsi="Times New Roman"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hAnsi="仿宋_GB2312" w:cs="仿宋_GB2312"/>
          <w:sz w:val="32"/>
          <w:szCs w:val="32"/>
          <w:lang w:val="en-US" w:eastAsia="zh-CN"/>
        </w:rPr>
        <w:t>4.</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hAnsi="仿宋_GB2312" w:eastAsia="仿宋_GB2312" w:cs="仿宋_GB2312"/>
          <w:color w:val="auto"/>
          <w:sz w:val="32"/>
          <w:szCs w:val="32"/>
          <w:lang w:val="en-US" w:eastAsia="zh-CN"/>
        </w:rPr>
        <w:t>法定代表人、主要负责人骆水勇安全生产第一责任人责任落实不到位。骆水勇作为该公司主要负责人通过下发公司文件的形式违规任命谭光兵为本公司安全生产第一责任人，且应由其组织制定的铝棒炉安全生产操作规程未覆盖铝棒炉岗位全部作业活动，未明确安全操作要求、作业环境要求、作业防护要求、禁止事项、紧急情况现场处置措施等内容</w:t>
      </w:r>
      <w:r>
        <w:rPr>
          <w:rFonts w:hint="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eastAsia="黑体"/>
          <w:color w:val="000000"/>
        </w:rPr>
      </w:pPr>
      <w:r>
        <w:rPr>
          <w:rFonts w:hint="eastAsia" w:cs="仿宋_GB2312"/>
          <w:sz w:val="32"/>
          <w:szCs w:val="32"/>
          <w:lang w:val="en-US" w:eastAsia="zh-CN"/>
        </w:rPr>
        <w:t>2022年5月9日，事故调查组向区政府提交《</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eastAsia="仿宋_GB2312"/>
          <w:sz w:val="32"/>
          <w:szCs w:val="32"/>
        </w:rPr>
        <w:t>“</w:t>
      </w:r>
      <w:r>
        <w:rPr>
          <w:rFonts w:hint="eastAsia"/>
          <w:sz w:val="32"/>
          <w:szCs w:val="32"/>
          <w:lang w:val="en-US" w:eastAsia="zh-CN"/>
        </w:rPr>
        <w:t>3</w:t>
      </w:r>
      <w:r>
        <w:rPr>
          <w:rFonts w:hint="eastAsia" w:ascii="仿宋_GB2312" w:eastAsia="仿宋_GB2312"/>
          <w:sz w:val="32"/>
          <w:szCs w:val="32"/>
        </w:rPr>
        <w:t>·</w:t>
      </w:r>
      <w:r>
        <w:rPr>
          <w:rFonts w:hint="eastAsia"/>
          <w:sz w:val="32"/>
          <w:szCs w:val="32"/>
          <w:lang w:val="en-US" w:eastAsia="zh-CN"/>
        </w:rPr>
        <w:t>16</w:t>
      </w:r>
      <w:r>
        <w:rPr>
          <w:rFonts w:hint="eastAsia" w:ascii="仿宋_GB2312" w:eastAsia="仿宋_GB2312"/>
          <w:sz w:val="32"/>
          <w:szCs w:val="32"/>
        </w:rPr>
        <w:t>”</w:t>
      </w:r>
      <w:r>
        <w:rPr>
          <w:rFonts w:hint="eastAsia" w:cs="仿宋_GB2312"/>
          <w:sz w:val="32"/>
          <w:szCs w:val="32"/>
          <w:lang w:val="en-US" w:eastAsia="zh-CN"/>
        </w:rPr>
        <w:t>物体打击事故调查报告》。2022年5月10日，区政府批复同意事故调查报告，事故调查结案。</w:t>
      </w:r>
    </w:p>
    <w:p>
      <w:pPr>
        <w:spacing w:line="560" w:lineRule="exact"/>
        <w:ind w:firstLine="640" w:firstLineChars="200"/>
        <w:outlineLvl w:val="0"/>
        <w:rPr>
          <w:rFonts w:ascii="黑体" w:hAnsi="黑体" w:eastAsia="黑体"/>
        </w:rPr>
      </w:pPr>
      <w:r>
        <w:rPr>
          <w:rFonts w:hint="eastAsia" w:ascii="Times New Roman" w:eastAsia="黑体"/>
          <w:color w:val="000000"/>
        </w:rPr>
        <w:t>四</w:t>
      </w:r>
      <w:r>
        <w:rPr>
          <w:rFonts w:ascii="Times New Roman" w:eastAsia="黑体"/>
          <w:color w:val="000000"/>
        </w:rPr>
        <w:t>、</w:t>
      </w:r>
      <w:r>
        <w:rPr>
          <w:rFonts w:hint="eastAsia" w:ascii="Times New Roman" w:eastAsia="黑体"/>
          <w:color w:val="000000"/>
        </w:rPr>
        <w:t>评估工作部署开展情况</w:t>
      </w:r>
    </w:p>
    <w:p>
      <w:pPr>
        <w:spacing w:line="560" w:lineRule="exact"/>
        <w:ind w:firstLine="640" w:firstLineChars="200"/>
        <w:jc w:val="both"/>
      </w:pPr>
      <w:r>
        <w:rPr>
          <w:rFonts w:hint="eastAsia"/>
        </w:rPr>
        <w:t>202</w:t>
      </w:r>
      <w:r>
        <w:rPr>
          <w:rFonts w:hint="eastAsia"/>
          <w:lang w:val="en-US" w:eastAsia="zh-CN"/>
        </w:rPr>
        <w:t>3</w:t>
      </w:r>
      <w:r>
        <w:rPr>
          <w:rFonts w:hint="eastAsia"/>
        </w:rPr>
        <w:t>年</w:t>
      </w:r>
      <w:r>
        <w:rPr>
          <w:rFonts w:hint="eastAsia"/>
          <w:lang w:val="en-US" w:eastAsia="zh-CN"/>
        </w:rPr>
        <w:t>5</w:t>
      </w:r>
      <w:r>
        <w:rPr>
          <w:rFonts w:hint="eastAsia"/>
        </w:rPr>
        <w:t>月</w:t>
      </w:r>
      <w:r>
        <w:rPr>
          <w:rFonts w:hint="eastAsia"/>
          <w:lang w:val="en-US" w:eastAsia="zh-CN"/>
        </w:rPr>
        <w:t>4</w:t>
      </w:r>
      <w:r>
        <w:rPr>
          <w:rFonts w:hint="eastAsia"/>
        </w:rPr>
        <w:t>日</w:t>
      </w:r>
      <w:r>
        <w:t>，</w:t>
      </w:r>
      <w:r>
        <w:rPr>
          <w:rFonts w:hint="eastAsia"/>
        </w:rPr>
        <w:t>事故评估组</w:t>
      </w:r>
      <w:r>
        <w:t>召开了</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ascii="仿宋_GB2312" w:eastAsia="仿宋_GB2312"/>
          <w:sz w:val="32"/>
          <w:szCs w:val="32"/>
        </w:rPr>
        <w:t>“</w:t>
      </w:r>
      <w:r>
        <w:rPr>
          <w:rFonts w:hint="eastAsia"/>
          <w:sz w:val="32"/>
          <w:szCs w:val="32"/>
          <w:lang w:val="en-US" w:eastAsia="zh-CN"/>
        </w:rPr>
        <w:t>3</w:t>
      </w:r>
      <w:r>
        <w:rPr>
          <w:rFonts w:hint="eastAsia" w:ascii="仿宋_GB2312" w:eastAsia="仿宋_GB2312"/>
          <w:sz w:val="32"/>
          <w:szCs w:val="32"/>
        </w:rPr>
        <w:t>·</w:t>
      </w:r>
      <w:r>
        <w:rPr>
          <w:rFonts w:hint="eastAsia"/>
          <w:sz w:val="32"/>
          <w:szCs w:val="32"/>
          <w:lang w:val="en-US" w:eastAsia="zh-CN"/>
        </w:rPr>
        <w:t>16</w:t>
      </w:r>
      <w:r>
        <w:rPr>
          <w:rFonts w:hint="eastAsia" w:ascii="仿宋_GB2312" w:eastAsia="仿宋_GB2312"/>
          <w:sz w:val="32"/>
          <w:szCs w:val="32"/>
        </w:rPr>
        <w:t>”</w:t>
      </w:r>
      <w:r>
        <w:rPr>
          <w:rFonts w:hint="eastAsia"/>
          <w:sz w:val="32"/>
          <w:szCs w:val="32"/>
          <w:lang w:eastAsia="zh-CN"/>
        </w:rPr>
        <w:t>物体打击</w:t>
      </w:r>
      <w:r>
        <w:rPr>
          <w:rFonts w:hint="eastAsia" w:hAnsi="仿宋"/>
        </w:rPr>
        <w:t>事故</w:t>
      </w:r>
      <w:r>
        <w:rPr>
          <w:rFonts w:hint="eastAsia"/>
        </w:rPr>
        <w:t>评估组会议</w:t>
      </w:r>
      <w:r>
        <w:t>，</w:t>
      </w:r>
      <w:r>
        <w:rPr>
          <w:rFonts w:hint="eastAsia"/>
        </w:rPr>
        <w:t>对事故评估的相关工作进行部署，明确了各成员单位的职责分工。</w:t>
      </w:r>
    </w:p>
    <w:p>
      <w:pPr>
        <w:spacing w:line="560" w:lineRule="exact"/>
        <w:ind w:firstLine="640" w:firstLineChars="200"/>
        <w:jc w:val="both"/>
      </w:pPr>
      <w:r>
        <w:t>202</w:t>
      </w:r>
      <w:r>
        <w:rPr>
          <w:rFonts w:hint="eastAsia"/>
          <w:lang w:val="en-US" w:eastAsia="zh-CN"/>
        </w:rPr>
        <w:t>3</w:t>
      </w:r>
      <w:r>
        <w:rPr>
          <w:rFonts w:hint="eastAsia"/>
        </w:rPr>
        <w:t>年</w:t>
      </w:r>
      <w:r>
        <w:rPr>
          <w:rFonts w:hint="eastAsia"/>
          <w:lang w:val="en-US" w:eastAsia="zh-CN"/>
        </w:rPr>
        <w:t>5</w:t>
      </w:r>
      <w:r>
        <w:rPr>
          <w:rFonts w:hint="eastAsia"/>
        </w:rPr>
        <w:t>月</w:t>
      </w:r>
      <w:r>
        <w:rPr>
          <w:rFonts w:hint="default"/>
          <w:lang w:val="en" w:eastAsia="zh-CN"/>
        </w:rPr>
        <w:t>10</w:t>
      </w:r>
      <w:r>
        <w:rPr>
          <w:rFonts w:hint="eastAsia"/>
        </w:rPr>
        <w:t>日</w:t>
      </w:r>
      <w:r>
        <w:t>，事故评估组</w:t>
      </w:r>
      <w:r>
        <w:rPr>
          <w:rFonts w:hint="eastAsia"/>
        </w:rPr>
        <w:t>对事故调查</w:t>
      </w:r>
      <w:r>
        <w:t>报告</w:t>
      </w:r>
      <w:r>
        <w:rPr>
          <w:rFonts w:hint="eastAsia"/>
        </w:rPr>
        <w:t>中</w:t>
      </w:r>
      <w:r>
        <w:rPr>
          <w:rFonts w:hint="eastAsia"/>
          <w:lang w:eastAsia="zh-CN"/>
        </w:rPr>
        <w:t>提出的事故防范和整改措施落实情况</w:t>
      </w:r>
      <w:r>
        <w:rPr>
          <w:rFonts w:hint="eastAsia"/>
        </w:rPr>
        <w:t>进行了实地评估</w:t>
      </w:r>
      <w: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rPr>
      </w:pPr>
      <w:r>
        <w:rPr>
          <w:rFonts w:hint="eastAsia" w:ascii="黑体" w:hAnsi="黑体" w:eastAsia="黑体"/>
        </w:rPr>
        <w:t>五</w:t>
      </w:r>
      <w:r>
        <w:rPr>
          <w:rFonts w:ascii="黑体" w:hAnsi="黑体" w:eastAsia="黑体"/>
        </w:rPr>
        <w:t>、</w:t>
      </w:r>
      <w:r>
        <w:rPr>
          <w:rFonts w:hint="eastAsia" w:ascii="黑体" w:hAnsi="黑体" w:eastAsia="黑体"/>
        </w:rPr>
        <w:t>评估事项及</w:t>
      </w:r>
      <w:r>
        <w:rPr>
          <w:rFonts w:ascii="黑体" w:hAnsi="黑体" w:eastAsia="黑体"/>
        </w:rPr>
        <w:t>结论</w:t>
      </w:r>
      <w:r>
        <w:rPr>
          <w:rFonts w:ascii="黑体" w:hAnsi="黑体" w:eastAsia="黑体"/>
        </w:rPr>
        <w:tab/>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hAnsi="Times New Roman" w:eastAsia="仿宋_GB2312" w:cs="Times New Roman"/>
          <w:szCs w:val="32"/>
        </w:rPr>
      </w:pPr>
      <w:r>
        <w:rPr>
          <w:rFonts w:hint="eastAsia" w:ascii="楷体_GB2312" w:eastAsia="楷体_GB2312"/>
          <w:b w:val="0"/>
          <w:bCs/>
        </w:rPr>
        <w:t>（</w:t>
      </w:r>
      <w:r>
        <w:rPr>
          <w:rFonts w:ascii="楷体_GB2312" w:eastAsia="楷体_GB2312"/>
          <w:b w:val="0"/>
          <w:bCs/>
        </w:rPr>
        <w:t>一</w:t>
      </w:r>
      <w:r>
        <w:rPr>
          <w:rFonts w:hint="eastAsia" w:ascii="楷体_GB2312" w:eastAsia="楷体_GB2312"/>
          <w:b w:val="0"/>
          <w:bCs/>
        </w:rPr>
        <w:t>）</w:t>
      </w:r>
      <w:r>
        <w:rPr>
          <w:rFonts w:hint="eastAsia" w:ascii="楷体" w:hAnsi="楷体" w:eastAsia="楷体"/>
          <w:b w:val="0"/>
          <w:bCs/>
        </w:rPr>
        <w:t>处理建议</w:t>
      </w:r>
      <w:r>
        <w:rPr>
          <w:rFonts w:ascii="楷体" w:hAnsi="楷体" w:eastAsia="楷体"/>
          <w:b w:val="0"/>
          <w:bCs/>
        </w:rPr>
        <w:t>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Ansi="仿宋"/>
        </w:rPr>
      </w:pPr>
      <w:r>
        <w:t>事故调查报告中对</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rPr>
        <w:t>、公司</w:t>
      </w:r>
      <w:r>
        <w:rPr>
          <w:rFonts w:hint="eastAsia"/>
          <w:lang w:val="en-US" w:eastAsia="zh-CN"/>
        </w:rPr>
        <w:t>主要负责人</w:t>
      </w:r>
      <w:r>
        <w:rPr>
          <w:rFonts w:hint="eastAsia" w:hAnsi="仿宋"/>
          <w:lang w:val="en-US" w:eastAsia="zh-CN"/>
        </w:rPr>
        <w:t>骆水勇</w:t>
      </w:r>
      <w:r>
        <w:t>的处理建议载明：</w:t>
      </w:r>
      <w:r>
        <w:rPr>
          <w:rFonts w:hint="eastAsia" w:hAnsi="仿宋"/>
        </w:rPr>
        <w:t>由区</w:t>
      </w:r>
      <w:r>
        <w:rPr>
          <w:rFonts w:hAnsi="仿宋"/>
        </w:rPr>
        <w:t>应急管理局</w:t>
      </w:r>
      <w:r>
        <w:rPr>
          <w:rFonts w:hint="eastAsia" w:hAnsi="仿宋"/>
        </w:rPr>
        <w:t>对</w:t>
      </w:r>
      <w:r>
        <w:rPr>
          <w:rFonts w:hint="eastAsia" w:ascii="仿宋_GB2312" w:hAnsi="仿宋_GB2312" w:eastAsia="仿宋_GB2312" w:cs="仿宋_GB2312"/>
          <w:sz w:val="32"/>
          <w:szCs w:val="32"/>
          <w:lang w:eastAsia="zh-CN"/>
        </w:rPr>
        <w:t>天津</w:t>
      </w:r>
      <w:r>
        <w:rPr>
          <w:rFonts w:hint="eastAsia" w:hAnsi="仿宋_GB2312" w:cs="仿宋_GB2312"/>
          <w:sz w:val="32"/>
          <w:szCs w:val="32"/>
          <w:lang w:eastAsia="zh-CN"/>
        </w:rPr>
        <w:t>志伟盛强铝业</w:t>
      </w:r>
      <w:r>
        <w:rPr>
          <w:rFonts w:hint="eastAsia" w:ascii="仿宋_GB2312" w:hAnsi="仿宋_GB2312" w:eastAsia="仿宋_GB2312" w:cs="仿宋_GB2312"/>
          <w:sz w:val="32"/>
          <w:szCs w:val="32"/>
        </w:rPr>
        <w:t>有限公司</w:t>
      </w:r>
      <w:r>
        <w:rPr>
          <w:rFonts w:hint="eastAsia" w:hAnsi="仿宋"/>
        </w:rPr>
        <w:t>处以</w:t>
      </w:r>
      <w:r>
        <w:rPr>
          <w:rFonts w:hint="eastAsia" w:hAnsi="仿宋"/>
          <w:lang w:val="en-US" w:eastAsia="zh-CN"/>
        </w:rPr>
        <w:t>6</w:t>
      </w:r>
      <w:r>
        <w:rPr>
          <w:rFonts w:hAnsi="仿宋"/>
        </w:rPr>
        <w:t>5</w:t>
      </w:r>
      <w:r>
        <w:rPr>
          <w:rFonts w:hint="eastAsia" w:hAnsi="仿宋"/>
        </w:rPr>
        <w:t>万元人民币罚款</w:t>
      </w:r>
      <w:r>
        <w:rPr>
          <w:rFonts w:hAnsi="仿宋"/>
        </w:rPr>
        <w:t>；</w:t>
      </w:r>
      <w:r>
        <w:rPr>
          <w:rFonts w:hint="eastAsia" w:hAnsi="仿宋"/>
        </w:rPr>
        <w:t>对</w:t>
      </w:r>
      <w:r>
        <w:rPr>
          <w:rFonts w:hint="eastAsia" w:hAnsi="仿宋"/>
          <w:lang w:eastAsia="zh-CN"/>
        </w:rPr>
        <w:t>天津志伟盛强铝业</w:t>
      </w:r>
      <w:r>
        <w:rPr>
          <w:rFonts w:hint="eastAsia" w:hAnsi="仿宋"/>
        </w:rPr>
        <w:t>有限公司</w:t>
      </w:r>
      <w:r>
        <w:rPr>
          <w:rFonts w:hint="eastAsia" w:hAnsi="仿宋"/>
          <w:lang w:val="en-US" w:eastAsia="zh-CN"/>
        </w:rPr>
        <w:t>主要负责人骆水勇</w:t>
      </w:r>
      <w:r>
        <w:rPr>
          <w:rFonts w:hAnsi="仿宋"/>
        </w:rPr>
        <w:t>处以</w:t>
      </w:r>
      <w:r>
        <w:rPr>
          <w:rFonts w:hint="eastAsia" w:hAnsi="仿宋"/>
        </w:rPr>
        <w:t>上一年年收入</w:t>
      </w:r>
      <w:r>
        <w:rPr>
          <w:rFonts w:hint="eastAsia" w:hAnsi="仿宋"/>
          <w:lang w:val="en-US" w:eastAsia="zh-CN"/>
        </w:rPr>
        <w:t>4</w:t>
      </w:r>
      <w:r>
        <w:rPr>
          <w:rFonts w:hAnsi="仿宋"/>
        </w:rPr>
        <w:t>0%</w:t>
      </w:r>
      <w:r>
        <w:rPr>
          <w:rFonts w:hint="eastAsia" w:hAnsi="仿宋"/>
        </w:rPr>
        <w:t>的</w:t>
      </w:r>
      <w:r>
        <w:rPr>
          <w:rFonts w:hAnsi="仿宋"/>
        </w:rPr>
        <w:t>罚款</w:t>
      </w:r>
      <w:r>
        <w:rPr>
          <w:rFonts w:hint="eastAsia" w:hAnsi="仿宋"/>
        </w:rPr>
        <w:t>，计</w:t>
      </w:r>
      <w:r>
        <w:rPr>
          <w:rFonts w:hint="eastAsia" w:hAnsi="仿宋_GB2312" w:cs="仿宋_GB2312"/>
          <w:lang w:val="en-US" w:eastAsia="zh-CN"/>
        </w:rPr>
        <w:t>1.62</w:t>
      </w:r>
      <w:r>
        <w:rPr>
          <w:rFonts w:hint="eastAsia"/>
        </w:rPr>
        <w:t>万元人民币</w:t>
      </w:r>
      <w:r>
        <w:rPr>
          <w:rFonts w:hint="eastAsia"/>
          <w:lang w:val="en-US" w:eastAsia="zh-CN"/>
        </w:rPr>
        <w:t>罚款</w:t>
      </w:r>
      <w:r>
        <w:rPr>
          <w:rFonts w:hint="eastAsia"/>
        </w:rPr>
        <w:t>。</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lang w:val="en-US" w:eastAsia="zh-CN" w:bidi="ar-SA"/>
        </w:rPr>
      </w:pPr>
      <w:r>
        <w:rPr>
          <w:rFonts w:ascii="仿宋_GB2312" w:hAnsi="Times New Roman" w:eastAsia="仿宋_GB2312" w:cs="Times New Roman"/>
          <w:szCs w:val="32"/>
        </w:rPr>
        <w:t>区应急</w:t>
      </w:r>
      <w:r>
        <w:rPr>
          <w:rFonts w:hint="eastAsia" w:ascii="仿宋_GB2312" w:hAnsi="Times New Roman" w:eastAsia="仿宋_GB2312" w:cs="Times New Roman"/>
          <w:szCs w:val="32"/>
        </w:rPr>
        <w:t>管理</w:t>
      </w:r>
      <w:r>
        <w:rPr>
          <w:rFonts w:ascii="仿宋_GB2312" w:hAnsi="Times New Roman" w:eastAsia="仿宋_GB2312" w:cs="Times New Roman"/>
          <w:szCs w:val="32"/>
        </w:rPr>
        <w:t>局按照事故调查报告及批复要求，于202</w:t>
      </w:r>
      <w:r>
        <w:rPr>
          <w:rFonts w:hint="eastAsia" w:ascii="仿宋_GB2312" w:hAnsi="Times New Roman" w:eastAsia="仿宋_GB2312" w:cs="Times New Roman"/>
          <w:szCs w:val="32"/>
          <w:lang w:val="en-US" w:eastAsia="zh-CN"/>
        </w:rPr>
        <w:t>2</w:t>
      </w:r>
      <w:r>
        <w:rPr>
          <w:rFonts w:ascii="仿宋_GB2312" w:hAnsi="Times New Roman" w:eastAsia="仿宋_GB2312" w:cs="Times New Roman"/>
          <w:szCs w:val="32"/>
        </w:rPr>
        <w:t>年</w:t>
      </w:r>
      <w:r>
        <w:rPr>
          <w:rFonts w:hint="eastAsia" w:ascii="仿宋_GB2312" w:hAnsi="Times New Roman" w:eastAsia="仿宋_GB2312" w:cs="Times New Roman"/>
          <w:szCs w:val="32"/>
          <w:lang w:val="en-US" w:eastAsia="zh-CN"/>
        </w:rPr>
        <w:t>6</w:t>
      </w:r>
      <w:r>
        <w:rPr>
          <w:rFonts w:ascii="仿宋_GB2312" w:hAnsi="Times New Roman" w:eastAsia="仿宋_GB2312" w:cs="Times New Roman"/>
          <w:szCs w:val="32"/>
        </w:rPr>
        <w:t>月</w:t>
      </w:r>
      <w:r>
        <w:rPr>
          <w:rFonts w:hint="eastAsia" w:ascii="仿宋_GB2312" w:hAnsi="Times New Roman" w:eastAsia="仿宋_GB2312" w:cs="Times New Roman"/>
          <w:szCs w:val="32"/>
          <w:lang w:val="en-US" w:eastAsia="zh-CN"/>
        </w:rPr>
        <w:t>1</w:t>
      </w:r>
      <w:r>
        <w:rPr>
          <w:rFonts w:ascii="仿宋_GB2312" w:hAnsi="Times New Roman" w:eastAsia="仿宋_GB2312" w:cs="Times New Roman"/>
          <w:szCs w:val="32"/>
        </w:rPr>
        <w:t>日分别向</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ascii="仿宋_GB2312" w:hAnsi="Times New Roman" w:eastAsia="仿宋_GB2312" w:cs="Times New Roman"/>
          <w:szCs w:val="32"/>
        </w:rPr>
        <w:t>及其</w:t>
      </w:r>
      <w:r>
        <w:rPr>
          <w:rFonts w:hint="eastAsia" w:ascii="仿宋_GB2312" w:hAnsi="Times New Roman" w:eastAsia="仿宋_GB2312" w:cs="Times New Roman"/>
          <w:szCs w:val="32"/>
        </w:rPr>
        <w:t>公司</w:t>
      </w:r>
      <w:r>
        <w:rPr>
          <w:rFonts w:hint="eastAsia" w:ascii="仿宋_GB2312" w:hAnsi="Times New Roman" w:eastAsia="仿宋_GB2312" w:cs="Times New Roman"/>
          <w:szCs w:val="32"/>
          <w:lang w:val="en-US" w:eastAsia="zh-CN"/>
        </w:rPr>
        <w:t>主要负责人骆水勇</w:t>
      </w:r>
      <w:r>
        <w:rPr>
          <w:rFonts w:ascii="仿宋_GB2312" w:hAnsi="Times New Roman" w:eastAsia="仿宋_GB2312" w:cs="Times New Roman"/>
          <w:szCs w:val="32"/>
        </w:rPr>
        <w:t>下达了</w:t>
      </w:r>
      <w:r>
        <w:rPr>
          <w:rFonts w:hint="eastAsia" w:ascii="仿宋_GB2312" w:hAnsi="Times New Roman" w:eastAsia="仿宋_GB2312" w:cs="Times New Roman"/>
          <w:szCs w:val="32"/>
          <w:lang w:val="en-US" w:eastAsia="zh-CN"/>
        </w:rPr>
        <w:t>《行政处罚决定书》（文书号：（津静）</w:t>
      </w:r>
      <w:r>
        <w:rPr>
          <w:rFonts w:hint="eastAsia" w:ascii="仿宋_GB2312" w:hAnsi="仿宋_GB2312" w:eastAsia="仿宋_GB2312" w:cs="仿宋_GB2312"/>
          <w:sz w:val="32"/>
          <w:szCs w:val="32"/>
          <w:lang w:val="en-US" w:eastAsia="zh-CN" w:bidi="ar-SA"/>
        </w:rPr>
        <w:t>应急罚[2022]大队006号）、《行政处罚决定书》（文书号：（津静）应急罚[2022]大队007号）。2022年6月10日，</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ascii="仿宋_GB2312" w:hAnsi="Times New Roman" w:eastAsia="仿宋_GB2312" w:cs="Times New Roman"/>
          <w:szCs w:val="32"/>
        </w:rPr>
        <w:t>及其</w:t>
      </w:r>
      <w:r>
        <w:rPr>
          <w:rFonts w:hint="eastAsia" w:ascii="仿宋_GB2312" w:hAnsi="Times New Roman" w:eastAsia="仿宋_GB2312" w:cs="Times New Roman"/>
          <w:szCs w:val="32"/>
        </w:rPr>
        <w:t>公司</w:t>
      </w:r>
      <w:r>
        <w:rPr>
          <w:rFonts w:hint="eastAsia" w:ascii="仿宋_GB2312" w:hAnsi="Times New Roman" w:eastAsia="仿宋_GB2312" w:cs="Times New Roman"/>
          <w:szCs w:val="32"/>
          <w:lang w:val="en-US" w:eastAsia="zh-CN"/>
        </w:rPr>
        <w:t>主要负责人骆水勇</w:t>
      </w:r>
      <w:r>
        <w:rPr>
          <w:rFonts w:hint="eastAsia" w:ascii="仿宋_GB2312" w:hAnsi="仿宋_GB2312" w:eastAsia="仿宋_GB2312" w:cs="仿宋_GB2312"/>
          <w:sz w:val="32"/>
          <w:szCs w:val="32"/>
          <w:lang w:val="en-US" w:eastAsia="zh-CN" w:bidi="ar-SA"/>
        </w:rPr>
        <w:t>已足额缴纳罚款。</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ascii="仿宋_GB2312" w:hAnsi="Times New Roman" w:eastAsia="仿宋_GB2312" w:cs="Times New Roman"/>
          <w:szCs w:val="32"/>
        </w:rPr>
      </w:pPr>
      <w:r>
        <w:rPr>
          <w:rFonts w:hint="eastAsia" w:ascii="仿宋_GB2312" w:hAnsi="Times New Roman" w:eastAsia="仿宋_GB2312" w:cs="Times New Roman"/>
          <w:szCs w:val="32"/>
        </w:rPr>
        <w:t>评估</w:t>
      </w:r>
      <w:r>
        <w:rPr>
          <w:rFonts w:ascii="仿宋_GB2312" w:hAnsi="Times New Roman" w:eastAsia="仿宋_GB2312" w:cs="Times New Roman"/>
          <w:szCs w:val="32"/>
        </w:rPr>
        <w:t>结论：</w:t>
      </w:r>
      <w:r>
        <w:rPr>
          <w:rFonts w:hint="eastAsia" w:ascii="仿宋_GB2312" w:eastAsia="仿宋_GB2312"/>
          <w:sz w:val="32"/>
          <w:szCs w:val="32"/>
          <w:lang w:eastAsia="zh-CN"/>
        </w:rPr>
        <w:t>区应急管理局</w:t>
      </w:r>
      <w:r>
        <w:rPr>
          <w:rFonts w:ascii="仿宋_GB2312" w:hAnsi="Times New Roman" w:eastAsia="仿宋_GB2312" w:cs="Times New Roman"/>
          <w:szCs w:val="32"/>
        </w:rPr>
        <w:t>对</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ascii="仿宋_GB2312" w:hAnsi="Times New Roman" w:eastAsia="仿宋_GB2312" w:cs="Times New Roman"/>
          <w:szCs w:val="32"/>
        </w:rPr>
        <w:t>及其</w:t>
      </w:r>
      <w:r>
        <w:rPr>
          <w:rFonts w:hint="eastAsia" w:ascii="仿宋_GB2312" w:hAnsi="Times New Roman" w:eastAsia="仿宋_GB2312" w:cs="Times New Roman"/>
          <w:szCs w:val="32"/>
        </w:rPr>
        <w:t>公司</w:t>
      </w:r>
      <w:r>
        <w:rPr>
          <w:rFonts w:hint="eastAsia" w:ascii="仿宋_GB2312" w:hAnsi="Times New Roman" w:eastAsia="仿宋_GB2312" w:cs="Times New Roman"/>
          <w:szCs w:val="32"/>
          <w:lang w:val="en-US" w:eastAsia="zh-CN"/>
        </w:rPr>
        <w:t>主要负责人骆水勇</w:t>
      </w:r>
      <w:r>
        <w:rPr>
          <w:rFonts w:ascii="仿宋_GB2312" w:hAnsi="Times New Roman" w:eastAsia="仿宋_GB2312" w:cs="Times New Roman"/>
          <w:szCs w:val="32"/>
        </w:rPr>
        <w:t>的行政处罚</w:t>
      </w:r>
      <w:r>
        <w:rPr>
          <w:rFonts w:hint="eastAsia" w:ascii="仿宋_GB2312" w:hAnsi="Times New Roman" w:eastAsia="仿宋_GB2312" w:cs="Times New Roman"/>
          <w:szCs w:val="32"/>
          <w:lang w:eastAsia="zh-CN"/>
        </w:rPr>
        <w:t>均</w:t>
      </w:r>
      <w:r>
        <w:rPr>
          <w:rFonts w:ascii="仿宋_GB2312" w:hAnsi="Times New Roman" w:eastAsia="仿宋_GB2312" w:cs="Times New Roman"/>
          <w:szCs w:val="32"/>
        </w:rPr>
        <w:t>已落实。</w:t>
      </w:r>
    </w:p>
    <w:p>
      <w:pPr>
        <w:spacing w:line="560" w:lineRule="exact"/>
        <w:ind w:firstLine="640" w:firstLineChars="200"/>
        <w:jc w:val="both"/>
        <w:outlineLvl w:val="0"/>
        <w:rPr>
          <w:rFonts w:ascii="楷体" w:hAnsi="楷体" w:eastAsia="楷体"/>
          <w:b w:val="0"/>
          <w:bCs/>
        </w:rPr>
      </w:pPr>
      <w:r>
        <w:rPr>
          <w:rFonts w:hint="eastAsia" w:ascii="楷体" w:hAnsi="楷体" w:eastAsia="楷体"/>
          <w:b w:val="0"/>
          <w:bCs/>
        </w:rPr>
        <w:t>（二）事故防范和整改</w:t>
      </w:r>
      <w:r>
        <w:rPr>
          <w:rFonts w:ascii="楷体" w:hAnsi="楷体" w:eastAsia="楷体"/>
          <w:b w:val="0"/>
          <w:bCs/>
        </w:rPr>
        <w:t>措施落实情况</w:t>
      </w:r>
    </w:p>
    <w:p>
      <w:pPr>
        <w:widowControl w:val="0"/>
        <w:spacing w:line="560" w:lineRule="exact"/>
        <w:ind w:firstLine="640" w:firstLineChars="200"/>
        <w:jc w:val="both"/>
        <w:rPr>
          <w:rFonts w:hAnsi="仿宋"/>
        </w:rPr>
      </w:pPr>
      <w:r>
        <w:rPr>
          <w:rFonts w:hAnsi="仿宋"/>
        </w:rPr>
        <w:t>事故调查报告中对</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ascii="仿宋_GB2312" w:hAnsi="Times New Roman" w:eastAsia="仿宋_GB2312" w:cs="Times New Roman"/>
          <w:szCs w:val="32"/>
        </w:rPr>
        <w:t>及其</w:t>
      </w:r>
      <w:r>
        <w:rPr>
          <w:rFonts w:hint="eastAsia" w:ascii="仿宋_GB2312" w:hAnsi="Times New Roman" w:eastAsia="仿宋_GB2312" w:cs="Times New Roman"/>
          <w:szCs w:val="32"/>
        </w:rPr>
        <w:t>公司</w:t>
      </w:r>
      <w:r>
        <w:rPr>
          <w:rFonts w:hint="eastAsia" w:ascii="仿宋_GB2312" w:hAnsi="Times New Roman" w:eastAsia="仿宋_GB2312" w:cs="Times New Roman"/>
          <w:szCs w:val="32"/>
          <w:lang w:val="en-US" w:eastAsia="zh-CN"/>
        </w:rPr>
        <w:t>主要负责人</w:t>
      </w:r>
      <w:r>
        <w:rPr>
          <w:rFonts w:hint="eastAsia" w:hAnsi="仿宋"/>
        </w:rPr>
        <w:t>提出了</w:t>
      </w:r>
      <w:r>
        <w:rPr>
          <w:rFonts w:hAnsi="仿宋"/>
        </w:rPr>
        <w:t>整改措施建议：</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hint="eastAsia" w:cs="Times New Roman"/>
          <w:szCs w:val="32"/>
          <w:lang w:val="en-US" w:eastAsia="zh-CN"/>
        </w:rPr>
        <w:t>及</w:t>
      </w:r>
      <w:r>
        <w:rPr>
          <w:rFonts w:ascii="仿宋_GB2312" w:hAnsi="Times New Roman" w:eastAsia="仿宋_GB2312" w:cs="Times New Roman"/>
          <w:szCs w:val="32"/>
        </w:rPr>
        <w:t>其</w:t>
      </w:r>
      <w:r>
        <w:rPr>
          <w:rFonts w:hint="eastAsia" w:ascii="仿宋_GB2312" w:hAnsi="Times New Roman" w:eastAsia="仿宋_GB2312" w:cs="Times New Roman"/>
          <w:szCs w:val="32"/>
        </w:rPr>
        <w:t>公司</w:t>
      </w:r>
      <w:r>
        <w:rPr>
          <w:rFonts w:hint="eastAsia" w:ascii="仿宋_GB2312" w:hAnsi="Times New Roman" w:eastAsia="仿宋_GB2312" w:cs="Times New Roman"/>
          <w:szCs w:val="32"/>
          <w:lang w:val="en-US" w:eastAsia="zh-CN"/>
        </w:rPr>
        <w:t>主要负责人</w:t>
      </w:r>
      <w:r>
        <w:rPr>
          <w:rFonts w:hAnsi="仿宋"/>
        </w:rPr>
        <w:t>要严格遵守《中华人民共和国安全生产法》</w:t>
      </w:r>
      <w:r>
        <w:rPr>
          <w:rFonts w:hint="eastAsia" w:hAnsi="仿宋"/>
          <w:lang w:eastAsia="zh-CN"/>
        </w:rPr>
        <w:t>《天津市安全生产条例》《天津市生产经营单位安全生产主体责任规定》</w:t>
      </w:r>
      <w:r>
        <w:rPr>
          <w:rFonts w:hAnsi="仿宋"/>
        </w:rPr>
        <w:t>等法律法规的要求，认真落实安全生产主体责任，加强对公司的安全管理。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1.</w:t>
      </w:r>
      <w:r>
        <w:rPr>
          <w:rFonts w:hint="eastAsia" w:ascii="仿宋_GB2312" w:hAnsi="Times New Roman" w:eastAsia="仿宋_GB2312" w:cs="仿宋_GB2312"/>
          <w:sz w:val="32"/>
          <w:szCs w:val="32"/>
        </w:rPr>
        <w:t>要按照规定建立健全从主要负责人到一线岗位员工的所有从业人员、覆盖管理和操作所有工作岗位的全员安全生产责任制，明确安全生产责任范围、考核标准和奖惩措施，逐级、逐岗位签订安全生产责任书，并定期进行监督考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sz w:val="32"/>
          <w:szCs w:val="32"/>
          <w:lang w:val="en-US" w:eastAsia="zh-CN"/>
        </w:rPr>
      </w:pPr>
      <w:r>
        <w:rPr>
          <w:rFonts w:hint="eastAsia" w:ascii="仿宋_GB2312" w:hAnsi="Times New Roman" w:eastAsia="仿宋_GB2312" w:cs="仿宋_GB2312"/>
          <w:sz w:val="32"/>
          <w:szCs w:val="32"/>
          <w:lang w:val="en-US" w:eastAsia="zh-CN"/>
        </w:rPr>
        <w:t>2.要采取有效措施督促本公司从业人员依法接受安全培训，熟悉有关安全生产规章制度和安全操作规程，具备必要的安全生产知识，保证本公司从业人员安全培训学时符合相关法律法规要求。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仿宋_GB2312"/>
          <w:sz w:val="32"/>
          <w:szCs w:val="32"/>
          <w:lang w:val="en-US" w:eastAsia="zh-CN"/>
        </w:rPr>
      </w:pPr>
      <w:r>
        <w:rPr>
          <w:rFonts w:hint="eastAsia" w:ascii="仿宋_GB2312" w:hAnsi="Times New Roman" w:eastAsia="仿宋_GB2312" w:cs="仿宋_GB2312"/>
          <w:sz w:val="32"/>
          <w:szCs w:val="32"/>
          <w:lang w:val="en-US" w:eastAsia="zh-CN"/>
        </w:rPr>
        <w:t>3.要履行隐患排查治理责任，落实生产安全事故隐患排查治理制度，明确包括主要负责人的所有从业人员的事故隐患排查治理责任及范围；根据相关规定，编制事故隐患排查清单，明确事故隐患排查事项、排查标准和责任人等内容，并根据安全风险等级确定排查周期；建立事故隐患排查治理台账，如实记录排查时间、隐患内容、具体位置、隐患排查人、整改措施、整改责任人、整改完成时限、资金保障、整改验收等内容。</w:t>
      </w:r>
    </w:p>
    <w:p>
      <w:pPr>
        <w:spacing w:line="560" w:lineRule="exact"/>
        <w:ind w:firstLine="640" w:firstLineChars="200"/>
        <w:jc w:val="both"/>
        <w:rPr>
          <w:rFonts w:hAnsi="仿宋"/>
          <w:highlight w:val="yellow"/>
        </w:rPr>
      </w:pP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hAnsi="仿宋"/>
        </w:rPr>
        <w:t>按照事故调查报告中提出的整改措施建议，整改</w:t>
      </w:r>
      <w:r>
        <w:rPr>
          <w:rFonts w:hint="eastAsia" w:hAnsi="仿宋"/>
        </w:rPr>
        <w:t>落实</w:t>
      </w:r>
      <w:r>
        <w:rPr>
          <w:rFonts w:hAnsi="仿宋"/>
        </w:rPr>
        <w:t>情况如下</w:t>
      </w:r>
      <w:r>
        <w:rPr>
          <w:rFonts w:hint="eastAsia" w:hAnsi="仿宋"/>
        </w:rPr>
        <w:t>：</w:t>
      </w:r>
    </w:p>
    <w:p>
      <w:pPr>
        <w:widowControl w:val="0"/>
        <w:spacing w:after="0" w:line="560" w:lineRule="exact"/>
        <w:ind w:firstLine="640" w:firstLineChars="200"/>
        <w:jc w:val="both"/>
        <w:rPr>
          <w:rFonts w:hint="eastAsia" w:hAnsi="仿宋"/>
          <w:lang w:val="en-US" w:eastAsia="zh-CN"/>
        </w:rPr>
      </w:pPr>
      <w:r>
        <w:rPr>
          <w:rFonts w:hint="eastAsia" w:hAnsi="仿宋"/>
          <w:lang w:val="en-US" w:eastAsia="zh-CN"/>
        </w:rPr>
        <w:t>1.2022年4月1日，天津志伟盛强铝业有限公司按照《天津市生产经营单位安全生产主体责任规定》重新修订了该公司的全员安全生产责任制及《安全生产责任制考核管理制度》，完善了总经理、安全生产管理人员、挤压岗位员工及其他从业人员的安全生产责任制。2022年12月，天津志伟盛强铝业有限公司成立安全生产领导小组按照《安全生产责任制落实情况考核表》中分解出的各项考核内容对总经理、安全生产管理人员、生产负责人、各班组长及一线作业员工开展了全员的安全生产责任制考核并将全体员工落实该公司制定的《生产安全事故隐患排查治理制度》和《安全风险分级管控制度》情况作为考核依据，最终考核成绩与年终绩效进行挂钩,给予严格落实本岗位安全生产职责的人员发放绩效嘉奖100-300元/人次，共计安全嘉奖2200元。2023年1月，天津志伟盛强铝业有限公司组织全体员工共计30人逐级、逐岗位签订了2023年安全生产责任书，进一步明确了各岗位的安全生产职责，形成了“横向到边、纵向到底”的安全生产责任制体系，将各项责任落实到人。事故发生至今，天津志伟盛强铝业有限公司未再发生生产安全事故。</w:t>
      </w:r>
    </w:p>
    <w:p>
      <w:pPr>
        <w:widowControl w:val="0"/>
        <w:spacing w:after="0" w:line="560" w:lineRule="exact"/>
        <w:ind w:firstLine="640" w:firstLineChars="200"/>
        <w:jc w:val="both"/>
        <w:rPr>
          <w:rFonts w:hint="default" w:hAnsi="仿宋"/>
          <w:lang w:val="en-US" w:eastAsia="zh-CN"/>
        </w:rPr>
      </w:pPr>
      <w:r>
        <w:rPr>
          <w:rFonts w:hint="eastAsia" w:hAnsi="仿宋"/>
          <w:lang w:val="en-US" w:eastAsia="zh-CN"/>
        </w:rPr>
        <w:t>2.2022年4月1日，天津志伟盛强铝业有限公司依据</w:t>
      </w:r>
      <w:r>
        <w:rPr>
          <w:rFonts w:hint="eastAsia" w:hAnsi="仿宋" w:cs="Times New Roman"/>
          <w:lang w:val="en-US" w:eastAsia="zh-CN"/>
        </w:rPr>
        <w:t>《生产经营单位安全培训规定》</w:t>
      </w:r>
      <w:r>
        <w:rPr>
          <w:rFonts w:hint="eastAsia" w:hAnsi="仿宋"/>
          <w:lang w:val="en-US" w:eastAsia="zh-CN"/>
        </w:rPr>
        <w:t>修订了本公司的《</w:t>
      </w:r>
      <w:r>
        <w:rPr>
          <w:rFonts w:hint="eastAsia"/>
          <w:szCs w:val="28"/>
          <w:lang w:eastAsia="zh-CN"/>
        </w:rPr>
        <w:t>安全生产宣传教育和培训制度</w:t>
      </w:r>
      <w:r>
        <w:rPr>
          <w:rFonts w:hint="eastAsia" w:hAnsi="仿宋"/>
          <w:lang w:val="en-US" w:eastAsia="zh-CN"/>
        </w:rPr>
        <w:t>》，完善了安全教育培训计划，明确了所有从业人员每年安全再教育培训时间不少于16学时，新入职员工经三级安全教育后才能上岗作业的规定。天津志伟盛强铝业有限公司对该公司全体30名员工2022年全年的安全生产教育培训情况整理形成了《安全教育培训档案》，通过对全体员工建立一人一档的举措有效规范了安全生产教育培训的流程，提高了安全生产教育培训的效果并实现了对培训效果的跟踪和评估工作，使该公司的安全管理水平得到了提升。</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hAnsi="仿宋"/>
          <w:lang w:val="en-US" w:eastAsia="zh-CN"/>
        </w:rPr>
      </w:pPr>
      <w:r>
        <w:rPr>
          <w:rFonts w:hint="eastAsia" w:hAnsi="仿宋"/>
          <w:lang w:val="en-US" w:eastAsia="zh-CN"/>
        </w:rPr>
        <w:t>事故发生后，为落实操作人员及生产现场主管岗位职责，天津志伟盛强铝业有限公司针对事故点位制定了《</w:t>
      </w:r>
      <w:r>
        <w:rPr>
          <w:rFonts w:hint="default" w:hAnsi="仿宋"/>
          <w:lang w:val="en-US" w:eastAsia="zh-CN"/>
        </w:rPr>
        <w:t>棒炉上料台架安全操作规程</w:t>
      </w:r>
      <w:r>
        <w:rPr>
          <w:rFonts w:hint="eastAsia" w:hAnsi="仿宋"/>
          <w:lang w:val="en-US" w:eastAsia="zh-CN"/>
        </w:rPr>
        <w:t>》，规范了操</w:t>
      </w:r>
      <w:r>
        <w:rPr>
          <w:rFonts w:hint="eastAsia" w:hAnsi="仿宋" w:cs="Times New Roman"/>
          <w:lang w:val="en-US" w:eastAsia="zh-CN"/>
        </w:rPr>
        <w:t>作人员的正确作业方法</w:t>
      </w:r>
      <w:r>
        <w:rPr>
          <w:rFonts w:hint="eastAsia" w:hAnsi="仿宋"/>
          <w:lang w:val="en-US" w:eastAsia="zh-CN"/>
        </w:rPr>
        <w:t>，</w:t>
      </w:r>
      <w:r>
        <w:rPr>
          <w:rFonts w:hint="eastAsia" w:hAnsi="仿宋" w:cs="Times New Roman"/>
          <w:lang w:val="en-US" w:eastAsia="zh-CN"/>
        </w:rPr>
        <w:t>如所有作业人员必须戴好安全帽；必须使用天车对铝棒进行位置转移；将吊带挂在天车的主挂钩上后，挂钩人员立刻远离吊装区域，吊运人员接到可</w:t>
      </w:r>
      <w:r>
        <w:rPr>
          <w:rFonts w:hint="eastAsia" w:hAnsi="仿宋"/>
          <w:lang w:val="en-US" w:eastAsia="zh-CN"/>
        </w:rPr>
        <w:t>以吊运指令后，站在天车起重臂外，使用操作遥控器缓缓提升等。</w:t>
      </w:r>
    </w:p>
    <w:p>
      <w:pPr>
        <w:widowControl w:val="0"/>
        <w:spacing w:after="0" w:line="560" w:lineRule="exact"/>
        <w:ind w:firstLine="640" w:firstLineChars="200"/>
        <w:jc w:val="both"/>
        <w:rPr>
          <w:rFonts w:hint="default" w:hAnsi="仿宋" w:cs="Times New Roman"/>
          <w:lang w:val="en-US" w:eastAsia="zh-CN"/>
        </w:rPr>
      </w:pPr>
      <w:r>
        <w:rPr>
          <w:rFonts w:hint="eastAsia"/>
          <w:lang w:val="en-US" w:eastAsia="zh-CN"/>
        </w:rPr>
        <w:t>3.</w:t>
      </w:r>
      <w:r>
        <w:rPr>
          <w:rFonts w:hint="eastAsia" w:hAnsi="仿宋" w:cs="Times New Roman"/>
          <w:lang w:val="en-US" w:eastAsia="zh-CN"/>
        </w:rPr>
        <w:t>2022年4月7日，</w:t>
      </w:r>
      <w:r>
        <w:rPr>
          <w:rFonts w:hint="eastAsia" w:hAnsi="仿宋"/>
          <w:lang w:val="en-US" w:eastAsia="zh-CN"/>
        </w:rPr>
        <w:t>天津志伟盛强铝业有限公司</w:t>
      </w:r>
      <w:r>
        <w:rPr>
          <w:rFonts w:hint="eastAsia" w:hAnsi="仿宋" w:cs="Times New Roman"/>
          <w:lang w:val="en-US" w:eastAsia="zh-CN"/>
        </w:rPr>
        <w:t>根据新制定的《安全风险分级管控和隐患排查治理双重预防机制建设管理手册》建立了《安全风险分级管控制度》《生产安全事故隐患排查治理制度》《</w:t>
      </w:r>
      <w:r>
        <w:rPr>
          <w:rFonts w:hint="default" w:hAnsi="仿宋" w:cs="Times New Roman"/>
          <w:lang w:val="en-US" w:eastAsia="zh-CN"/>
        </w:rPr>
        <w:t>“双控”机制规范运行制度</w:t>
      </w:r>
      <w:r>
        <w:rPr>
          <w:rFonts w:hint="eastAsia" w:hAnsi="仿宋" w:cs="Times New Roman"/>
          <w:lang w:val="en-US" w:eastAsia="zh-CN"/>
        </w:rPr>
        <w:t>》，根据该公司的组织机构设置情况，确定了公司级、车间级、班组和岗位级四个管控层级，并针对不同风险等级明确了相关责任人及相对应的检查频次，监督落实各级安全管理责任。</w:t>
      </w:r>
    </w:p>
    <w:p>
      <w:pPr>
        <w:widowControl w:val="0"/>
        <w:spacing w:after="0" w:line="560" w:lineRule="exact"/>
        <w:ind w:firstLine="640" w:firstLineChars="200"/>
        <w:jc w:val="both"/>
        <w:rPr>
          <w:rFonts w:hint="eastAsia" w:ascii="仿宋_GB2312" w:hAnsi="仿宋_GB2312" w:eastAsia="仿宋_GB2312" w:cs="仿宋_GB2312"/>
          <w:sz w:val="32"/>
          <w:szCs w:val="32"/>
        </w:rPr>
      </w:pPr>
      <w:r>
        <w:rPr>
          <w:rFonts w:hint="eastAsia" w:hAnsi="仿宋" w:cs="Times New Roman"/>
          <w:lang w:val="en-US" w:eastAsia="zh-CN"/>
        </w:rPr>
        <w:t>在事故发生后，天津志伟盛强铝业有限公司聘请安全技术服务公司，协助总经理及安全管理人员完善隐患排查治理工作，按照《生产安全事故隐患排查治理制度》和《安全风险分级管控制度》要求建立了《隐患排查治理工作方案》并对照重新编制的</w:t>
      </w:r>
      <w:r>
        <w:rPr>
          <w:rFonts w:hint="eastAsia" w:ascii="仿宋_GB2312" w:hAnsi="Times New Roman" w:eastAsia="仿宋_GB2312" w:cs="仿宋_GB2312"/>
          <w:sz w:val="32"/>
          <w:szCs w:val="32"/>
          <w:lang w:val="en-US" w:eastAsia="zh-CN"/>
        </w:rPr>
        <w:t>事故隐患排查清单</w:t>
      </w:r>
      <w:r>
        <w:rPr>
          <w:rFonts w:hint="eastAsia" w:cs="仿宋_GB2312"/>
          <w:sz w:val="32"/>
          <w:szCs w:val="32"/>
          <w:lang w:val="en-US" w:eastAsia="zh-CN"/>
        </w:rPr>
        <w:t>中</w:t>
      </w:r>
      <w:r>
        <w:rPr>
          <w:rFonts w:hint="eastAsia" w:ascii="仿宋_GB2312" w:hAnsi="Times New Roman" w:eastAsia="仿宋_GB2312" w:cs="仿宋_GB2312"/>
          <w:sz w:val="32"/>
          <w:szCs w:val="32"/>
          <w:lang w:val="en-US" w:eastAsia="zh-CN"/>
        </w:rPr>
        <w:t>明确</w:t>
      </w:r>
      <w:r>
        <w:rPr>
          <w:rFonts w:hint="eastAsia" w:hAnsi="Times New Roman" w:cs="仿宋_GB2312"/>
          <w:sz w:val="32"/>
          <w:szCs w:val="32"/>
          <w:lang w:val="en-US" w:eastAsia="zh-CN"/>
        </w:rPr>
        <w:t>出的</w:t>
      </w:r>
      <w:r>
        <w:rPr>
          <w:rFonts w:hint="eastAsia" w:ascii="仿宋_GB2312" w:hAnsi="Times New Roman" w:eastAsia="仿宋_GB2312" w:cs="仿宋_GB2312"/>
          <w:sz w:val="32"/>
          <w:szCs w:val="32"/>
          <w:lang w:val="en-US" w:eastAsia="zh-CN"/>
        </w:rPr>
        <w:t>事故隐患排查事项、排查标准</w:t>
      </w:r>
      <w:r>
        <w:rPr>
          <w:rFonts w:hint="eastAsia" w:hAnsi="Times New Roman" w:cs="仿宋_GB2312"/>
          <w:sz w:val="32"/>
          <w:szCs w:val="32"/>
          <w:lang w:val="en-US" w:eastAsia="zh-CN"/>
        </w:rPr>
        <w:t>安排相应负责人</w:t>
      </w:r>
      <w:r>
        <w:rPr>
          <w:rFonts w:hint="eastAsia" w:hAnsi="仿宋" w:cs="Times New Roman"/>
          <w:lang w:val="en-US" w:eastAsia="zh-CN"/>
        </w:rPr>
        <w:t>定期对生产现场进行安全检查，对属于较大风险的岗位加强检查力度，对检查中发现的隐患问题及时</w:t>
      </w:r>
      <w:r>
        <w:rPr>
          <w:rFonts w:hint="eastAsia" w:hAnsi="仿宋"/>
          <w:lang w:val="en-US" w:eastAsia="zh-CN"/>
        </w:rPr>
        <w:t>下达《隐患整改通知书》，</w:t>
      </w:r>
      <w:r>
        <w:rPr>
          <w:rFonts w:hint="eastAsia" w:ascii="仿宋_GB2312" w:hAnsi="Times New Roman" w:eastAsia="仿宋_GB2312" w:cs="仿宋_GB2312"/>
          <w:sz w:val="32"/>
          <w:szCs w:val="32"/>
          <w:lang w:val="en-US" w:eastAsia="zh-CN"/>
        </w:rPr>
        <w:t>事故隐患</w:t>
      </w:r>
      <w:r>
        <w:rPr>
          <w:rFonts w:hint="eastAsia" w:cs="仿宋_GB2312"/>
          <w:sz w:val="32"/>
          <w:szCs w:val="32"/>
          <w:lang w:val="en-US" w:eastAsia="zh-CN"/>
        </w:rPr>
        <w:t>整改完毕后</w:t>
      </w:r>
      <w:r>
        <w:rPr>
          <w:rFonts w:hint="eastAsia" w:hAnsi="仿宋_GB2312" w:cs="仿宋_GB2312"/>
          <w:sz w:val="32"/>
          <w:szCs w:val="32"/>
          <w:lang w:val="en-US" w:eastAsia="zh-CN"/>
        </w:rPr>
        <w:t>能够做到如实记录</w:t>
      </w:r>
      <w:r>
        <w:rPr>
          <w:rFonts w:hint="eastAsia" w:hAnsi="仿宋"/>
          <w:lang w:val="en-US" w:eastAsia="zh-CN"/>
        </w:rPr>
        <w:t>隐患排查时间、</w:t>
      </w:r>
      <w:r>
        <w:rPr>
          <w:rFonts w:hint="eastAsia" w:ascii="仿宋_GB2312" w:hAnsi="Times New Roman" w:eastAsia="仿宋_GB2312" w:cs="仿宋_GB2312"/>
          <w:sz w:val="32"/>
          <w:szCs w:val="32"/>
          <w:lang w:val="en-US" w:eastAsia="zh-CN"/>
        </w:rPr>
        <w:t>隐患内容、具体位置、隐患排查人、整改措施、整改责任人、整改完成时限、资金保障、整改验收</w:t>
      </w:r>
      <w:r>
        <w:rPr>
          <w:rFonts w:hint="eastAsia" w:hAnsi="仿宋"/>
          <w:lang w:val="en-US" w:eastAsia="zh-CN"/>
        </w:rPr>
        <w:t>等内容，进一步压紧压实了各级隐患排查治理职责</w:t>
      </w:r>
      <w:r>
        <w:rPr>
          <w:rFonts w:hint="eastAsia" w:ascii="仿宋_GB2312" w:hAnsi="仿宋_GB2312" w:eastAsia="仿宋_GB2312" w:cs="仿宋_GB2312"/>
          <w:sz w:val="32"/>
          <w:szCs w:val="32"/>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hAnsi="仿宋" w:cs="Times New Roman"/>
          <w:lang w:val="en-US" w:eastAsia="zh-CN"/>
        </w:rPr>
      </w:pPr>
      <w:r>
        <w:rPr>
          <w:rFonts w:hint="eastAsia" w:hAnsi="仿宋" w:cs="Times New Roman"/>
          <w:lang w:val="en-US" w:eastAsia="zh-CN"/>
        </w:rPr>
        <w:t>天津志伟盛强铝业有限公司为建立事故隐患排查长效机制，加强后续事故隐患排查治理工作，保障员工生命财产安全，经公司安全领导小组分析距今为止隐患排查治理情况，该公司反复性问题主要为员工劳动防护用品未及时佩戴的问题。例如新员工及操作工作业时，由于作业环境相对安全，或因为夏季气温较高，忽视劳保手套、安全帽的佩戴或者中途取下继续作业的情况，经分析其根本原因在于班组安全管理不到位，针对上述问题，天津志伟盛强铝业有限公司要求作业班长在每日开工前，必须先进行劳动防护用品佩戴的检查，务必全员佩戴才能开工，并定时巡查劳动防护用品佩戴情况，有拒绝佩戴劳动防护用品的员工可向安全管理员上报提出处罚，若未及时纠正或上报，安全管理员巡查过程中发现员工未佩戴劳保用品的情况，由安全管理员直接提出处罚，并连带其班组主管一并惩处。</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hAnsi="仿宋"/>
          <w:lang w:val="en-US" w:eastAsia="zh-CN"/>
        </w:rPr>
        <w:t>天津志伟盛强铝业有限公司在2022年安全生产检查过程中，全年共发现26人次违章作业行为，由安全管理人员根据违章作业隐患程度严重性，向违章作业人员提出50-300元不等的处罚，全年共处罚金2600元。</w:t>
      </w:r>
    </w:p>
    <w:p>
      <w:pPr>
        <w:widowControl w:val="0"/>
        <w:spacing w:after="0" w:line="560" w:lineRule="exact"/>
        <w:ind w:firstLine="640" w:firstLineChars="200"/>
        <w:jc w:val="both"/>
        <w:rPr>
          <w:rFonts w:hint="default" w:ascii="仿宋_GB2312" w:hAnsi="Times New Roman" w:eastAsia="仿宋_GB2312" w:cs="Times New Roman"/>
          <w:szCs w:val="32"/>
          <w:lang w:val="en-US" w:eastAsia="zh-CN"/>
        </w:rPr>
      </w:pPr>
      <w:r>
        <w:rPr>
          <w:rFonts w:hint="eastAsia" w:hAnsi="仿宋"/>
          <w:lang w:val="en-US" w:eastAsia="zh-CN"/>
        </w:rPr>
        <w:t>2022年9月，</w:t>
      </w:r>
      <w:r>
        <w:rPr>
          <w:rFonts w:hint="eastAsia" w:hAnsi="仿宋"/>
          <w:lang w:eastAsia="zh-CN"/>
        </w:rPr>
        <w:t>天津志伟盛强铝业有限公司</w:t>
      </w:r>
      <w:r>
        <w:rPr>
          <w:rFonts w:hint="eastAsia" w:hAnsi="仿宋"/>
          <w:lang w:val="en-US" w:eastAsia="zh-CN"/>
        </w:rPr>
        <w:t>分别组</w:t>
      </w:r>
      <w:r>
        <w:rPr>
          <w:rFonts w:hint="eastAsia" w:hAnsi="仿宋" w:cs="Times New Roman"/>
          <w:lang w:val="en-US" w:eastAsia="zh-CN"/>
        </w:rPr>
        <w:t>织全体员工对《生产安全事故隐患排查治理制度》和《安全风险分级管控制度》进行</w:t>
      </w:r>
      <w:r>
        <w:rPr>
          <w:rFonts w:hint="eastAsia" w:hAnsi="仿宋"/>
          <w:lang w:val="en-US" w:eastAsia="zh-CN"/>
        </w:rPr>
        <w:t>了学习，并在事故发生后至今</w:t>
      </w:r>
      <w:r>
        <w:rPr>
          <w:rFonts w:hint="eastAsia" w:ascii="仿宋_GB2312" w:hAnsi="仿宋_GB2312" w:eastAsia="仿宋_GB2312" w:cs="仿宋_GB2312"/>
          <w:sz w:val="32"/>
          <w:szCs w:val="32"/>
        </w:rPr>
        <w:t>组织召开</w:t>
      </w:r>
      <w:r>
        <w:rPr>
          <w:rFonts w:hint="eastAsia" w:hAnsi="仿宋_GB2312" w:cs="仿宋_GB2312"/>
          <w:sz w:val="32"/>
          <w:szCs w:val="32"/>
          <w:lang w:val="en-US" w:eastAsia="zh-CN"/>
        </w:rPr>
        <w:t>了6次（2022年</w:t>
      </w:r>
      <w:r>
        <w:rPr>
          <w:rFonts w:hint="eastAsia" w:hAnsi="仿宋"/>
          <w:lang w:val="en-US" w:eastAsia="zh-CN"/>
        </w:rPr>
        <w:t>4月18日、</w:t>
      </w:r>
      <w:r>
        <w:rPr>
          <w:rFonts w:hint="eastAsia" w:hAnsi="仿宋_GB2312" w:cs="仿宋_GB2312"/>
          <w:sz w:val="32"/>
          <w:szCs w:val="32"/>
          <w:lang w:val="en-US" w:eastAsia="zh-CN"/>
        </w:rPr>
        <w:t>2022年</w:t>
      </w:r>
      <w:r>
        <w:rPr>
          <w:rFonts w:hint="eastAsia" w:hAnsi="仿宋"/>
          <w:lang w:val="en-US" w:eastAsia="zh-CN"/>
        </w:rPr>
        <w:t>5月5日、2022年6月20日、2022年9月20日、2022年12月10日、2023年1月7日</w:t>
      </w:r>
      <w:r>
        <w:rPr>
          <w:rFonts w:hint="eastAsia" w:hAnsi="仿宋_GB2312" w:cs="仿宋_GB2312"/>
          <w:sz w:val="32"/>
          <w:szCs w:val="32"/>
          <w:lang w:val="en-US" w:eastAsia="zh-CN"/>
        </w:rPr>
        <w:t>）安全生产领导小组</w:t>
      </w:r>
      <w:r>
        <w:rPr>
          <w:rFonts w:hint="eastAsia" w:ascii="仿宋_GB2312" w:hAnsi="仿宋_GB2312" w:eastAsia="仿宋_GB2312" w:cs="仿宋_GB2312"/>
          <w:sz w:val="32"/>
          <w:szCs w:val="32"/>
        </w:rPr>
        <w:t>会议</w:t>
      </w:r>
      <w:r>
        <w:rPr>
          <w:rFonts w:hint="eastAsia" w:hAnsi="仿宋_GB2312" w:cs="仿宋_GB2312"/>
          <w:sz w:val="32"/>
          <w:szCs w:val="32"/>
          <w:lang w:eastAsia="zh-CN"/>
        </w:rPr>
        <w:t>，</w:t>
      </w:r>
      <w:r>
        <w:rPr>
          <w:rFonts w:hint="eastAsia" w:hAnsi="仿宋_GB2312" w:cs="仿宋_GB2312"/>
          <w:sz w:val="32"/>
          <w:szCs w:val="32"/>
          <w:lang w:val="en-US" w:eastAsia="zh-CN"/>
        </w:rPr>
        <w:t>通过事故反思、安全工作集中部署、工作进展汇报、年度总结通报，不断加强了安全领导小组的管理职能。</w:t>
      </w:r>
    </w:p>
    <w:p>
      <w:pPr>
        <w:widowControl w:val="0"/>
        <w:spacing w:after="0" w:line="560" w:lineRule="exact"/>
        <w:ind w:firstLine="640" w:firstLineChars="200"/>
        <w:jc w:val="both"/>
        <w:rPr>
          <w:rFonts w:hint="eastAsia" w:hAnsi="仿宋"/>
          <w:lang w:val="en-US" w:eastAsia="zh-CN"/>
        </w:rPr>
      </w:pPr>
      <w:r>
        <w:rPr>
          <w:rFonts w:hint="eastAsia" w:hAnsi="仿宋"/>
          <w:lang w:val="en-US" w:eastAsia="zh-CN"/>
        </w:rPr>
        <w:t>评估结论：针对事故调查报告中提出的事故防范和整改措施，</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hint="eastAsia" w:hAnsi="仿宋"/>
          <w:lang w:val="en-US" w:eastAsia="zh-CN"/>
        </w:rPr>
        <w:t>已整改落实。</w:t>
      </w:r>
    </w:p>
    <w:p>
      <w:pPr>
        <w:spacing w:line="560" w:lineRule="exact"/>
        <w:ind w:firstLine="640" w:firstLineChars="200"/>
        <w:jc w:val="both"/>
        <w:outlineLvl w:val="0"/>
        <w:rPr>
          <w:rFonts w:ascii="楷体" w:hAnsi="楷体" w:eastAsia="楷体"/>
          <w:b w:val="0"/>
          <w:bCs/>
        </w:rPr>
      </w:pPr>
      <w:r>
        <w:rPr>
          <w:rFonts w:hint="eastAsia" w:ascii="楷体" w:hAnsi="楷体" w:eastAsia="楷体"/>
          <w:b w:val="0"/>
          <w:bCs/>
        </w:rPr>
        <w:t>（三）评估结论</w:t>
      </w:r>
    </w:p>
    <w:p>
      <w:pPr>
        <w:spacing w:line="560" w:lineRule="exact"/>
        <w:ind w:firstLine="640" w:firstLineChars="200"/>
        <w:jc w:val="both"/>
      </w:pPr>
      <w:r>
        <w:rPr>
          <w:rFonts w:hint="eastAsia"/>
        </w:rPr>
        <w:t>事故调查报告中</w:t>
      </w:r>
      <w:r>
        <w:rPr>
          <w:rFonts w:hint="eastAsia" w:ascii="仿宋_GB2312" w:hAnsi="Times New Roman" w:eastAsia="仿宋_GB2312" w:cs="Times New Roman"/>
          <w:szCs w:val="32"/>
        </w:rPr>
        <w:t>对</w:t>
      </w:r>
      <w:r>
        <w:rPr>
          <w:rFonts w:hint="eastAsia" w:ascii="仿宋_GB2312" w:hAnsi="Times New Roman" w:eastAsia="仿宋_GB2312" w:cs="Times New Roman"/>
          <w:szCs w:val="32"/>
          <w:lang w:eastAsia="zh-CN"/>
        </w:rPr>
        <w:t>天津志伟盛强铝业</w:t>
      </w:r>
      <w:r>
        <w:rPr>
          <w:rFonts w:hint="eastAsia" w:ascii="仿宋_GB2312" w:hAnsi="Times New Roman" w:eastAsia="仿宋_GB2312" w:cs="Times New Roman"/>
          <w:szCs w:val="32"/>
        </w:rPr>
        <w:t>有限公司</w:t>
      </w:r>
      <w:r>
        <w:rPr>
          <w:rFonts w:hint="eastAsia" w:hAnsi="仿宋"/>
          <w:szCs w:val="32"/>
          <w:lang w:eastAsia="zh-CN"/>
        </w:rPr>
        <w:t>及</w:t>
      </w:r>
      <w:r>
        <w:rPr>
          <w:rFonts w:hint="eastAsia" w:hAnsi="仿宋"/>
          <w:szCs w:val="32"/>
          <w:lang w:val="en-US" w:eastAsia="zh-CN"/>
        </w:rPr>
        <w:t>其</w:t>
      </w:r>
      <w:r>
        <w:rPr>
          <w:rFonts w:hint="eastAsia" w:ascii="仿宋_GB2312" w:hAnsi="Times New Roman" w:eastAsia="仿宋_GB2312" w:cs="Times New Roman"/>
          <w:szCs w:val="32"/>
        </w:rPr>
        <w:t>公司主要负责人的处理</w:t>
      </w:r>
      <w:r>
        <w:rPr>
          <w:rFonts w:hint="eastAsia" w:cs="Times New Roman"/>
          <w:szCs w:val="32"/>
          <w:lang w:eastAsia="zh-CN"/>
        </w:rPr>
        <w:t>意见及对</w:t>
      </w:r>
      <w:r>
        <w:rPr>
          <w:rFonts w:hint="eastAsia" w:hAnsi="仿宋"/>
        </w:rPr>
        <w:t>事故防范和整改</w:t>
      </w:r>
      <w:r>
        <w:rPr>
          <w:rFonts w:hAnsi="仿宋"/>
        </w:rPr>
        <w:t>措施</w:t>
      </w:r>
      <w:r>
        <w:rPr>
          <w:rFonts w:hint="eastAsia" w:hAnsi="仿宋"/>
        </w:rPr>
        <w:t>已</w:t>
      </w:r>
      <w:r>
        <w:rPr>
          <w:rFonts w:hint="eastAsia" w:hAnsi="仿宋"/>
          <w:lang w:eastAsia="zh-CN"/>
        </w:rPr>
        <w:t>得到</w:t>
      </w:r>
      <w:r>
        <w:rPr>
          <w:rFonts w:hint="eastAsia"/>
        </w:rPr>
        <w:t>落实。</w:t>
      </w:r>
    </w:p>
    <w:sectPr>
      <w:headerReference r:id="rId7" w:type="first"/>
      <w:footerReference r:id="rId10" w:type="first"/>
      <w:headerReference r:id="rId5" w:type="default"/>
      <w:footerReference r:id="rId8" w:type="default"/>
      <w:headerReference r:id="rId6" w:type="even"/>
      <w:footerReference r:id="rId9" w:type="even"/>
      <w:pgSz w:w="11906" w:h="16838"/>
      <w:pgMar w:top="2041" w:right="1559" w:bottom="1701" w:left="155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566921"/>
    </w:sdtPr>
    <w:sdtContent>
      <w:p>
        <w:pPr>
          <w:pStyle w:val="8"/>
          <w:jc w:val="center"/>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lZjIxYjVjZTkwYmM0NWIwMjdmMGNkNmM3OGU5MTcifQ=="/>
    <w:docVar w:name="KSO_WPS_MARK_KEY" w:val="4d6690ce-842e-42de-9784-4bb53753cf0b"/>
  </w:docVars>
  <w:rsids>
    <w:rsidRoot w:val="00FE44CA"/>
    <w:rsid w:val="00017AD2"/>
    <w:rsid w:val="00035858"/>
    <w:rsid w:val="000B61B5"/>
    <w:rsid w:val="000C65A7"/>
    <w:rsid w:val="000F2706"/>
    <w:rsid w:val="00120B17"/>
    <w:rsid w:val="00140A49"/>
    <w:rsid w:val="001458B5"/>
    <w:rsid w:val="00156C9C"/>
    <w:rsid w:val="00176CEA"/>
    <w:rsid w:val="001B4C6F"/>
    <w:rsid w:val="001B682C"/>
    <w:rsid w:val="001E63C2"/>
    <w:rsid w:val="001E70D5"/>
    <w:rsid w:val="001F2786"/>
    <w:rsid w:val="00212B55"/>
    <w:rsid w:val="00254965"/>
    <w:rsid w:val="00292703"/>
    <w:rsid w:val="002B10CB"/>
    <w:rsid w:val="002D39D1"/>
    <w:rsid w:val="002E648D"/>
    <w:rsid w:val="002F2725"/>
    <w:rsid w:val="002F2FAB"/>
    <w:rsid w:val="00311FFE"/>
    <w:rsid w:val="0031344D"/>
    <w:rsid w:val="00321F23"/>
    <w:rsid w:val="00336233"/>
    <w:rsid w:val="003543E7"/>
    <w:rsid w:val="0036517D"/>
    <w:rsid w:val="0037042D"/>
    <w:rsid w:val="003725C5"/>
    <w:rsid w:val="003A504B"/>
    <w:rsid w:val="003C7E46"/>
    <w:rsid w:val="003D1585"/>
    <w:rsid w:val="003E073B"/>
    <w:rsid w:val="003E7E75"/>
    <w:rsid w:val="003F33D9"/>
    <w:rsid w:val="003F65E6"/>
    <w:rsid w:val="004462BC"/>
    <w:rsid w:val="00480520"/>
    <w:rsid w:val="004B05F3"/>
    <w:rsid w:val="004D4FDA"/>
    <w:rsid w:val="004F2C99"/>
    <w:rsid w:val="004F419F"/>
    <w:rsid w:val="005005E3"/>
    <w:rsid w:val="00516F30"/>
    <w:rsid w:val="005876F1"/>
    <w:rsid w:val="005E2F77"/>
    <w:rsid w:val="00610F47"/>
    <w:rsid w:val="00677178"/>
    <w:rsid w:val="006D057E"/>
    <w:rsid w:val="006D6FCB"/>
    <w:rsid w:val="006E5FE0"/>
    <w:rsid w:val="006F6C98"/>
    <w:rsid w:val="00717ACA"/>
    <w:rsid w:val="00740F52"/>
    <w:rsid w:val="007867F9"/>
    <w:rsid w:val="0079034E"/>
    <w:rsid w:val="00797A5C"/>
    <w:rsid w:val="007A2D1E"/>
    <w:rsid w:val="007A607D"/>
    <w:rsid w:val="007B23C2"/>
    <w:rsid w:val="007D0E8C"/>
    <w:rsid w:val="007D5BA2"/>
    <w:rsid w:val="007E27D9"/>
    <w:rsid w:val="007E3E2C"/>
    <w:rsid w:val="00812165"/>
    <w:rsid w:val="008251CA"/>
    <w:rsid w:val="008259AC"/>
    <w:rsid w:val="00825BE7"/>
    <w:rsid w:val="008618F3"/>
    <w:rsid w:val="00871521"/>
    <w:rsid w:val="00882DE6"/>
    <w:rsid w:val="00892181"/>
    <w:rsid w:val="008C1914"/>
    <w:rsid w:val="008C73AF"/>
    <w:rsid w:val="008D617C"/>
    <w:rsid w:val="008E01C8"/>
    <w:rsid w:val="00915313"/>
    <w:rsid w:val="0098107E"/>
    <w:rsid w:val="009917A0"/>
    <w:rsid w:val="009F33FA"/>
    <w:rsid w:val="00A06BCC"/>
    <w:rsid w:val="00A22722"/>
    <w:rsid w:val="00A669BE"/>
    <w:rsid w:val="00A91B0D"/>
    <w:rsid w:val="00A94E8E"/>
    <w:rsid w:val="00AC5073"/>
    <w:rsid w:val="00AD0708"/>
    <w:rsid w:val="00AD477D"/>
    <w:rsid w:val="00B42C0A"/>
    <w:rsid w:val="00B45998"/>
    <w:rsid w:val="00B667CC"/>
    <w:rsid w:val="00BC2374"/>
    <w:rsid w:val="00BD57FB"/>
    <w:rsid w:val="00BF385F"/>
    <w:rsid w:val="00BF4584"/>
    <w:rsid w:val="00C2080F"/>
    <w:rsid w:val="00C3463E"/>
    <w:rsid w:val="00C53C8A"/>
    <w:rsid w:val="00C7418C"/>
    <w:rsid w:val="00C9050C"/>
    <w:rsid w:val="00C9543F"/>
    <w:rsid w:val="00CB2439"/>
    <w:rsid w:val="00CC7886"/>
    <w:rsid w:val="00CD1EF5"/>
    <w:rsid w:val="00CF36C4"/>
    <w:rsid w:val="00D51112"/>
    <w:rsid w:val="00D62FDE"/>
    <w:rsid w:val="00D6790E"/>
    <w:rsid w:val="00D70C0C"/>
    <w:rsid w:val="00DB1CDF"/>
    <w:rsid w:val="00DB5F8B"/>
    <w:rsid w:val="00DD7C7D"/>
    <w:rsid w:val="00DF2451"/>
    <w:rsid w:val="00E00B19"/>
    <w:rsid w:val="00E62432"/>
    <w:rsid w:val="00E800EC"/>
    <w:rsid w:val="00E85898"/>
    <w:rsid w:val="00EA5251"/>
    <w:rsid w:val="00EB2DA8"/>
    <w:rsid w:val="00EB339C"/>
    <w:rsid w:val="00EC0B9E"/>
    <w:rsid w:val="00EF1626"/>
    <w:rsid w:val="00F02B87"/>
    <w:rsid w:val="00F11F48"/>
    <w:rsid w:val="00F16EB7"/>
    <w:rsid w:val="00F523F9"/>
    <w:rsid w:val="00F561B9"/>
    <w:rsid w:val="00F61FA8"/>
    <w:rsid w:val="00F72F43"/>
    <w:rsid w:val="00F90025"/>
    <w:rsid w:val="00FE44CA"/>
    <w:rsid w:val="02044084"/>
    <w:rsid w:val="0287536B"/>
    <w:rsid w:val="02D7AC9B"/>
    <w:rsid w:val="06B55198"/>
    <w:rsid w:val="072B4668"/>
    <w:rsid w:val="081303C8"/>
    <w:rsid w:val="08907C6B"/>
    <w:rsid w:val="0ACC485F"/>
    <w:rsid w:val="0D004C93"/>
    <w:rsid w:val="0E372937"/>
    <w:rsid w:val="0E3F750F"/>
    <w:rsid w:val="0EF6634E"/>
    <w:rsid w:val="0F7DD50E"/>
    <w:rsid w:val="108F1E71"/>
    <w:rsid w:val="13CC5C48"/>
    <w:rsid w:val="15231522"/>
    <w:rsid w:val="15A84DC0"/>
    <w:rsid w:val="18C474BD"/>
    <w:rsid w:val="1A4A0F3F"/>
    <w:rsid w:val="1AA30A57"/>
    <w:rsid w:val="1F3D58D3"/>
    <w:rsid w:val="2079277E"/>
    <w:rsid w:val="210E35BE"/>
    <w:rsid w:val="22C2681B"/>
    <w:rsid w:val="22CA7D42"/>
    <w:rsid w:val="234B4A63"/>
    <w:rsid w:val="237C10C0"/>
    <w:rsid w:val="254E1C27"/>
    <w:rsid w:val="258C292B"/>
    <w:rsid w:val="26F15921"/>
    <w:rsid w:val="277771ED"/>
    <w:rsid w:val="283830DC"/>
    <w:rsid w:val="2B4F3221"/>
    <w:rsid w:val="2D9214E0"/>
    <w:rsid w:val="2FBC1655"/>
    <w:rsid w:val="301B57BD"/>
    <w:rsid w:val="32296CFF"/>
    <w:rsid w:val="32BC7069"/>
    <w:rsid w:val="32CB3733"/>
    <w:rsid w:val="33355F1C"/>
    <w:rsid w:val="33955886"/>
    <w:rsid w:val="35457782"/>
    <w:rsid w:val="35492FCE"/>
    <w:rsid w:val="35BF9DF3"/>
    <w:rsid w:val="36DFA1E1"/>
    <w:rsid w:val="37A72A7F"/>
    <w:rsid w:val="37CC517A"/>
    <w:rsid w:val="37D47B5E"/>
    <w:rsid w:val="39783C80"/>
    <w:rsid w:val="3CE21E78"/>
    <w:rsid w:val="3E047676"/>
    <w:rsid w:val="3E5F486D"/>
    <w:rsid w:val="3E995855"/>
    <w:rsid w:val="3F9BA76F"/>
    <w:rsid w:val="3FF1B0B6"/>
    <w:rsid w:val="3FFC4D21"/>
    <w:rsid w:val="40C21036"/>
    <w:rsid w:val="419378A9"/>
    <w:rsid w:val="42552B58"/>
    <w:rsid w:val="43364990"/>
    <w:rsid w:val="44F6117F"/>
    <w:rsid w:val="45330427"/>
    <w:rsid w:val="47971775"/>
    <w:rsid w:val="4A282771"/>
    <w:rsid w:val="4B280462"/>
    <w:rsid w:val="4DD51249"/>
    <w:rsid w:val="51ACA49C"/>
    <w:rsid w:val="53401FAF"/>
    <w:rsid w:val="53EA75C5"/>
    <w:rsid w:val="54925926"/>
    <w:rsid w:val="552B02EF"/>
    <w:rsid w:val="554910BB"/>
    <w:rsid w:val="57DFCEFF"/>
    <w:rsid w:val="59C56616"/>
    <w:rsid w:val="59FE04A9"/>
    <w:rsid w:val="5A53777D"/>
    <w:rsid w:val="5AB1C548"/>
    <w:rsid w:val="5CBA3AE4"/>
    <w:rsid w:val="5DFF6DE9"/>
    <w:rsid w:val="5DFF9917"/>
    <w:rsid w:val="5F1BC5F2"/>
    <w:rsid w:val="5F7C754B"/>
    <w:rsid w:val="5F7E19D6"/>
    <w:rsid w:val="60D95790"/>
    <w:rsid w:val="61277654"/>
    <w:rsid w:val="61926DDD"/>
    <w:rsid w:val="62F164A7"/>
    <w:rsid w:val="63DF02D4"/>
    <w:rsid w:val="65EE377D"/>
    <w:rsid w:val="68833A8F"/>
    <w:rsid w:val="68A37B22"/>
    <w:rsid w:val="6A802C05"/>
    <w:rsid w:val="6AC63F9C"/>
    <w:rsid w:val="6AF65C49"/>
    <w:rsid w:val="6B7C3C4C"/>
    <w:rsid w:val="6FFFB834"/>
    <w:rsid w:val="71BC1D0D"/>
    <w:rsid w:val="71E2790D"/>
    <w:rsid w:val="737F2EE4"/>
    <w:rsid w:val="73F3BC63"/>
    <w:rsid w:val="73FC7708"/>
    <w:rsid w:val="74390912"/>
    <w:rsid w:val="795EE47A"/>
    <w:rsid w:val="79D95838"/>
    <w:rsid w:val="7A416D33"/>
    <w:rsid w:val="7AFBD1F5"/>
    <w:rsid w:val="7C4ED2CF"/>
    <w:rsid w:val="7C861236"/>
    <w:rsid w:val="7CB59A12"/>
    <w:rsid w:val="7DDEE7E8"/>
    <w:rsid w:val="7E2000B4"/>
    <w:rsid w:val="7EAD18E2"/>
    <w:rsid w:val="7ED29686"/>
    <w:rsid w:val="7F2E2003"/>
    <w:rsid w:val="7FBD2FCD"/>
    <w:rsid w:val="7FD650CB"/>
    <w:rsid w:val="7FE30DC9"/>
    <w:rsid w:val="7FE7AA2B"/>
    <w:rsid w:val="7FF72ECD"/>
    <w:rsid w:val="8DFFBC3D"/>
    <w:rsid w:val="925D24EC"/>
    <w:rsid w:val="956BF4B5"/>
    <w:rsid w:val="9D6DBEB0"/>
    <w:rsid w:val="ABD74F92"/>
    <w:rsid w:val="B79E19E3"/>
    <w:rsid w:val="BCFC34E2"/>
    <w:rsid w:val="BEFF8D3F"/>
    <w:rsid w:val="BFDE7FDC"/>
    <w:rsid w:val="DDFF1AB2"/>
    <w:rsid w:val="DFBFC31E"/>
    <w:rsid w:val="DFF777B1"/>
    <w:rsid w:val="ED2FC227"/>
    <w:rsid w:val="ED7ECA61"/>
    <w:rsid w:val="F2EFC7BA"/>
    <w:rsid w:val="F3F763E2"/>
    <w:rsid w:val="F42B52B6"/>
    <w:rsid w:val="F7F9BBE1"/>
    <w:rsid w:val="F9FD202B"/>
    <w:rsid w:val="FACF466D"/>
    <w:rsid w:val="FCFFB603"/>
    <w:rsid w:val="FD774BC1"/>
    <w:rsid w:val="FDBD2A8B"/>
    <w:rsid w:val="FDD77B6A"/>
    <w:rsid w:val="FE317A1A"/>
    <w:rsid w:val="FEFDDA56"/>
    <w:rsid w:val="FF3103A6"/>
    <w:rsid w:val="FFE13370"/>
    <w:rsid w:val="FFF9B2EB"/>
    <w:rsid w:val="FFFF3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Times New Roman" w:eastAsia="仿宋_GB2312" w:cs="Times New Roman"/>
      <w:sz w:val="32"/>
      <w:szCs w:val="32"/>
      <w:lang w:val="en-US" w:eastAsia="zh-CN" w:bidi="ar-SA"/>
    </w:rPr>
  </w:style>
  <w:style w:type="paragraph" w:styleId="2">
    <w:name w:val="heading 1"/>
    <w:basedOn w:val="1"/>
    <w:next w:val="1"/>
    <w:qFormat/>
    <w:uiPriority w:val="0"/>
    <w:pPr>
      <w:keepNext/>
      <w:keepLines/>
      <w:spacing w:before="40" w:after="40" w:line="360" w:lineRule="auto"/>
      <w:outlineLvl w:val="0"/>
    </w:pPr>
    <w:rPr>
      <w:rFonts w:ascii="Times New Roman" w:hAnsi="Times New Roman"/>
      <w:b/>
      <w:bCs/>
      <w:kern w:val="44"/>
      <w:sz w:val="30"/>
      <w:szCs w:val="44"/>
    </w:rPr>
  </w:style>
  <w:style w:type="paragraph" w:styleId="3">
    <w:name w:val="heading 4"/>
    <w:basedOn w:val="1"/>
    <w:next w:val="1"/>
    <w:unhideWhenUsed/>
    <w:qFormat/>
    <w:uiPriority w:val="0"/>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Indent"/>
    <w:basedOn w:val="1"/>
    <w:semiHidden/>
    <w:unhideWhenUsed/>
    <w:qFormat/>
    <w:uiPriority w:val="99"/>
    <w:pPr>
      <w:spacing w:after="120"/>
      <w:ind w:left="420" w:leftChars="200"/>
    </w:pPr>
  </w:style>
  <w:style w:type="paragraph" w:styleId="6">
    <w:name w:val="Date"/>
    <w:basedOn w:val="1"/>
    <w:next w:val="1"/>
    <w:link w:val="17"/>
    <w:semiHidden/>
    <w:unhideWhenUsed/>
    <w:qFormat/>
    <w:uiPriority w:val="99"/>
    <w:pPr>
      <w:ind w:left="100" w:leftChars="2500"/>
    </w:pPr>
  </w:style>
  <w:style w:type="paragraph" w:styleId="7">
    <w:name w:val="Balloon Text"/>
    <w:basedOn w:val="1"/>
    <w:link w:val="16"/>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5"/>
    <w:unhideWhenUsed/>
    <w:qFormat/>
    <w:uiPriority w:val="0"/>
    <w:pPr>
      <w:widowControl w:val="0"/>
      <w:ind w:firstLine="420" w:firstLineChars="200"/>
      <w:jc w:val="both"/>
    </w:pPr>
    <w:rPr>
      <w:rFonts w:ascii="Calibri" w:hAnsi="Calibri" w:eastAsia="宋体" w:cs="Calibri"/>
      <w:szCs w:val="24"/>
    </w:rPr>
  </w:style>
  <w:style w:type="character" w:styleId="13">
    <w:name w:val="footnote reference"/>
    <w:basedOn w:val="12"/>
    <w:unhideWhenUsed/>
    <w:qFormat/>
    <w:uiPriority w:val="99"/>
    <w:rPr>
      <w:vertAlign w:val="superscript"/>
    </w:rPr>
  </w:style>
  <w:style w:type="character" w:customStyle="1" w:styleId="14">
    <w:name w:val="页眉 字符"/>
    <w:basedOn w:val="12"/>
    <w:link w:val="9"/>
    <w:qFormat/>
    <w:uiPriority w:val="99"/>
    <w:rPr>
      <w:sz w:val="18"/>
      <w:szCs w:val="18"/>
    </w:rPr>
  </w:style>
  <w:style w:type="character" w:customStyle="1" w:styleId="15">
    <w:name w:val="页脚 字符"/>
    <w:basedOn w:val="12"/>
    <w:link w:val="8"/>
    <w:qFormat/>
    <w:uiPriority w:val="99"/>
    <w:rPr>
      <w:sz w:val="18"/>
      <w:szCs w:val="18"/>
    </w:rPr>
  </w:style>
  <w:style w:type="character" w:customStyle="1" w:styleId="16">
    <w:name w:val="批注框文本 字符"/>
    <w:basedOn w:val="12"/>
    <w:link w:val="7"/>
    <w:semiHidden/>
    <w:qFormat/>
    <w:uiPriority w:val="99"/>
    <w:rPr>
      <w:sz w:val="18"/>
      <w:szCs w:val="18"/>
    </w:rPr>
  </w:style>
  <w:style w:type="character" w:customStyle="1" w:styleId="17">
    <w:name w:val="日期 字符"/>
    <w:basedOn w:val="12"/>
    <w:link w:val="6"/>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4672</Words>
  <Characters>4820</Characters>
  <Lines>19</Lines>
  <Paragraphs>5</Paragraphs>
  <TotalTime>6</TotalTime>
  <ScaleCrop>false</ScaleCrop>
  <LinksUpToDate>false</LinksUpToDate>
  <CharactersWithSpaces>4824</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2022-03-19T22:29:00Z</dcterms:created>
  <dc:creator>Windows</dc:creator>
  <cp:lastModifiedBy>jinghaiqu</cp:lastModifiedBy>
  <cp:lastPrinted>2023-06-25T19:15:00Z</cp:lastPrinted>
  <dcterms:modified xsi:type="dcterms:W3CDTF">2023-08-31T09:47:32Z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8A6E18B34A73428AA4C050EF6B271428_13</vt:lpwstr>
  </property>
</Properties>
</file>