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方正小标宋简体" w:hAnsi="方正小标宋_GBK" w:eastAsia="方正小标宋简体" w:cs="方正小标宋_GBK"/>
          <w:w w:val="90"/>
          <w:sz w:val="44"/>
          <w:szCs w:val="44"/>
          <w:lang w:val="en-US" w:eastAsia="zh-CN"/>
        </w:rPr>
      </w:pPr>
      <w:bookmarkStart w:id="71" w:name="_GoBack"/>
      <w:bookmarkEnd w:id="71"/>
      <w:bookmarkStart w:id="0" w:name="_Toc8597"/>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r>
        <w:rPr>
          <w:rFonts w:hint="eastAsia" w:ascii="方正小标宋简体" w:hAnsi="方正小标宋_GBK" w:eastAsia="方正小标宋简体" w:cs="方正小标宋_GBK"/>
          <w:w w:val="90"/>
          <w:sz w:val="44"/>
          <w:szCs w:val="44"/>
          <w:lang w:val="en-US" w:eastAsia="zh-CN"/>
        </w:rPr>
        <w:t>静海区大邱庄镇友发第二分公司“5·27”</w:t>
      </w:r>
    </w:p>
    <w:p>
      <w:pPr>
        <w:spacing w:line="600" w:lineRule="exact"/>
        <w:ind w:firstLine="0" w:firstLineChars="0"/>
        <w:jc w:val="center"/>
        <w:rPr>
          <w:rFonts w:hint="eastAsia" w:ascii="方正小标宋简体" w:hAnsi="Times New Roman" w:eastAsia="方正小标宋简体" w:cs="Times New Roman"/>
          <w:b w:val="0"/>
          <w:bCs/>
          <w:sz w:val="44"/>
          <w:szCs w:val="44"/>
          <w:lang w:val="en-US" w:eastAsia="zh-CN"/>
        </w:rPr>
      </w:pPr>
      <w:r>
        <w:rPr>
          <w:rFonts w:hint="eastAsia" w:ascii="方正小标宋简体" w:hAnsi="方正小标宋_GBK" w:eastAsia="方正小标宋简体" w:cs="方正小标宋_GBK"/>
          <w:w w:val="90"/>
          <w:sz w:val="44"/>
          <w:szCs w:val="44"/>
          <w:lang w:val="en-US" w:eastAsia="zh-CN"/>
        </w:rPr>
        <w:t>一般机械伤害事故</w:t>
      </w:r>
      <w:r>
        <w:rPr>
          <w:rFonts w:hint="eastAsia" w:ascii="方正小标宋简体" w:hAnsi="Times New Roman" w:eastAsia="方正小标宋简体" w:cs="Times New Roman"/>
          <w:b w:val="0"/>
          <w:bCs/>
          <w:sz w:val="44"/>
          <w:szCs w:val="44"/>
          <w:lang w:val="en-US" w:eastAsia="zh-CN"/>
        </w:rPr>
        <w:t>调查报告</w:t>
      </w:r>
    </w:p>
    <w:p>
      <w:pPr>
        <w:spacing w:line="600" w:lineRule="exact"/>
        <w:ind w:firstLine="0" w:firstLineChars="0"/>
        <w:jc w:val="center"/>
        <w:rPr>
          <w:rFonts w:hint="eastAsia" w:ascii="方正小标宋简体" w:hAnsi="Times New Roman" w:eastAsia="方正小标宋简体" w:cs="Times New Roman"/>
          <w:b w:val="0"/>
          <w:bCs/>
          <w:sz w:val="44"/>
          <w:szCs w:val="44"/>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3"/>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rPr>
          <w:rFonts w:hint="eastAsia" w:ascii="方正小标宋简体" w:hAnsi="Times New Roman" w:eastAsia="方正小标宋简体" w:cs="Times New Roman"/>
          <w:b/>
          <w:bCs w:val="0"/>
          <w:sz w:val="48"/>
          <w:szCs w:val="48"/>
          <w:lang w:eastAsia="zh-CN"/>
        </w:rPr>
      </w:pPr>
    </w:p>
    <w:p>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静海区政府事故调查组</w:t>
      </w:r>
    </w:p>
    <w:p>
      <w:pPr>
        <w:jc w:val="center"/>
        <w:rPr>
          <w:rFonts w:hint="default"/>
          <w:lang w:val="en-US" w:eastAsia="zh-CN"/>
        </w:rPr>
        <w:sectPr>
          <w:headerReference r:id="rId4" w:type="default"/>
          <w:footerReference r:id="rId5" w:type="default"/>
          <w:footerReference r:id="rId6" w:type="even"/>
          <w:pgSz w:w="11906" w:h="16838"/>
          <w:pgMar w:top="2041" w:right="1559" w:bottom="1701" w:left="1559" w:header="851" w:footer="1701" w:gutter="0"/>
          <w:pgNumType w:fmt="numberInDash"/>
          <w:cols w:space="720" w:num="1"/>
          <w:docGrid w:type="lines" w:linePitch="312" w:charSpace="0"/>
        </w:sectPr>
      </w:pPr>
      <w:r>
        <w:rPr>
          <w:rFonts w:hint="eastAsia" w:ascii="仿宋_GB2312" w:hAnsi="仿宋_GB2312" w:eastAsia="仿宋_GB2312" w:cs="仿宋_GB2312"/>
          <w:b/>
          <w:bCs w:val="0"/>
          <w:sz w:val="32"/>
          <w:szCs w:val="32"/>
          <w:lang w:val="en-US" w:eastAsia="zh-CN"/>
        </w:rPr>
        <w:t>2023年7月</w:t>
      </w:r>
    </w:p>
    <w:p>
      <w:pPr>
        <w:keepNext w:val="0"/>
        <w:keepLines w:val="0"/>
        <w:pageBreakBefore w:val="0"/>
        <w:widowControl w:val="0"/>
        <w:tabs>
          <w:tab w:val="left" w:pos="952"/>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宋体" w:hAnsi="宋体" w:eastAsia="宋体" w:cs="宋体"/>
          <w:b/>
          <w:bCs/>
          <w:sz w:val="32"/>
          <w:szCs w:val="32"/>
        </w:rPr>
        <w:sectPr>
          <w:headerReference r:id="rId7" w:type="default"/>
          <w:footerReference r:id="rId8" w:type="default"/>
          <w:pgSz w:w="11906" w:h="16838"/>
          <w:pgMar w:top="2041" w:right="1559" w:bottom="1701" w:left="1559" w:header="851" w:footer="1701" w:gutter="0"/>
          <w:pgNumType w:fmt="numberInDash" w:start="1"/>
          <w:cols w:space="720" w:num="1"/>
          <w:docGrid w:type="lines" w:linePitch="312" w:charSpace="0"/>
        </w:sectPr>
      </w:pPr>
    </w:p>
    <w:p>
      <w:pPr>
        <w:keepNext w:val="0"/>
        <w:keepLines w:val="0"/>
        <w:pageBreakBefore w:val="0"/>
        <w:widowControl w:val="0"/>
        <w:tabs>
          <w:tab w:val="left" w:pos="952"/>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Calibri" w:hAnsi="Calibri" w:eastAsia="微软雅黑" w:cs="Times New Roman"/>
          <w:kern w:val="2"/>
          <w:sz w:val="21"/>
          <w:szCs w:val="32"/>
          <w:lang w:val="en-US" w:eastAsia="zh-CN" w:bidi="ar-SA"/>
        </w:rPr>
      </w:pPr>
      <w:r>
        <w:rPr>
          <w:rFonts w:hint="eastAsia" w:ascii="宋体" w:hAnsi="宋体" w:eastAsia="宋体" w:cs="宋体"/>
          <w:b/>
          <w:bCs/>
          <w:sz w:val="32"/>
          <w:szCs w:val="32"/>
        </w:rPr>
        <w:t>目</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录</w:t>
      </w:r>
      <w:r>
        <w:rPr>
          <w:b/>
          <w:sz w:val="32"/>
          <w:szCs w:val="32"/>
        </w:rPr>
        <w:fldChar w:fldCharType="begin"/>
      </w:r>
      <w:r>
        <w:rPr>
          <w:b/>
          <w:sz w:val="32"/>
          <w:szCs w:val="32"/>
        </w:rPr>
        <w:instrText xml:space="preserve">TOC \o "1-2" \h \u </w:instrText>
      </w:r>
      <w:r>
        <w:rPr>
          <w:b/>
          <w:sz w:val="32"/>
          <w:szCs w:val="32"/>
        </w:rPr>
        <w:fldChar w:fldCharType="separate"/>
      </w:r>
    </w:p>
    <w:p>
      <w:pPr>
        <w:pStyle w:val="9"/>
        <w:tabs>
          <w:tab w:val="right" w:leader="dot" w:pos="8788"/>
        </w:tabs>
      </w:pPr>
      <w:r>
        <w:rPr>
          <w:szCs w:val="32"/>
        </w:rPr>
        <w:fldChar w:fldCharType="begin"/>
      </w:r>
      <w:r>
        <w:rPr>
          <w:szCs w:val="32"/>
        </w:rPr>
        <w:instrText xml:space="preserve"> HYPERLINK \l _Toc28600 </w:instrText>
      </w:r>
      <w:r>
        <w:rPr>
          <w:szCs w:val="32"/>
        </w:rPr>
        <w:fldChar w:fldCharType="separate"/>
      </w:r>
      <w:r>
        <w:rPr>
          <w:rFonts w:hint="eastAsia"/>
        </w:rPr>
        <w:t>一、事故基本情况</w:t>
      </w:r>
      <w:r>
        <w:tab/>
      </w:r>
      <w:r>
        <w:fldChar w:fldCharType="begin"/>
      </w:r>
      <w:r>
        <w:instrText xml:space="preserve"> PAGEREF _Toc28600 \h </w:instrText>
      </w:r>
      <w:r>
        <w:fldChar w:fldCharType="separate"/>
      </w:r>
      <w:r>
        <w:t>- 1 -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_Toc32631 </w:instrText>
      </w:r>
      <w:r>
        <w:rPr>
          <w:szCs w:val="32"/>
        </w:rPr>
        <w:fldChar w:fldCharType="separate"/>
      </w:r>
      <w:r>
        <w:rPr>
          <w:rFonts w:hint="eastAsia"/>
          <w:lang w:eastAsia="zh-CN"/>
        </w:rPr>
        <w:t>（</w:t>
      </w:r>
      <w:r>
        <w:rPr>
          <w:rFonts w:hint="eastAsia"/>
        </w:rPr>
        <w:t>一</w:t>
      </w:r>
      <w:r>
        <w:rPr>
          <w:rFonts w:hint="eastAsia"/>
          <w:lang w:eastAsia="zh-CN"/>
        </w:rPr>
        <w:t>）</w:t>
      </w:r>
      <w:r>
        <w:rPr>
          <w:rFonts w:hint="eastAsia"/>
        </w:rPr>
        <w:t>事故单位情况</w:t>
      </w:r>
      <w:r>
        <w:tab/>
      </w:r>
      <w:r>
        <w:fldChar w:fldCharType="begin"/>
      </w:r>
      <w:r>
        <w:instrText xml:space="preserve"> PAGEREF _Toc32631 \h </w:instrText>
      </w:r>
      <w:r>
        <w:fldChar w:fldCharType="separate"/>
      </w:r>
      <w:r>
        <w:t>- 1 -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_Toc4694 </w:instrText>
      </w:r>
      <w:r>
        <w:rPr>
          <w:szCs w:val="32"/>
        </w:rPr>
        <w:fldChar w:fldCharType="separate"/>
      </w:r>
      <w:r>
        <w:rPr>
          <w:rFonts w:hint="eastAsia"/>
          <w:lang w:val="en-US" w:eastAsia="zh-CN"/>
        </w:rPr>
        <w:t>（二）二车间相关情况</w:t>
      </w:r>
      <w:r>
        <w:tab/>
      </w:r>
      <w:r>
        <w:fldChar w:fldCharType="begin"/>
      </w:r>
      <w:r>
        <w:instrText xml:space="preserve"> PAGEREF _Toc4694 \h </w:instrText>
      </w:r>
      <w:r>
        <w:fldChar w:fldCharType="separate"/>
      </w:r>
      <w:r>
        <w:t>- 2 -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_Toc18260 </w:instrText>
      </w:r>
      <w:r>
        <w:rPr>
          <w:szCs w:val="32"/>
        </w:rPr>
        <w:fldChar w:fldCharType="separate"/>
      </w:r>
      <w:r>
        <w:rPr>
          <w:rFonts w:hint="eastAsia"/>
          <w:lang w:val="en-US" w:eastAsia="zh-CN"/>
        </w:rPr>
        <w:t>（三）带钢卷焊点情况</w:t>
      </w:r>
      <w:r>
        <w:tab/>
      </w:r>
      <w:r>
        <w:fldChar w:fldCharType="begin"/>
      </w:r>
      <w:r>
        <w:instrText xml:space="preserve"> PAGEREF _Toc18260 \h </w:instrText>
      </w:r>
      <w:r>
        <w:fldChar w:fldCharType="separate"/>
      </w:r>
      <w:r>
        <w:t>- 3 -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_Toc953 </w:instrText>
      </w:r>
      <w:r>
        <w:rPr>
          <w:szCs w:val="32"/>
        </w:rPr>
        <w:fldChar w:fldCharType="separate"/>
      </w:r>
      <w:r>
        <w:rPr>
          <w:rFonts w:hint="eastAsia"/>
          <w:lang w:val="en-US" w:eastAsia="zh-CN"/>
        </w:rPr>
        <w:t>（四）撬棍相关情况</w:t>
      </w:r>
      <w:r>
        <w:tab/>
      </w:r>
      <w:r>
        <w:fldChar w:fldCharType="begin"/>
      </w:r>
      <w:r>
        <w:instrText xml:space="preserve"> PAGEREF _Toc953 \h </w:instrText>
      </w:r>
      <w:r>
        <w:fldChar w:fldCharType="separate"/>
      </w:r>
      <w:r>
        <w:t>- 3 -</w:t>
      </w:r>
      <w:r>
        <w:fldChar w:fldCharType="end"/>
      </w:r>
      <w:r>
        <w:rPr>
          <w:szCs w:val="32"/>
        </w:rPr>
        <w:fldChar w:fldCharType="end"/>
      </w:r>
    </w:p>
    <w:p>
      <w:pPr>
        <w:pStyle w:val="9"/>
        <w:tabs>
          <w:tab w:val="right" w:leader="dot" w:pos="8788"/>
        </w:tabs>
      </w:pPr>
      <w:r>
        <w:rPr>
          <w:szCs w:val="32"/>
        </w:rPr>
        <w:fldChar w:fldCharType="begin"/>
      </w:r>
      <w:r>
        <w:rPr>
          <w:szCs w:val="32"/>
        </w:rPr>
        <w:instrText xml:space="preserve"> HYPERLINK \l _Toc4063 </w:instrText>
      </w:r>
      <w:r>
        <w:rPr>
          <w:szCs w:val="32"/>
        </w:rPr>
        <w:fldChar w:fldCharType="separate"/>
      </w:r>
      <w:r>
        <w:rPr>
          <w:rFonts w:hint="eastAsia"/>
        </w:rPr>
        <w:t>二、事故发生的经过及应急处置情况</w:t>
      </w:r>
      <w:r>
        <w:tab/>
      </w:r>
      <w:r>
        <w:fldChar w:fldCharType="begin"/>
      </w:r>
      <w:r>
        <w:instrText xml:space="preserve"> PAGEREF _Toc4063 \h </w:instrText>
      </w:r>
      <w:r>
        <w:fldChar w:fldCharType="separate"/>
      </w:r>
      <w:r>
        <w:t>- 4 -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_Toc27931 </w:instrText>
      </w:r>
      <w:r>
        <w:rPr>
          <w:szCs w:val="32"/>
        </w:rPr>
        <w:fldChar w:fldCharType="separate"/>
      </w:r>
      <w:r>
        <w:rPr>
          <w:rFonts w:hint="eastAsia"/>
        </w:rPr>
        <w:t>（一）事故经过</w:t>
      </w:r>
      <w:r>
        <w:tab/>
      </w:r>
      <w:r>
        <w:fldChar w:fldCharType="begin"/>
      </w:r>
      <w:r>
        <w:instrText xml:space="preserve"> PAGEREF _Toc27931 \h </w:instrText>
      </w:r>
      <w:r>
        <w:fldChar w:fldCharType="separate"/>
      </w:r>
      <w:r>
        <w:t>- 4 -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_Toc16202 </w:instrText>
      </w:r>
      <w:r>
        <w:rPr>
          <w:szCs w:val="32"/>
        </w:rPr>
        <w:fldChar w:fldCharType="separate"/>
      </w:r>
      <w:r>
        <w:rPr>
          <w:rFonts w:hint="eastAsia"/>
        </w:rPr>
        <w:t>（</w:t>
      </w:r>
      <w:r>
        <w:rPr>
          <w:rFonts w:hint="eastAsia"/>
          <w:lang w:eastAsia="zh-CN"/>
        </w:rPr>
        <w:t>二</w:t>
      </w:r>
      <w:r>
        <w:rPr>
          <w:rFonts w:hint="eastAsia"/>
        </w:rPr>
        <w:t>）事故</w:t>
      </w:r>
      <w:r>
        <w:rPr>
          <w:rFonts w:hint="eastAsia" w:ascii="Times New Roman" w:hAnsi="Times New Roman" w:cs="Times New Roman"/>
        </w:rPr>
        <w:t>应急</w:t>
      </w:r>
      <w:r>
        <w:t>处置情况</w:t>
      </w:r>
      <w:r>
        <w:tab/>
      </w:r>
      <w:r>
        <w:fldChar w:fldCharType="begin"/>
      </w:r>
      <w:r>
        <w:instrText xml:space="preserve"> PAGEREF _Toc16202 \h </w:instrText>
      </w:r>
      <w:r>
        <w:fldChar w:fldCharType="separate"/>
      </w:r>
      <w:r>
        <w:t>- 4 -</w:t>
      </w:r>
      <w:r>
        <w:fldChar w:fldCharType="end"/>
      </w:r>
      <w:r>
        <w:rPr>
          <w:szCs w:val="32"/>
        </w:rPr>
        <w:fldChar w:fldCharType="end"/>
      </w:r>
    </w:p>
    <w:p>
      <w:pPr>
        <w:pStyle w:val="9"/>
        <w:tabs>
          <w:tab w:val="right" w:leader="dot" w:pos="8788"/>
        </w:tabs>
      </w:pPr>
      <w:r>
        <w:rPr>
          <w:szCs w:val="32"/>
        </w:rPr>
        <w:fldChar w:fldCharType="begin"/>
      </w:r>
      <w:r>
        <w:rPr>
          <w:szCs w:val="32"/>
        </w:rPr>
        <w:instrText xml:space="preserve"> HYPERLINK \l _Toc32325 </w:instrText>
      </w:r>
      <w:r>
        <w:rPr>
          <w:szCs w:val="32"/>
        </w:rPr>
        <w:fldChar w:fldCharType="separate"/>
      </w:r>
      <w:r>
        <w:rPr>
          <w:rFonts w:hint="eastAsia" w:ascii="黑体" w:hAnsi="黑体" w:eastAsia="黑体" w:cs="黑体"/>
          <w:szCs w:val="32"/>
        </w:rPr>
        <w:t>三、事故伤亡情况及直接经济损失</w:t>
      </w:r>
      <w:r>
        <w:tab/>
      </w:r>
      <w:r>
        <w:fldChar w:fldCharType="begin"/>
      </w:r>
      <w:r>
        <w:instrText xml:space="preserve"> PAGEREF _Toc32325 \h </w:instrText>
      </w:r>
      <w:r>
        <w:fldChar w:fldCharType="separate"/>
      </w:r>
      <w:r>
        <w:t>- 5 -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_Toc1839 </w:instrText>
      </w:r>
      <w:r>
        <w:rPr>
          <w:szCs w:val="32"/>
        </w:rPr>
        <w:fldChar w:fldCharType="separate"/>
      </w:r>
      <w:r>
        <w:rPr>
          <w:rFonts w:hint="eastAsia"/>
        </w:rPr>
        <w:t>（一）死亡人员情况</w:t>
      </w:r>
      <w:r>
        <w:tab/>
      </w:r>
      <w:r>
        <w:fldChar w:fldCharType="begin"/>
      </w:r>
      <w:r>
        <w:instrText xml:space="preserve"> PAGEREF _Toc1839 \h </w:instrText>
      </w:r>
      <w:r>
        <w:fldChar w:fldCharType="separate"/>
      </w:r>
      <w:r>
        <w:t>- 5 -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_Toc10126 </w:instrText>
      </w:r>
      <w:r>
        <w:rPr>
          <w:szCs w:val="32"/>
        </w:rPr>
        <w:fldChar w:fldCharType="separate"/>
      </w:r>
      <w:r>
        <w:rPr>
          <w:rFonts w:hint="eastAsia"/>
        </w:rPr>
        <w:t>（二）事故直接经济损失</w:t>
      </w:r>
      <w:r>
        <w:tab/>
      </w:r>
      <w:r>
        <w:fldChar w:fldCharType="begin"/>
      </w:r>
      <w:r>
        <w:instrText xml:space="preserve"> PAGEREF _Toc10126 \h </w:instrText>
      </w:r>
      <w:r>
        <w:fldChar w:fldCharType="separate"/>
      </w:r>
      <w:r>
        <w:t>- 5 -</w:t>
      </w:r>
      <w:r>
        <w:fldChar w:fldCharType="end"/>
      </w:r>
      <w:r>
        <w:rPr>
          <w:szCs w:val="32"/>
        </w:rPr>
        <w:fldChar w:fldCharType="end"/>
      </w:r>
    </w:p>
    <w:p>
      <w:pPr>
        <w:pStyle w:val="9"/>
        <w:tabs>
          <w:tab w:val="right" w:leader="dot" w:pos="8788"/>
        </w:tabs>
      </w:pPr>
      <w:r>
        <w:rPr>
          <w:szCs w:val="32"/>
        </w:rPr>
        <w:fldChar w:fldCharType="begin"/>
      </w:r>
      <w:r>
        <w:rPr>
          <w:szCs w:val="32"/>
        </w:rPr>
        <w:instrText xml:space="preserve"> HYPERLINK \l _Toc12041 </w:instrText>
      </w:r>
      <w:r>
        <w:rPr>
          <w:szCs w:val="32"/>
        </w:rPr>
        <w:fldChar w:fldCharType="separate"/>
      </w:r>
      <w:r>
        <w:rPr>
          <w:rFonts w:hint="eastAsia"/>
        </w:rPr>
        <w:t>四、事故原因和</w:t>
      </w:r>
      <w:r>
        <w:t>性质</w:t>
      </w:r>
      <w:r>
        <w:tab/>
      </w:r>
      <w:r>
        <w:fldChar w:fldCharType="begin"/>
      </w:r>
      <w:r>
        <w:instrText xml:space="preserve"> PAGEREF _Toc12041 \h </w:instrText>
      </w:r>
      <w:r>
        <w:fldChar w:fldCharType="separate"/>
      </w:r>
      <w:r>
        <w:t>- 5 -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_Toc20741 </w:instrText>
      </w:r>
      <w:r>
        <w:rPr>
          <w:szCs w:val="32"/>
        </w:rPr>
        <w:fldChar w:fldCharType="separate"/>
      </w:r>
      <w:r>
        <w:rPr>
          <w:rFonts w:hint="eastAsia"/>
        </w:rPr>
        <w:t>（一）事故</w:t>
      </w:r>
      <w:r>
        <w:t>直接原因</w:t>
      </w:r>
      <w:r>
        <w:tab/>
      </w:r>
      <w:r>
        <w:fldChar w:fldCharType="begin"/>
      </w:r>
      <w:r>
        <w:instrText xml:space="preserve"> PAGEREF _Toc20741 \h </w:instrText>
      </w:r>
      <w:r>
        <w:fldChar w:fldCharType="separate"/>
      </w:r>
      <w:r>
        <w:t>- 5 -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_Toc11070 </w:instrText>
      </w:r>
      <w:r>
        <w:rPr>
          <w:szCs w:val="32"/>
        </w:rPr>
        <w:fldChar w:fldCharType="separate"/>
      </w:r>
      <w:r>
        <w:rPr>
          <w:rFonts w:hint="eastAsia"/>
        </w:rPr>
        <w:t>（二）事故</w:t>
      </w:r>
      <w:r>
        <w:t>间接原因</w:t>
      </w:r>
      <w:r>
        <w:tab/>
      </w:r>
      <w:r>
        <w:fldChar w:fldCharType="begin"/>
      </w:r>
      <w:r>
        <w:instrText xml:space="preserve"> PAGEREF _Toc11070 \h </w:instrText>
      </w:r>
      <w:r>
        <w:fldChar w:fldCharType="separate"/>
      </w:r>
      <w:r>
        <w:t>- 6 -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_Toc24506 </w:instrText>
      </w:r>
      <w:r>
        <w:rPr>
          <w:szCs w:val="32"/>
        </w:rPr>
        <w:fldChar w:fldCharType="separate"/>
      </w:r>
      <w:r>
        <w:rPr>
          <w:rFonts w:hint="eastAsia"/>
        </w:rPr>
        <w:t>（三）事故性质</w:t>
      </w:r>
      <w:r>
        <w:tab/>
      </w:r>
      <w:r>
        <w:fldChar w:fldCharType="begin"/>
      </w:r>
      <w:r>
        <w:instrText xml:space="preserve"> PAGEREF _Toc24506 \h </w:instrText>
      </w:r>
      <w:r>
        <w:fldChar w:fldCharType="separate"/>
      </w:r>
      <w:r>
        <w:t>- 7 -</w:t>
      </w:r>
      <w:r>
        <w:fldChar w:fldCharType="end"/>
      </w:r>
      <w:r>
        <w:rPr>
          <w:szCs w:val="32"/>
        </w:rPr>
        <w:fldChar w:fldCharType="end"/>
      </w:r>
    </w:p>
    <w:p>
      <w:pPr>
        <w:pStyle w:val="9"/>
        <w:tabs>
          <w:tab w:val="right" w:leader="dot" w:pos="8788"/>
        </w:tabs>
      </w:pPr>
      <w:r>
        <w:rPr>
          <w:szCs w:val="32"/>
        </w:rPr>
        <w:fldChar w:fldCharType="begin"/>
      </w:r>
      <w:r>
        <w:rPr>
          <w:szCs w:val="32"/>
        </w:rPr>
        <w:instrText xml:space="preserve"> HYPERLINK \l _Toc11708 </w:instrText>
      </w:r>
      <w:r>
        <w:rPr>
          <w:szCs w:val="32"/>
        </w:rPr>
        <w:fldChar w:fldCharType="separate"/>
      </w:r>
      <w:r>
        <w:rPr>
          <w:rFonts w:hint="eastAsia" w:ascii="黑体" w:hAnsi="黑体" w:eastAsia="黑体" w:cs="黑体"/>
          <w:szCs w:val="32"/>
        </w:rPr>
        <w:t>五、 对事故责任单位及人员的处理建议</w:t>
      </w:r>
      <w:r>
        <w:tab/>
      </w:r>
      <w:r>
        <w:fldChar w:fldCharType="begin"/>
      </w:r>
      <w:r>
        <w:instrText xml:space="preserve"> PAGEREF _Toc11708 \h </w:instrText>
      </w:r>
      <w:r>
        <w:fldChar w:fldCharType="separate"/>
      </w:r>
      <w:r>
        <w:t>- 7 -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_Toc8836 </w:instrText>
      </w:r>
      <w:r>
        <w:rPr>
          <w:szCs w:val="32"/>
        </w:rPr>
        <w:fldChar w:fldCharType="separate"/>
      </w:r>
      <w:r>
        <w:rPr>
          <w:rFonts w:hint="eastAsia" w:ascii="楷体" w:hAnsi="楷体" w:eastAsia="楷体" w:cs="楷体"/>
          <w:szCs w:val="32"/>
          <w:lang w:eastAsia="zh-CN"/>
        </w:rPr>
        <w:t>（一）公安机关已采取的措施</w:t>
      </w:r>
      <w:r>
        <w:tab/>
      </w:r>
      <w:r>
        <w:fldChar w:fldCharType="begin"/>
      </w:r>
      <w:r>
        <w:instrText xml:space="preserve"> PAGEREF _Toc8836 \h </w:instrText>
      </w:r>
      <w:r>
        <w:fldChar w:fldCharType="separate"/>
      </w:r>
      <w:r>
        <w:t>- 7 -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_Toc1077 </w:instrText>
      </w:r>
      <w:r>
        <w:rPr>
          <w:szCs w:val="32"/>
        </w:rPr>
        <w:fldChar w:fldCharType="separate"/>
      </w:r>
      <w:r>
        <w:rPr>
          <w:rFonts w:hint="eastAsia"/>
        </w:rPr>
        <w:t>（</w:t>
      </w:r>
      <w:r>
        <w:rPr>
          <w:rFonts w:hint="eastAsia"/>
          <w:lang w:eastAsia="zh-CN"/>
        </w:rPr>
        <w:t>二</w:t>
      </w:r>
      <w:r>
        <w:t>）</w:t>
      </w:r>
      <w:r>
        <w:rPr>
          <w:rFonts w:hint="eastAsia"/>
        </w:rPr>
        <w:t>建议给予行政处罚的单位</w:t>
      </w:r>
      <w:r>
        <w:tab/>
      </w:r>
      <w:r>
        <w:fldChar w:fldCharType="begin"/>
      </w:r>
      <w:r>
        <w:instrText xml:space="preserve"> PAGEREF _Toc1077 \h </w:instrText>
      </w:r>
      <w:r>
        <w:fldChar w:fldCharType="separate"/>
      </w:r>
      <w:r>
        <w:t>- 8 -</w:t>
      </w:r>
      <w:r>
        <w:fldChar w:fldCharType="end"/>
      </w:r>
      <w:r>
        <w:rPr>
          <w:szCs w:val="32"/>
        </w:rPr>
        <w:fldChar w:fldCharType="end"/>
      </w:r>
    </w:p>
    <w:p>
      <w:pPr>
        <w:pStyle w:val="11"/>
        <w:tabs>
          <w:tab w:val="right" w:leader="dot" w:pos="8788"/>
        </w:tabs>
      </w:pPr>
      <w:r>
        <w:rPr>
          <w:szCs w:val="32"/>
        </w:rPr>
        <w:fldChar w:fldCharType="begin"/>
      </w:r>
      <w:r>
        <w:rPr>
          <w:szCs w:val="32"/>
        </w:rPr>
        <w:instrText xml:space="preserve"> HYPERLINK \l _Toc18867 </w:instrText>
      </w:r>
      <w:r>
        <w:rPr>
          <w:szCs w:val="32"/>
        </w:rPr>
        <w:fldChar w:fldCharType="separate"/>
      </w:r>
      <w:r>
        <w:rPr>
          <w:rFonts w:hint="eastAsia"/>
        </w:rPr>
        <w:t>（</w:t>
      </w:r>
      <w:r>
        <w:rPr>
          <w:rFonts w:hint="eastAsia"/>
          <w:lang w:eastAsia="zh-CN"/>
        </w:rPr>
        <w:t>三</w:t>
      </w:r>
      <w:r>
        <w:t>）</w:t>
      </w:r>
      <w:r>
        <w:rPr>
          <w:rFonts w:hint="eastAsia"/>
        </w:rPr>
        <w:t>建议给予行政处罚的责任人</w:t>
      </w:r>
      <w:r>
        <w:tab/>
      </w:r>
      <w:r>
        <w:fldChar w:fldCharType="begin"/>
      </w:r>
      <w:r>
        <w:instrText xml:space="preserve"> PAGEREF _Toc18867 \h </w:instrText>
      </w:r>
      <w:r>
        <w:fldChar w:fldCharType="separate"/>
      </w:r>
      <w:r>
        <w:t>- 8 -</w:t>
      </w:r>
      <w:r>
        <w:fldChar w:fldCharType="end"/>
      </w:r>
      <w:r>
        <w:rPr>
          <w:szCs w:val="32"/>
        </w:rPr>
        <w:fldChar w:fldCharType="end"/>
      </w:r>
    </w:p>
    <w:p>
      <w:pPr>
        <w:pStyle w:val="9"/>
        <w:tabs>
          <w:tab w:val="right" w:leader="dot" w:pos="8788"/>
        </w:tabs>
      </w:pPr>
      <w:r>
        <w:rPr>
          <w:szCs w:val="32"/>
        </w:rPr>
        <w:fldChar w:fldCharType="begin"/>
      </w:r>
      <w:r>
        <w:rPr>
          <w:szCs w:val="32"/>
        </w:rPr>
        <w:instrText xml:space="preserve"> HYPERLINK \l _Toc31100 </w:instrText>
      </w:r>
      <w:r>
        <w:rPr>
          <w:szCs w:val="32"/>
        </w:rPr>
        <w:fldChar w:fldCharType="separate"/>
      </w:r>
      <w:r>
        <w:rPr>
          <w:rFonts w:hint="eastAsia"/>
          <w:lang w:eastAsia="zh-CN"/>
        </w:rPr>
        <w:t>六、</w:t>
      </w:r>
      <w:r>
        <w:t>事故防范和整改措施</w:t>
      </w:r>
      <w:r>
        <w:rPr>
          <w:rFonts w:hint="eastAsia"/>
        </w:rPr>
        <w:t>建议</w:t>
      </w:r>
      <w:r>
        <w:tab/>
      </w:r>
      <w:r>
        <w:fldChar w:fldCharType="begin"/>
      </w:r>
      <w:r>
        <w:instrText xml:space="preserve"> PAGEREF _Toc31100 \h </w:instrText>
      </w:r>
      <w:r>
        <w:fldChar w:fldCharType="separate"/>
      </w:r>
      <w:r>
        <w:t>- 8 -</w:t>
      </w:r>
      <w:r>
        <w:fldChar w:fldCharType="end"/>
      </w:r>
      <w:r>
        <w:rPr>
          <w:szCs w:val="32"/>
        </w:rPr>
        <w:fldChar w:fldCharType="end"/>
      </w:r>
    </w:p>
    <w:p>
      <w:pPr>
        <w:tabs>
          <w:tab w:val="left" w:pos="2242"/>
          <w:tab w:val="center" w:pos="4454"/>
        </w:tabs>
        <w:bidi w:val="0"/>
        <w:spacing w:before="0" w:beforeLines="0" w:after="0" w:afterLines="0" w:line="240" w:lineRule="auto"/>
        <w:ind w:left="0" w:leftChars="0" w:right="0" w:rightChars="0" w:firstLine="1680" w:firstLineChars="800"/>
        <w:jc w:val="left"/>
        <w:rPr>
          <w:rFonts w:hint="eastAsia"/>
          <w:lang w:eastAsia="zh-CN"/>
        </w:rPr>
        <w:sectPr>
          <w:pgSz w:w="11906" w:h="16838"/>
          <w:pgMar w:top="2041" w:right="1559" w:bottom="1701" w:left="1559" w:header="851" w:footer="1701" w:gutter="0"/>
          <w:pgNumType w:fmt="numberInDash" w:start="1"/>
          <w:cols w:space="720" w:num="1"/>
          <w:docGrid w:type="lines" w:linePitch="312" w:charSpace="0"/>
        </w:sectPr>
      </w:pPr>
      <w:r>
        <w:rPr>
          <w:szCs w:val="32"/>
        </w:rPr>
        <w:fldChar w:fldCharType="end"/>
      </w:r>
    </w:p>
    <w:p>
      <w:pPr>
        <w:pStyle w:val="2"/>
        <w:ind w:left="0" w:leftChars="0" w:firstLine="0" w:firstLineChars="0"/>
        <w:rPr>
          <w:rFonts w:hint="eastAsia"/>
          <w:lang w:eastAsia="zh-CN"/>
        </w:rPr>
        <w:sectPr>
          <w:pgSz w:w="11906" w:h="16838"/>
          <w:pgMar w:top="2041" w:right="1559" w:bottom="1701" w:left="1559" w:header="851" w:footer="1701" w:gutter="0"/>
          <w:pgNumType w:fmt="numberInDash"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bookmarkStart w:id="1" w:name="_Toc23575"/>
      <w:bookmarkStart w:id="2" w:name="_Toc5786"/>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bookmarkStart w:id="3" w:name="_Toc389"/>
      <w:bookmarkStart w:id="4" w:name="_Toc680"/>
      <w:bookmarkStart w:id="5" w:name="_Toc19461"/>
      <w:bookmarkStart w:id="6" w:name="_Toc17788"/>
      <w:bookmarkStart w:id="7" w:name="_Toc12942"/>
      <w:r>
        <w:rPr>
          <w:rFonts w:hint="eastAsia" w:ascii="方正小标宋简体" w:hAnsi="方正小标宋_GBK" w:eastAsia="方正小标宋简体" w:cs="方正小标宋_GBK"/>
          <w:w w:val="90"/>
          <w:sz w:val="44"/>
          <w:szCs w:val="44"/>
          <w:lang w:val="en-US" w:eastAsia="zh-CN"/>
        </w:rPr>
        <w:t>静海区大邱庄镇友发第二分公司“5·27”</w:t>
      </w:r>
      <w:bookmarkEnd w:id="0"/>
      <w:bookmarkEnd w:id="1"/>
      <w:bookmarkEnd w:id="2"/>
      <w:bookmarkEnd w:id="3"/>
      <w:bookmarkEnd w:id="4"/>
      <w:bookmarkEnd w:id="5"/>
      <w:bookmarkEnd w:id="6"/>
      <w:bookmarkEnd w:id="7"/>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r>
        <w:rPr>
          <w:rFonts w:hint="eastAsia" w:ascii="方正小标宋简体" w:hAnsi="方正小标宋_GBK" w:eastAsia="方正小标宋简体" w:cs="方正小标宋_GBK"/>
          <w:w w:val="90"/>
          <w:sz w:val="44"/>
          <w:szCs w:val="44"/>
          <w:lang w:val="en-US" w:eastAsia="zh-CN"/>
        </w:rPr>
        <w:t>一般</w:t>
      </w:r>
      <w:bookmarkStart w:id="8" w:name="_Toc16402"/>
      <w:bookmarkStart w:id="9" w:name="_Toc12292"/>
      <w:bookmarkStart w:id="10" w:name="_Toc1279"/>
      <w:bookmarkStart w:id="11" w:name="_Toc12530"/>
      <w:bookmarkStart w:id="12" w:name="_Toc8980"/>
      <w:bookmarkStart w:id="13" w:name="_Toc16324"/>
      <w:bookmarkStart w:id="14" w:name="_Toc4182"/>
      <w:bookmarkStart w:id="15" w:name="_Toc8040"/>
      <w:r>
        <w:rPr>
          <w:rFonts w:hint="eastAsia" w:ascii="方正小标宋简体" w:hAnsi="方正小标宋_GBK" w:eastAsia="方正小标宋简体" w:cs="方正小标宋_GBK"/>
          <w:w w:val="90"/>
          <w:sz w:val="44"/>
          <w:szCs w:val="44"/>
          <w:lang w:val="en-US" w:eastAsia="zh-CN"/>
        </w:rPr>
        <w:t>机械伤害事故调查报告</w:t>
      </w:r>
      <w:bookmarkEnd w:id="8"/>
      <w:bookmarkEnd w:id="9"/>
      <w:bookmarkEnd w:id="10"/>
      <w:bookmarkEnd w:id="11"/>
      <w:bookmarkEnd w:id="12"/>
      <w:bookmarkEnd w:id="13"/>
      <w:bookmarkEnd w:id="14"/>
      <w:bookmarkEnd w:id="1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sz w:val="32"/>
          <w:szCs w:val="32"/>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ascii="仿宋_GB2312" w:hAnsi="仿宋_GB2312" w:eastAsia="仿宋_GB2312" w:cs="仿宋_GB2312"/>
          <w:sz w:val="32"/>
          <w:szCs w:val="32"/>
          <w:lang w:val="en-US" w:eastAsia="zh-CN"/>
        </w:rPr>
        <w:t>2023年5月27日10时3分，位于静海区大邱庄镇的天津友发钢管集团股份有限公司第二分公司二车间内发生一起机械伤害事故，造成1人死亡，直接经济损失约116.3万元</w:t>
      </w:r>
      <w:r>
        <w:rPr>
          <w:rFonts w:hint="eastAsia" w:eastAsia="仿宋_GB2312"/>
          <w:sz w:val="32"/>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依</w:t>
      </w:r>
      <w:r>
        <w:rPr>
          <w:rFonts w:hint="eastAsia" w:ascii="Times New Roman" w:hAnsi="Times New Roman" w:eastAsia="仿宋_GB2312" w:cs="Times New Roman"/>
          <w:sz w:val="32"/>
          <w:szCs w:val="32"/>
        </w:rPr>
        <w:t>据《中华人民共和国安全生产法》《</w:t>
      </w:r>
      <w:r>
        <w:rPr>
          <w:rFonts w:hint="eastAsia" w:ascii="Times New Roman" w:hAnsi="Times New Roman" w:eastAsia="仿宋_GB2312" w:cs="Times New Roman"/>
          <w:sz w:val="32"/>
          <w:szCs w:val="32"/>
          <w:lang w:eastAsia="zh-CN"/>
        </w:rPr>
        <w:t>生产安全事故报告和调查处理条例</w:t>
      </w:r>
      <w:r>
        <w:rPr>
          <w:rFonts w:hint="eastAsia" w:ascii="Times New Roman" w:hAnsi="Times New Roman" w:eastAsia="仿宋_GB2312" w:cs="Times New Roman"/>
          <w:sz w:val="32"/>
          <w:szCs w:val="32"/>
        </w:rPr>
        <w:t>》等有关法律法规规定，我区成立了</w:t>
      </w:r>
      <w:r>
        <w:rPr>
          <w:rFonts w:hint="eastAsia" w:ascii="仿宋_GB2312" w:hAnsi="仿宋_GB2312" w:eastAsia="仿宋_GB2312" w:cs="仿宋_GB2312"/>
          <w:sz w:val="32"/>
          <w:szCs w:val="32"/>
          <w:lang w:eastAsia="zh-CN"/>
        </w:rPr>
        <w:t>天津友发钢管集团股份有限公司第二分公司</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US" w:eastAsia="zh-CN"/>
        </w:rPr>
        <w:t>27</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 w:eastAsia="zh-CN"/>
        </w:rPr>
        <w:t>一般</w:t>
      </w:r>
      <w:r>
        <w:rPr>
          <w:rFonts w:hint="eastAsia" w:ascii="仿宋_GB2312" w:hAnsi="仿宋_GB2312" w:eastAsia="仿宋_GB2312" w:cs="仿宋_GB2312"/>
          <w:sz w:val="32"/>
          <w:szCs w:val="32"/>
          <w:lang w:val="en-US" w:eastAsia="zh-CN"/>
        </w:rPr>
        <w:t>机械伤害</w:t>
      </w:r>
      <w:r>
        <w:rPr>
          <w:rFonts w:hint="default" w:ascii="仿宋_GB2312" w:hAnsi="仿宋_GB2312" w:eastAsia="仿宋_GB2312" w:cs="仿宋_GB2312"/>
          <w:sz w:val="32"/>
          <w:szCs w:val="32"/>
          <w:lang w:val="en"/>
        </w:rPr>
        <w:t>事故调查组</w:t>
      </w:r>
      <w:r>
        <w:rPr>
          <w:rFonts w:ascii="Times New Roman" w:hAnsi="Times New Roman" w:eastAsia="仿宋_GB2312" w:cs="Times New Roman"/>
          <w:sz w:val="32"/>
          <w:szCs w:val="32"/>
        </w:rPr>
        <w:t>（以下简称：事故调查组）。事故调查组由区应急管理局、公安静海分局</w:t>
      </w:r>
      <w:r>
        <w:rPr>
          <w:rFonts w:hint="eastAsia" w:ascii="Times New Roman" w:hAnsi="Times New Roman" w:eastAsia="仿宋_GB2312" w:cs="Times New Roman"/>
          <w:sz w:val="32"/>
          <w:szCs w:val="32"/>
          <w:lang w:eastAsia="zh-CN"/>
        </w:rPr>
        <w:t>、区工信局</w:t>
      </w:r>
      <w:r>
        <w:rPr>
          <w:rFonts w:ascii="Times New Roman" w:hAnsi="Times New Roman" w:eastAsia="仿宋_GB2312" w:cs="Times New Roman"/>
          <w:sz w:val="32"/>
          <w:szCs w:val="32"/>
        </w:rPr>
        <w:t>、区总工会和</w:t>
      </w:r>
      <w:r>
        <w:rPr>
          <w:rFonts w:hint="eastAsia" w:ascii="Times New Roman" w:hAnsi="Times New Roman" w:eastAsia="仿宋_GB2312" w:cs="Times New Roman"/>
          <w:sz w:val="32"/>
          <w:szCs w:val="32"/>
          <w:lang w:eastAsia="zh-CN"/>
        </w:rPr>
        <w:t>大邱庄镇</w:t>
      </w:r>
      <w:r>
        <w:rPr>
          <w:rFonts w:ascii="Times New Roman" w:hAnsi="Times New Roman" w:eastAsia="仿宋_GB2312" w:cs="Times New Roman"/>
          <w:sz w:val="32"/>
          <w:szCs w:val="32"/>
        </w:rPr>
        <w:t>人民政府等单位组成，邀请区纪委监委、区检察院参加，聘请有关专家参与调查。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lang w:eastAsia="zh-CN"/>
        </w:rPr>
        <w:t>事故</w:t>
      </w:r>
      <w:r>
        <w:rPr>
          <w:rFonts w:hint="eastAsia" w:ascii="仿宋_GB2312" w:hAnsi="仿宋" w:eastAsia="仿宋_GB2312"/>
          <w:sz w:val="32"/>
          <w:szCs w:val="32"/>
        </w:rPr>
        <w:t>调查组按照“四不放过”和“科学严谨、依法依规、实事求是、注重实效”的原则，</w:t>
      </w:r>
      <w:r>
        <w:rPr>
          <w:rFonts w:hint="eastAsia" w:ascii="仿宋_GB2312" w:hAnsi="Times New Roman" w:eastAsia="仿宋_GB2312" w:cs="Times New Roman"/>
          <w:sz w:val="32"/>
          <w:szCs w:val="32"/>
        </w:rPr>
        <w:t>通过现场勘查、调</w:t>
      </w:r>
      <w:r>
        <w:rPr>
          <w:rFonts w:eastAsia="仿宋_GB2312"/>
          <w:sz w:val="32"/>
          <w:szCs w:val="32"/>
        </w:rPr>
        <w:t>查取证、综合分析，</w:t>
      </w:r>
      <w:r>
        <w:rPr>
          <w:rFonts w:hint="eastAsia" w:ascii="仿宋_GB2312" w:hAnsi="仿宋" w:eastAsia="仿宋_GB2312"/>
          <w:sz w:val="32"/>
          <w:szCs w:val="32"/>
        </w:rPr>
        <w:t>查明了事故发生的</w:t>
      </w:r>
      <w:r>
        <w:rPr>
          <w:rFonts w:ascii="仿宋_GB2312" w:hAnsi="仿宋" w:eastAsia="仿宋_GB2312"/>
          <w:sz w:val="32"/>
          <w:szCs w:val="32"/>
        </w:rPr>
        <w:t>经过、原因</w:t>
      </w:r>
      <w:r>
        <w:rPr>
          <w:rFonts w:hint="eastAsia" w:ascii="仿宋_GB2312" w:hAnsi="仿宋" w:eastAsia="仿宋_GB2312"/>
          <w:sz w:val="32"/>
          <w:szCs w:val="32"/>
        </w:rPr>
        <w:t>和</w:t>
      </w:r>
      <w:r>
        <w:rPr>
          <w:rFonts w:ascii="仿宋_GB2312" w:hAnsi="仿宋" w:eastAsia="仿宋_GB2312"/>
          <w:sz w:val="32"/>
          <w:szCs w:val="32"/>
        </w:rPr>
        <w:t>直接经济损失情况</w:t>
      </w:r>
      <w:r>
        <w:rPr>
          <w:rFonts w:hint="eastAsia" w:ascii="仿宋_GB2312" w:hAnsi="仿宋" w:eastAsia="仿宋_GB2312"/>
          <w:sz w:val="32"/>
          <w:szCs w:val="32"/>
        </w:rPr>
        <w:t>，认定了事故性质和责任，提出了对</w:t>
      </w:r>
      <w:r>
        <w:rPr>
          <w:rFonts w:hint="eastAsia" w:ascii="仿宋_GB2312" w:hAnsi="仿宋" w:eastAsia="仿宋_GB2312"/>
          <w:sz w:val="32"/>
          <w:szCs w:val="32"/>
          <w:lang w:eastAsia="zh-CN"/>
        </w:rPr>
        <w:t>事故</w:t>
      </w:r>
      <w:r>
        <w:rPr>
          <w:rFonts w:hint="eastAsia" w:ascii="仿宋_GB2312" w:hAnsi="仿宋" w:eastAsia="仿宋_GB2312"/>
          <w:sz w:val="32"/>
          <w:szCs w:val="32"/>
        </w:rPr>
        <w:t>责任单位</w:t>
      </w:r>
      <w:r>
        <w:rPr>
          <w:rFonts w:hint="eastAsia" w:ascii="仿宋_GB2312" w:hAnsi="仿宋" w:eastAsia="仿宋_GB2312"/>
          <w:sz w:val="32"/>
          <w:szCs w:val="32"/>
          <w:lang w:eastAsia="zh-CN"/>
        </w:rPr>
        <w:t>、</w:t>
      </w:r>
      <w:r>
        <w:rPr>
          <w:rFonts w:hint="eastAsia" w:ascii="仿宋_GB2312" w:hAnsi="仿宋" w:eastAsia="仿宋_GB2312"/>
          <w:sz w:val="32"/>
          <w:szCs w:val="32"/>
        </w:rPr>
        <w:t>人</w:t>
      </w:r>
      <w:r>
        <w:rPr>
          <w:rFonts w:hint="eastAsia" w:ascii="仿宋_GB2312" w:hAnsi="仿宋" w:eastAsia="仿宋_GB2312"/>
          <w:sz w:val="32"/>
          <w:szCs w:val="32"/>
          <w:lang w:eastAsia="zh-CN"/>
        </w:rPr>
        <w:t>员</w:t>
      </w:r>
      <w:r>
        <w:rPr>
          <w:rFonts w:hint="eastAsia" w:ascii="仿宋_GB2312" w:hAnsi="仿宋" w:eastAsia="仿宋_GB2312"/>
          <w:sz w:val="32"/>
          <w:szCs w:val="32"/>
        </w:rPr>
        <w:t>的处理建议</w:t>
      </w:r>
      <w:r>
        <w:rPr>
          <w:rFonts w:hint="eastAsia" w:ascii="仿宋_GB2312" w:hAnsi="仿宋" w:eastAsia="仿宋_GB2312"/>
          <w:sz w:val="32"/>
          <w:szCs w:val="32"/>
          <w:lang w:eastAsia="zh-CN"/>
        </w:rPr>
        <w:t>以及事故防范和整改措施建议</w:t>
      </w:r>
      <w:r>
        <w:rPr>
          <w:rFonts w:hint="eastAsia" w:ascii="仿宋_GB2312" w:hAnsi="仿宋" w:eastAsia="仿宋_GB2312"/>
          <w:sz w:val="32"/>
          <w:szCs w:val="32"/>
        </w:rPr>
        <w:t>。现将有关情况报告如下：</w:t>
      </w:r>
    </w:p>
    <w:p>
      <w:pPr>
        <w:pStyle w:val="3"/>
        <w:bidi w:val="0"/>
      </w:pPr>
      <w:bookmarkStart w:id="16" w:name="_Toc6491"/>
      <w:bookmarkStart w:id="17" w:name="_Toc28600"/>
      <w:bookmarkStart w:id="18" w:name="_Toc29088"/>
      <w:r>
        <w:rPr>
          <w:rFonts w:hint="eastAsia"/>
        </w:rPr>
        <w:t>一、事故基本情况</w:t>
      </w:r>
      <w:bookmarkEnd w:id="16"/>
      <w:bookmarkEnd w:id="17"/>
      <w:bookmarkEnd w:id="18"/>
    </w:p>
    <w:p>
      <w:pPr>
        <w:pStyle w:val="4"/>
        <w:bidi w:val="0"/>
      </w:pPr>
      <w:bookmarkStart w:id="19" w:name="_Toc15294"/>
      <w:bookmarkStart w:id="20" w:name="_Toc5647"/>
      <w:bookmarkStart w:id="21" w:name="_Toc32631"/>
      <w:r>
        <w:rPr>
          <w:rFonts w:hint="eastAsia"/>
          <w:lang w:eastAsia="zh-CN"/>
        </w:rPr>
        <w:t>（</w:t>
      </w:r>
      <w:r>
        <w:rPr>
          <w:rFonts w:hint="eastAsia"/>
        </w:rPr>
        <w:t>一</w:t>
      </w:r>
      <w:r>
        <w:rPr>
          <w:rFonts w:hint="eastAsia"/>
          <w:lang w:eastAsia="zh-CN"/>
        </w:rPr>
        <w:t>）</w:t>
      </w:r>
      <w:r>
        <w:rPr>
          <w:rFonts w:hint="eastAsia"/>
        </w:rPr>
        <w:t>事故单位情况</w:t>
      </w:r>
      <w:bookmarkEnd w:id="19"/>
      <w:bookmarkEnd w:id="20"/>
      <w:bookmarkEnd w:id="2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yellow"/>
          <w:lang w:val="en-US"/>
        </w:rPr>
      </w:pPr>
      <w:r>
        <w:rPr>
          <w:rFonts w:hint="eastAsia" w:ascii="仿宋_GB2312" w:hAnsi="仿宋_GB2312" w:eastAsia="仿宋_GB2312" w:cs="仿宋_GB2312"/>
          <w:sz w:val="32"/>
          <w:szCs w:val="32"/>
          <w:lang w:val="en-US" w:eastAsia="zh-CN"/>
        </w:rPr>
        <w:t>天津友发钢管集团股份有限公司第二分公司（以下简称：友发第二分公司），位于天津市静海区大邱庄镇珠峰路3号，私营企业，成立于2012年8月20日，企业类型：股份有限公司分公司（上市），统一社会信用代码:911202230520658428，主要负责人：徐利，经营范围：主要从事高频焊管制造，现有员工约380人，年产量约80万吨。</w:t>
      </w:r>
    </w:p>
    <w:p>
      <w:pPr>
        <w:pStyle w:val="4"/>
        <w:bidi w:val="0"/>
        <w:rPr>
          <w:rFonts w:hint="eastAsia"/>
          <w:lang w:val="en-US" w:eastAsia="zh-CN"/>
        </w:rPr>
      </w:pPr>
      <w:bookmarkStart w:id="22" w:name="_Toc23591"/>
      <w:bookmarkStart w:id="23" w:name="_Toc20996"/>
      <w:bookmarkStart w:id="24" w:name="_Toc7408"/>
      <w:bookmarkStart w:id="25" w:name="_Toc4694"/>
      <w:r>
        <w:rPr>
          <w:rFonts w:hint="eastAsia"/>
          <w:lang w:val="en-US" w:eastAsia="zh-CN"/>
        </w:rPr>
        <w:t>（二）二车间相关情况</w:t>
      </w:r>
      <w:bookmarkEnd w:id="22"/>
      <w:bookmarkEnd w:id="23"/>
      <w:bookmarkEnd w:id="24"/>
      <w:bookmarkEnd w:id="25"/>
    </w:p>
    <w:p>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公司二车间南北两侧分别设置一条高频焊机组其中南侧为76线机组，76线机组自东向西依次为上料区、储料区、成型区、高频焊区、锯切区、定径矫直区、冷床、打包区、成品区，主要生产高频直缝焊管。上料区自东向西依次为上料小车、开卷机、直头机、横切剪机和电焊机组，上料区西北侧为设备控制台。</w:t>
      </w:r>
    </w:p>
    <w:p>
      <w:pPr>
        <w:pStyle w:val="2"/>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仿宋_GB2312" w:eastAsia="仿宋_GB2312"/>
          <w:sz w:val="32"/>
          <w:szCs w:val="32"/>
          <w:lang w:val="en-US" w:eastAsia="zh-CN"/>
        </w:rPr>
      </w:pPr>
      <w:r>
        <w:rPr>
          <w:sz w:val="32"/>
        </w:rPr>
        <mc:AlternateContent>
          <mc:Choice Requires="wpg">
            <w:drawing>
              <wp:anchor distT="0" distB="0" distL="114300" distR="114300" simplePos="0" relativeHeight="251659264" behindDoc="0" locked="0" layoutInCell="1" allowOverlap="1">
                <wp:simplePos x="0" y="0"/>
                <wp:positionH relativeFrom="column">
                  <wp:posOffset>1118870</wp:posOffset>
                </wp:positionH>
                <wp:positionV relativeFrom="paragraph">
                  <wp:posOffset>242570</wp:posOffset>
                </wp:positionV>
                <wp:extent cx="4152900" cy="2200275"/>
                <wp:effectExtent l="9525" t="9525" r="9525" b="19050"/>
                <wp:wrapNone/>
                <wp:docPr id="17" name="组合 17"/>
                <wp:cNvGraphicFramePr/>
                <a:graphic xmlns:a="http://schemas.openxmlformats.org/drawingml/2006/main">
                  <a:graphicData uri="http://schemas.microsoft.com/office/word/2010/wordprocessingGroup">
                    <wpg:wgp>
                      <wpg:cNvGrpSpPr/>
                      <wpg:grpSpPr>
                        <a:xfrm>
                          <a:off x="0" y="0"/>
                          <a:ext cx="4152900" cy="2200275"/>
                          <a:chOff x="8640" y="71190"/>
                          <a:chExt cx="6540" cy="3465"/>
                        </a:xfrm>
                      </wpg:grpSpPr>
                      <wpg:grpSp>
                        <wpg:cNvPr id="10" name="组合 10"/>
                        <wpg:cNvGrpSpPr/>
                        <wpg:grpSpPr>
                          <a:xfrm>
                            <a:off x="12915" y="73875"/>
                            <a:ext cx="2145" cy="780"/>
                            <a:chOff x="12915" y="73875"/>
                            <a:chExt cx="2145" cy="780"/>
                          </a:xfrm>
                        </wpg:grpSpPr>
                        <wps:wsp>
                          <wps:cNvPr id="7" name="文本框 7"/>
                          <wps:cNvSpPr txBox="true"/>
                          <wps:spPr>
                            <a:xfrm>
                              <a:off x="13590" y="73875"/>
                              <a:ext cx="1470" cy="780"/>
                            </a:xfrm>
                            <a:prstGeom prst="rect">
                              <a:avLst/>
                            </a:prstGeom>
                            <a:solidFill>
                              <a:srgbClr val="5B9BD5"/>
                            </a:solidFill>
                          </wps:spPr>
                          <wps:style>
                            <a:lnRef idx="3">
                              <a:schemeClr val="accent1"/>
                            </a:lnRef>
                            <a:fillRef idx="0">
                              <a:srgbClr val="FFFFFF"/>
                            </a:fillRef>
                            <a:effectRef idx="0">
                              <a:srgbClr val="FFFFFF"/>
                            </a:effectRef>
                            <a:fontRef idx="minor">
                              <a:schemeClr val="dk1"/>
                            </a:fontRef>
                          </wps:style>
                          <wps:txbx>
                            <w:txbxContent>
                              <w:p>
                                <w:pPr>
                                  <w:jc w:val="center"/>
                                  <w:rPr>
                                    <w:rFonts w:hint="eastAsia" w:ascii="方正小标宋简体" w:hAnsi="方正小标宋简体" w:eastAsia="方正小标宋简体" w:cs="方正小标宋简体"/>
                                    <w:sz w:val="32"/>
                                    <w:szCs w:val="28"/>
                                    <w:lang w:eastAsia="zh-CN"/>
                                  </w:rPr>
                                </w:pPr>
                                <w:r>
                                  <w:rPr>
                                    <w:rFonts w:hint="eastAsia" w:ascii="方正小标宋简体" w:hAnsi="方正小标宋简体" w:eastAsia="方正小标宋简体" w:cs="方正小标宋简体"/>
                                    <w:sz w:val="32"/>
                                    <w:szCs w:val="28"/>
                                    <w:lang w:eastAsia="zh-CN"/>
                                  </w:rPr>
                                  <w:t>控制台</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9" name="左箭头 9"/>
                          <wps:cNvSpPr/>
                          <wps:spPr>
                            <a:xfrm rot="1800000">
                              <a:off x="12915" y="73928"/>
                              <a:ext cx="780" cy="253"/>
                            </a:xfrm>
                            <a:prstGeom prst="leftArrow">
                              <a:avLst/>
                            </a:prstGeom>
                            <a:ln>
                              <a:solidFill>
                                <a:srgbClr val="5B9BD5"/>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cNvPr id="11" name="组合 11"/>
                        <wpg:cNvGrpSpPr/>
                        <wpg:grpSpPr>
                          <a:xfrm>
                            <a:off x="13033" y="71550"/>
                            <a:ext cx="2147" cy="780"/>
                            <a:chOff x="12913" y="73875"/>
                            <a:chExt cx="2147" cy="780"/>
                          </a:xfrm>
                        </wpg:grpSpPr>
                        <wps:wsp>
                          <wps:cNvPr id="12" name="文本框 7"/>
                          <wps:cNvSpPr txBox="true"/>
                          <wps:spPr>
                            <a:xfrm>
                              <a:off x="13590" y="73875"/>
                              <a:ext cx="1470" cy="780"/>
                            </a:xfrm>
                            <a:prstGeom prst="rect">
                              <a:avLst/>
                            </a:prstGeom>
                            <a:solidFill>
                              <a:srgbClr val="5B9BD5"/>
                            </a:solidFill>
                          </wps:spPr>
                          <wps:style>
                            <a:lnRef idx="3">
                              <a:schemeClr val="accent1"/>
                            </a:lnRef>
                            <a:fillRef idx="0">
                              <a:srgbClr val="FFFFFF"/>
                            </a:fillRef>
                            <a:effectRef idx="0">
                              <a:srgbClr val="FFFFFF"/>
                            </a:effectRef>
                            <a:fontRef idx="minor">
                              <a:schemeClr val="dk1"/>
                            </a:fontRef>
                          </wps:style>
                          <wps:txbx>
                            <w:txbxContent>
                              <w:p>
                                <w:pPr>
                                  <w:jc w:val="center"/>
                                  <w:rPr>
                                    <w:rFonts w:hint="eastAsia" w:ascii="方正小标宋简体" w:hAnsi="方正小标宋简体" w:eastAsia="方正小标宋简体" w:cs="方正小标宋简体"/>
                                    <w:sz w:val="32"/>
                                    <w:szCs w:val="28"/>
                                    <w:lang w:eastAsia="zh-CN"/>
                                  </w:rPr>
                                </w:pPr>
                                <w:r>
                                  <w:rPr>
                                    <w:rFonts w:hint="eastAsia" w:ascii="方正小标宋简体" w:hAnsi="方正小标宋简体" w:eastAsia="方正小标宋简体" w:cs="方正小标宋简体"/>
                                    <w:sz w:val="32"/>
                                    <w:szCs w:val="28"/>
                                    <w:lang w:eastAsia="zh-CN"/>
                                  </w:rPr>
                                  <w:t>平头机</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13" name="左箭头 9"/>
                          <wps:cNvSpPr/>
                          <wps:spPr>
                            <a:xfrm rot="20880000">
                              <a:off x="12913" y="74165"/>
                              <a:ext cx="780" cy="274"/>
                            </a:xfrm>
                            <a:prstGeom prst="leftArrow">
                              <a:avLst/>
                            </a:prstGeom>
                            <a:ln>
                              <a:solidFill>
                                <a:srgbClr val="5B9BD5"/>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grpSp>
                        <wpg:cNvPr id="14" name="组合 14"/>
                        <wpg:cNvGrpSpPr/>
                        <wpg:grpSpPr>
                          <a:xfrm>
                            <a:off x="8640" y="71190"/>
                            <a:ext cx="2098" cy="780"/>
                            <a:chOff x="13470" y="73845"/>
                            <a:chExt cx="2098" cy="780"/>
                          </a:xfrm>
                        </wpg:grpSpPr>
                        <wps:wsp>
                          <wps:cNvPr id="15" name="文本框 7"/>
                          <wps:cNvSpPr txBox="true"/>
                          <wps:spPr>
                            <a:xfrm>
                              <a:off x="13470" y="73845"/>
                              <a:ext cx="1470" cy="780"/>
                            </a:xfrm>
                            <a:prstGeom prst="rect">
                              <a:avLst/>
                            </a:prstGeom>
                            <a:solidFill>
                              <a:srgbClr val="5B9BD5"/>
                            </a:solidFill>
                          </wps:spPr>
                          <wps:style>
                            <a:lnRef idx="3">
                              <a:schemeClr val="accent1"/>
                            </a:lnRef>
                            <a:fillRef idx="0">
                              <a:srgbClr val="FFFFFF"/>
                            </a:fillRef>
                            <a:effectRef idx="0">
                              <a:srgbClr val="FFFFFF"/>
                            </a:effectRef>
                            <a:fontRef idx="minor">
                              <a:schemeClr val="dk1"/>
                            </a:fontRef>
                          </wps:style>
                          <wps:txbx>
                            <w:txbxContent>
                              <w:p>
                                <w:pPr>
                                  <w:jc w:val="center"/>
                                  <w:rPr>
                                    <w:rFonts w:hint="eastAsia" w:ascii="方正小标宋简体" w:hAnsi="方正小标宋简体" w:eastAsia="方正小标宋简体" w:cs="方正小标宋简体"/>
                                    <w:sz w:val="32"/>
                                    <w:szCs w:val="28"/>
                                    <w:lang w:eastAsia="zh-CN"/>
                                  </w:rPr>
                                </w:pPr>
                                <w:r>
                                  <w:rPr>
                                    <w:rFonts w:hint="eastAsia" w:ascii="方正小标宋简体" w:hAnsi="方正小标宋简体" w:eastAsia="方正小标宋简体" w:cs="方正小标宋简体"/>
                                    <w:sz w:val="32"/>
                                    <w:szCs w:val="28"/>
                                    <w:lang w:eastAsia="zh-CN"/>
                                  </w:rPr>
                                  <w:t>开卷机</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16" name="左箭头 9"/>
                          <wps:cNvSpPr/>
                          <wps:spPr>
                            <a:xfrm rot="12720000">
                              <a:off x="14788" y="74282"/>
                              <a:ext cx="780" cy="258"/>
                            </a:xfrm>
                            <a:prstGeom prst="leftArrow">
                              <a:avLst/>
                            </a:prstGeom>
                            <a:ln>
                              <a:solidFill>
                                <a:srgbClr val="5B9BD5"/>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wpg:grpSp>
                    </wpg:wgp>
                  </a:graphicData>
                </a:graphic>
              </wp:anchor>
            </w:drawing>
          </mc:Choice>
          <mc:Fallback>
            <w:pict>
              <v:group id="_x0000_s1026" o:spid="_x0000_s1026" o:spt="203" style="position:absolute;left:0pt;margin-left:88.1pt;margin-top:19.1pt;height:173.25pt;width:327pt;z-index:251659264;mso-width-relative:page;mso-height-relative:page;" coordorigin="8640,71190" coordsize="6540,3465" o:gfxdata="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">
                <o:lock v:ext="edit" aspectratio="f"/>
                <v:group id="_x0000_s1026" o:spid="_x0000_s1026" o:spt="203" style="position:absolute;left:12915;top:73875;height:780;width:2145;" coordorigin="12915,73875" coordsize="2145,780" o:gfxdata="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DyDpEVvgAAANsAAAAPAAAAAAAAAAEA&#10;IAAAADgAAABkcnMvZG93bnJldi54bWxQSwECFAAUAAAACACHTuJAMy8FnjsAAAA5AAAAFQAAAAAA&#10;AAABACAAAAAjAQAAZHJzL2dyb3Vwc2hhcGV4bWwueG1sUEsFBgAAAAAGAAYAYAEAAOADAAAAAA==&#10;">
                  <o:lock v:ext="edit" aspectratio="f"/>
                  <v:shape id="_x0000_s1026" o:spid="_x0000_s1026" o:spt="202" type="#_x0000_t202" style="position:absolute;left:13590;top:73875;height:780;width:1470;" fillcolor="#5B9BD5" filled="t" stroked="t" coordsize="21600,21600" o:gfxdata="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X4wE2+AAAA2gAAAA8AAAAAAAAAAQAgAAAAOAAAAGRycy9kb3ducmV2&#10;LnhtbFBLAQIUABQAAAAIAIdO4kAzLwWeOwAAADkAAAAQAAAAAAAAAAEAIAAAACMBAABkcnMvc2hh&#10;cGV4bWwueG1sUEsFBgAAAAAGAAYAWwEAAM0DAAAAAA==&#10;">
                    <v:fill on="t" focussize="0,0"/>
                    <v:stroke weight="1.5pt" color="#5B9BD5 [3204]" miterlimit="8" joinstyle="miter"/>
                    <v:imagedata o:title=""/>
                    <o:lock v:ext="edit" aspectratio="f"/>
                    <v:textbox>
                      <w:txbxContent>
                        <w:p>
                          <w:pPr>
                            <w:jc w:val="center"/>
                            <w:rPr>
                              <w:rFonts w:hint="eastAsia" w:ascii="方正小标宋简体" w:hAnsi="方正小标宋简体" w:eastAsia="方正小标宋简体" w:cs="方正小标宋简体"/>
                              <w:sz w:val="32"/>
                              <w:szCs w:val="28"/>
                              <w:lang w:eastAsia="zh-CN"/>
                            </w:rPr>
                          </w:pPr>
                          <w:r>
                            <w:rPr>
                              <w:rFonts w:hint="eastAsia" w:ascii="方正小标宋简体" w:hAnsi="方正小标宋简体" w:eastAsia="方正小标宋简体" w:cs="方正小标宋简体"/>
                              <w:sz w:val="32"/>
                              <w:szCs w:val="28"/>
                              <w:lang w:eastAsia="zh-CN"/>
                            </w:rPr>
                            <w:t>控制台</w:t>
                          </w:r>
                        </w:p>
                      </w:txbxContent>
                    </v:textbox>
                  </v:shape>
                  <v:shape id="_x0000_s1026" o:spid="_x0000_s1026" o:spt="66" type="#_x0000_t66" style="position:absolute;left:12915;top:73928;height:253;width:780;rotation:1966080f;v-text-anchor:middle;" fillcolor="#5B9BD5 [3204]" filled="t" stroked="t" coordsize="21600,21600" o:gfxdata="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60H1jvAAAANoAAAAPAAAAAAAAAAEAIAAAADgAAABkcnMvZG93bnJldi54&#10;bWxQSwECFAAUAAAACACHTuJAMy8FnjsAAAA5AAAAEAAAAAAAAAABACAAAAAhAQAAZHJzL3NoYXBl&#10;eG1sLnhtbFBLBQYAAAAABgAGAFsBAADLAwAAAAA=&#10;" adj="3503,5400">
                    <v:fill on="t" focussize="0,0"/>
                    <v:stroke weight="1pt" color="#5B9BD5 [2404]" miterlimit="8" joinstyle="miter"/>
                    <v:imagedata o:title=""/>
                    <o:lock v:ext="edit" aspectratio="f"/>
                  </v:shape>
                </v:group>
                <v:group id="_x0000_s1026" o:spid="_x0000_s1026" o:spt="203" style="position:absolute;left:13033;top:71550;height:780;width:2147;" coordorigin="12913,73875" coordsize="2147,780" o:gfxdata="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nUI0jrwAAADbAAAADwAAAAAAAAABACAA&#10;AAA4AAAAZHJzL2Rvd25yZXYueG1sUEsBAhQAFAAAAAgAh07iQDMvBZ47AAAAOQAAABUAAAAAAAAA&#10;AQAgAAAAIQEAAGRycy9ncm91cHNoYXBleG1sLnhtbFBLBQYAAAAABgAGAGABAADeAwAAAAA=&#10;">
                  <o:lock v:ext="edit" aspectratio="f"/>
                  <v:shape id="文本框 7" o:spid="_x0000_s1026" o:spt="202" type="#_x0000_t202" style="position:absolute;left:13590;top:73875;height:780;width:1470;" fillcolor="#5B9BD5" filled="t" stroked="t" coordsize="21600,21600" o:gfxdata="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KXqN1uQAAANsAAAAPAAAAAAAAAAEAIAAAADgAAABkcnMvZG93bnJldi54bWxQ&#10;SwECFAAUAAAACACHTuJAMy8FnjsAAAA5AAAAEAAAAAAAAAABACAAAAAeAQAAZHJzL3NoYXBleG1s&#10;LnhtbFBLBQYAAAAABgAGAFsBAADIAwAAAAA=&#10;">
                    <v:fill on="t" focussize="0,0"/>
                    <v:stroke weight="1.5pt" color="#5B9BD5 [3204]" miterlimit="8" joinstyle="miter"/>
                    <v:imagedata o:title=""/>
                    <o:lock v:ext="edit" aspectratio="f"/>
                    <v:textbox>
                      <w:txbxContent>
                        <w:p>
                          <w:pPr>
                            <w:jc w:val="center"/>
                            <w:rPr>
                              <w:rFonts w:hint="eastAsia" w:ascii="方正小标宋简体" w:hAnsi="方正小标宋简体" w:eastAsia="方正小标宋简体" w:cs="方正小标宋简体"/>
                              <w:sz w:val="32"/>
                              <w:szCs w:val="28"/>
                              <w:lang w:eastAsia="zh-CN"/>
                            </w:rPr>
                          </w:pPr>
                          <w:r>
                            <w:rPr>
                              <w:rFonts w:hint="eastAsia" w:ascii="方正小标宋简体" w:hAnsi="方正小标宋简体" w:eastAsia="方正小标宋简体" w:cs="方正小标宋简体"/>
                              <w:sz w:val="32"/>
                              <w:szCs w:val="28"/>
                              <w:lang w:eastAsia="zh-CN"/>
                            </w:rPr>
                            <w:t>平头机</w:t>
                          </w:r>
                        </w:p>
                      </w:txbxContent>
                    </v:textbox>
                  </v:shape>
                  <v:shape id="左箭头 9" o:spid="_x0000_s1026" o:spt="66" type="#_x0000_t66" style="position:absolute;left:12913;top:74165;height:274;width:780;rotation:-786432f;v-text-anchor:middle;" fillcolor="#5B9BD5 [3204]" filled="t" stroked="t" coordsize="21600,21600" o:gfxdata="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&#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xx+MuuQAAANsAAAAPAAAAAAAAAAEAIAAAADgAAABkcnMvZG93bnJldi54bWxQ&#10;SwECFAAUAAAACACHTuJAMy8FnjsAAAA5AAAAEAAAAAAAAAABACAAAAAeAQAAZHJzL3NoYXBleG1s&#10;LnhtbFBLBQYAAAAABgAGAFsBAADIAwAAAAA=&#10;" adj="3793,5400">
                    <v:fill on="t" focussize="0,0"/>
                    <v:stroke weight="1pt" color="#5B9BD5 [2404]" miterlimit="8" joinstyle="miter"/>
                    <v:imagedata o:title=""/>
                    <o:lock v:ext="edit" aspectratio="f"/>
                  </v:shape>
                </v:group>
                <v:group id="_x0000_s1026" o:spid="_x0000_s1026" o:spt="203" style="position:absolute;left:8640;top:71190;height:780;width:2098;" coordorigin="13470,73845" coordsize="2098,780" o:gfxdata="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I01lxa9AAAA2wAAAA8AAAAAAAAAAQAg&#10;AAAAOAAAAGRycy9kb3ducmV2LnhtbFBLAQIUABQAAAAIAIdO4kAzLwWeOwAAADkAAAAVAAAAAAAA&#10;AAEAIAAAACIBAABkcnMvZ3JvdXBzaGFwZXhtbC54bWxQSwUGAAAAAAYABgBgAQAA3wMAAAAA&#10;">
                  <o:lock v:ext="edit" aspectratio="f"/>
                  <v:shape id="文本框 7" o:spid="_x0000_s1026" o:spt="202" type="#_x0000_t202" style="position:absolute;left:13470;top:73845;height:780;width:1470;" fillcolor="#5B9BD5" filled="t" stroked="t" coordsize="21600,21600" o:gfxdata="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FtzsBvAAAANsAAAAPAAAAAAAAAAEAIAAAADgAAABkcnMvZG93bnJldi54&#10;bWxQSwECFAAUAAAACACHTuJAMy8FnjsAAAA5AAAAEAAAAAAAAAABACAAAAAhAQAAZHJzL3NoYXBl&#10;eG1sLnhtbFBLBQYAAAAABgAGAFsBAADLAwAAAAA=&#10;">
                    <v:fill on="t" focussize="0,0"/>
                    <v:stroke weight="1.5pt" color="#5B9BD5 [3204]" miterlimit="8" joinstyle="miter"/>
                    <v:imagedata o:title=""/>
                    <o:lock v:ext="edit" aspectratio="f"/>
                    <v:textbox>
                      <w:txbxContent>
                        <w:p>
                          <w:pPr>
                            <w:jc w:val="center"/>
                            <w:rPr>
                              <w:rFonts w:hint="eastAsia" w:ascii="方正小标宋简体" w:hAnsi="方正小标宋简体" w:eastAsia="方正小标宋简体" w:cs="方正小标宋简体"/>
                              <w:sz w:val="32"/>
                              <w:szCs w:val="28"/>
                              <w:lang w:eastAsia="zh-CN"/>
                            </w:rPr>
                          </w:pPr>
                          <w:r>
                            <w:rPr>
                              <w:rFonts w:hint="eastAsia" w:ascii="方正小标宋简体" w:hAnsi="方正小标宋简体" w:eastAsia="方正小标宋简体" w:cs="方正小标宋简体"/>
                              <w:sz w:val="32"/>
                              <w:szCs w:val="28"/>
                              <w:lang w:eastAsia="zh-CN"/>
                            </w:rPr>
                            <w:t>开卷机</w:t>
                          </w:r>
                        </w:p>
                      </w:txbxContent>
                    </v:textbox>
                  </v:shape>
                  <v:shape id="左箭头 9" o:spid="_x0000_s1026" o:spt="66" type="#_x0000_t66" style="position:absolute;left:14788;top:74282;height:258;width:780;rotation:-9699328f;v-text-anchor:middle;" fillcolor="#5B9BD5 [3204]" filled="t" stroked="t" coordsize="21600,21600" o:gfxdata="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LOOG61AAAA2wAAAA8AAAAAAAAAAQAgAAAAOAAAAGRycy9kb3ducmV2LnhtbFBLAQIU&#10;ABQAAAAIAIdO4kAzLwWeOwAAADkAAAAQAAAAAAAAAAEAIAAAABoBAABkcnMvc2hhcGV4bWwueG1s&#10;UEsFBgAAAAAGAAYAWwEAAMQDAAAAAA==&#10;" adj="3572,5400">
                    <v:fill on="t" focussize="0,0"/>
                    <v:stroke weight="1pt" color="#5B9BD5 [2404]" miterlimit="8" joinstyle="miter"/>
                    <v:imagedata o:title=""/>
                    <o:lock v:ext="edit" aspectratio="f"/>
                  </v:shape>
                </v:group>
              </v:group>
            </w:pict>
          </mc:Fallback>
        </mc:AlternateContent>
      </w:r>
      <w:r>
        <w:rPr>
          <w:rFonts w:hint="default" w:ascii="仿宋_GB2312" w:eastAsia="仿宋_GB2312"/>
          <w:sz w:val="32"/>
          <w:szCs w:val="32"/>
          <w:lang w:val="en-US" w:eastAsia="zh-CN"/>
        </w:rPr>
        <w:drawing>
          <wp:inline distT="0" distB="0" distL="114300" distR="114300">
            <wp:extent cx="5002530" cy="2811145"/>
            <wp:effectExtent l="0" t="0" r="7620" b="8255"/>
            <wp:docPr id="1" name="图片 1" descr="419fac3d0dee1c91e7a28a301acd6a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419fac3d0dee1c91e7a28a301acd6a4"/>
                    <pic:cNvPicPr>
                      <a:picLocks noChangeAspect="true"/>
                    </pic:cNvPicPr>
                  </pic:nvPicPr>
                  <pic:blipFill>
                    <a:blip r:embed="rId11"/>
                    <a:stretch>
                      <a:fillRect/>
                    </a:stretch>
                  </pic:blipFill>
                  <pic:spPr>
                    <a:xfrm>
                      <a:off x="0" y="0"/>
                      <a:ext cx="5002530" cy="2811145"/>
                    </a:xfrm>
                    <a:prstGeom prst="rect">
                      <a:avLst/>
                    </a:prstGeom>
                    <a:noFill/>
                    <a:ln>
                      <a:noFill/>
                    </a:ln>
                  </pic:spPr>
                </pic:pic>
              </a:graphicData>
            </a:graphic>
          </wp:inline>
        </w:drawing>
      </w:r>
    </w:p>
    <w:p>
      <w:pPr>
        <w:keepNext w:val="0"/>
        <w:keepLines w:val="0"/>
        <w:pageBreakBefore w:val="0"/>
        <w:widowControl w:val="0"/>
        <w:tabs>
          <w:tab w:val="left" w:pos="7552"/>
        </w:tabs>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kern w:val="2"/>
          <w:sz w:val="24"/>
          <w:szCs w:val="24"/>
          <w:lang w:val="en-US" w:eastAsia="zh-CN" w:bidi="zh-TW"/>
        </w:rPr>
      </w:pPr>
      <w:r>
        <w:rPr>
          <w:rFonts w:hint="eastAsia" w:ascii="Times New Roman" w:hAnsi="Times New Roman" w:eastAsia="宋体" w:cs="Times New Roman"/>
          <w:b/>
          <w:bCs/>
          <w:color w:val="000000"/>
          <w:kern w:val="2"/>
          <w:sz w:val="24"/>
          <w:szCs w:val="24"/>
          <w:lang w:val="en-US" w:eastAsia="zh-CN" w:bidi="zh-TW"/>
        </w:rPr>
        <w:t>图1 上料区设备</w:t>
      </w:r>
    </w:p>
    <w:p>
      <w:pPr>
        <w:pStyle w:val="4"/>
        <w:bidi w:val="0"/>
        <w:rPr>
          <w:rFonts w:hint="eastAsia" w:ascii="仿宋_GB2312" w:eastAsia="仿宋_GB2312"/>
          <w:sz w:val="32"/>
          <w:szCs w:val="32"/>
          <w:lang w:val="en-US" w:eastAsia="zh-CN"/>
        </w:rPr>
      </w:pPr>
      <w:bookmarkStart w:id="26" w:name="_Toc18260"/>
      <w:r>
        <w:rPr>
          <w:rFonts w:hint="eastAsia"/>
          <w:lang w:val="en-US" w:eastAsia="zh-CN"/>
        </w:rPr>
        <w:t>（三）带钢卷焊点情况</w:t>
      </w:r>
      <w:bookmarkEnd w:id="26"/>
    </w:p>
    <w:p>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事故发生时开卷机内放置带钢卷规格为宽183mm,厚4mm,经测量带钢卷头上焊点长约90mm。</w:t>
      </w:r>
    </w:p>
    <w:p>
      <w:pPr>
        <w:pStyle w:val="2"/>
        <w:rPr>
          <w:rFonts w:hint="eastAsia"/>
          <w:lang w:val="en-US" w:eastAsia="zh-CN"/>
        </w:rPr>
      </w:pPr>
      <w:r>
        <w:rPr>
          <w:rFonts w:hint="eastAsia"/>
          <w:lang w:val="en-US" w:eastAsia="zh-CN"/>
        </w:rPr>
        <w:drawing>
          <wp:anchor distT="0" distB="0" distL="114300" distR="114300" simplePos="0" relativeHeight="251661312" behindDoc="0" locked="0" layoutInCell="1" allowOverlap="1">
            <wp:simplePos x="0" y="0"/>
            <wp:positionH relativeFrom="column">
              <wp:posOffset>2943225</wp:posOffset>
            </wp:positionH>
            <wp:positionV relativeFrom="paragraph">
              <wp:posOffset>69215</wp:posOffset>
            </wp:positionV>
            <wp:extent cx="2127250" cy="2484120"/>
            <wp:effectExtent l="0" t="0" r="6350" b="11430"/>
            <wp:wrapTopAndBottom/>
            <wp:docPr id="6" name="图片 6" descr="微信图片_202306201105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微信图片_20230620110502"/>
                    <pic:cNvPicPr>
                      <a:picLocks noChangeAspect="true"/>
                    </pic:cNvPicPr>
                  </pic:nvPicPr>
                  <pic:blipFill>
                    <a:blip r:embed="rId12"/>
                    <a:stretch>
                      <a:fillRect/>
                    </a:stretch>
                  </pic:blipFill>
                  <pic:spPr>
                    <a:xfrm>
                      <a:off x="0" y="0"/>
                      <a:ext cx="2127250" cy="2484120"/>
                    </a:xfrm>
                    <a:prstGeom prst="rect">
                      <a:avLst/>
                    </a:prstGeom>
                  </pic:spPr>
                </pic:pic>
              </a:graphicData>
            </a:graphic>
          </wp:anchor>
        </w:drawing>
      </w:r>
      <w:r>
        <w:rPr>
          <w:rFonts w:hint="eastAsia"/>
          <w:lang w:val="en-US" w:eastAsia="zh-CN"/>
        </w:rPr>
        <w:drawing>
          <wp:anchor distT="0" distB="0" distL="114300" distR="114300" simplePos="0" relativeHeight="251660288" behindDoc="0" locked="0" layoutInCell="1" allowOverlap="1">
            <wp:simplePos x="0" y="0"/>
            <wp:positionH relativeFrom="column">
              <wp:posOffset>485775</wp:posOffset>
            </wp:positionH>
            <wp:positionV relativeFrom="paragraph">
              <wp:posOffset>72390</wp:posOffset>
            </wp:positionV>
            <wp:extent cx="2221230" cy="2484120"/>
            <wp:effectExtent l="0" t="0" r="7620" b="11430"/>
            <wp:wrapTopAndBottom/>
            <wp:docPr id="4" name="图片 4" descr="微信图片_2023071709315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微信图片_20230717093159"/>
                    <pic:cNvPicPr>
                      <a:picLocks noChangeAspect="true"/>
                    </pic:cNvPicPr>
                  </pic:nvPicPr>
                  <pic:blipFill>
                    <a:blip r:embed="rId13"/>
                    <a:stretch>
                      <a:fillRect/>
                    </a:stretch>
                  </pic:blipFill>
                  <pic:spPr>
                    <a:xfrm>
                      <a:off x="0" y="0"/>
                      <a:ext cx="2221230" cy="2484120"/>
                    </a:xfrm>
                    <a:prstGeom prst="rect">
                      <a:avLst/>
                    </a:prstGeom>
                  </pic:spPr>
                </pic:pic>
              </a:graphicData>
            </a:graphic>
          </wp:anchor>
        </w:drawing>
      </w:r>
      <w:r>
        <w:rPr>
          <w:rFonts w:hint="eastAsia"/>
          <w:lang w:val="en-US" w:eastAsia="zh-CN"/>
        </w:rPr>
        <w:t xml:space="preserve">      </w:t>
      </w:r>
    </w:p>
    <w:p>
      <w:pPr>
        <w:pStyle w:val="2"/>
        <w:jc w:val="center"/>
        <w:rPr>
          <w:rFonts w:hint="eastAsia"/>
          <w:lang w:val="en-US" w:eastAsia="zh-CN"/>
        </w:rPr>
      </w:pPr>
      <w:r>
        <w:rPr>
          <w:rFonts w:hint="eastAsia" w:ascii="Times New Roman" w:hAnsi="Times New Roman" w:eastAsia="宋体" w:cs="Times New Roman"/>
          <w:b/>
          <w:bCs/>
          <w:color w:val="000000"/>
          <w:kern w:val="2"/>
          <w:sz w:val="24"/>
          <w:szCs w:val="24"/>
          <w:lang w:val="en-US" w:eastAsia="zh-CN" w:bidi="zh-TW"/>
        </w:rPr>
        <w:t>图2 现场测量带钢焊点情况</w:t>
      </w:r>
    </w:p>
    <w:p>
      <w:pPr>
        <w:pStyle w:val="4"/>
        <w:bidi w:val="0"/>
        <w:rPr>
          <w:rFonts w:hint="default"/>
          <w:lang w:val="en-US" w:eastAsia="zh-CN"/>
        </w:rPr>
      </w:pPr>
      <w:bookmarkStart w:id="27" w:name="_Toc953"/>
      <w:r>
        <w:rPr>
          <w:rFonts w:hint="eastAsia"/>
          <w:lang w:val="en-US" w:eastAsia="zh-CN"/>
        </w:rPr>
        <w:t>（四）撬棍相关情况</w:t>
      </w:r>
      <w:bookmarkEnd w:id="27"/>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现场遗留撬棍为铁质，撬棍由撬头和手柄焊接而成，总长约134cm。撬头为螺纹钢材质“鸭子嘴”形，长约10cm；撬棍手柄为空心圆管，长约124cm；撬棍直径为3.5cm，壁厚为0.5cm。</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drawing>
          <wp:inline distT="0" distB="0" distL="114300" distR="114300">
            <wp:extent cx="4615815" cy="1621155"/>
            <wp:effectExtent l="0" t="0" r="13335" b="17145"/>
            <wp:docPr id="5" name="图片 5" descr="棍子(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棍子(1)"/>
                    <pic:cNvPicPr>
                      <a:picLocks noChangeAspect="true"/>
                    </pic:cNvPicPr>
                  </pic:nvPicPr>
                  <pic:blipFill>
                    <a:blip r:embed="rId14"/>
                    <a:srcRect l="7055" t="23594" r="2971"/>
                    <a:stretch>
                      <a:fillRect/>
                    </a:stretch>
                  </pic:blipFill>
                  <pic:spPr>
                    <a:xfrm>
                      <a:off x="0" y="0"/>
                      <a:ext cx="4615815" cy="1621155"/>
                    </a:xfrm>
                    <a:prstGeom prst="rect">
                      <a:avLst/>
                    </a:prstGeom>
                  </pic:spPr>
                </pic:pic>
              </a:graphicData>
            </a:graphic>
          </wp:inline>
        </w:drawing>
      </w:r>
    </w:p>
    <w:p>
      <w:pPr>
        <w:keepNext w:val="0"/>
        <w:keepLines w:val="0"/>
        <w:pageBreakBefore w:val="0"/>
        <w:widowControl w:val="0"/>
        <w:tabs>
          <w:tab w:val="left" w:pos="7552"/>
        </w:tabs>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kern w:val="2"/>
          <w:sz w:val="24"/>
          <w:szCs w:val="24"/>
          <w:lang w:val="en-US" w:eastAsia="zh-CN" w:bidi="zh-TW"/>
        </w:rPr>
      </w:pPr>
      <w:r>
        <w:rPr>
          <w:rFonts w:hint="eastAsia" w:ascii="Times New Roman" w:hAnsi="Times New Roman" w:eastAsia="宋体" w:cs="Times New Roman"/>
          <w:b/>
          <w:bCs/>
          <w:color w:val="000000"/>
          <w:kern w:val="2"/>
          <w:sz w:val="24"/>
          <w:szCs w:val="24"/>
          <w:lang w:val="en-US" w:eastAsia="zh-CN" w:bidi="zh-TW"/>
        </w:rPr>
        <w:t>图3 现场撬棍情况</w:t>
      </w:r>
    </w:p>
    <w:p>
      <w:pPr>
        <w:pStyle w:val="3"/>
        <w:bidi w:val="0"/>
      </w:pPr>
      <w:bookmarkStart w:id="28" w:name="_Toc27252"/>
      <w:bookmarkStart w:id="29" w:name="_Toc4063"/>
      <w:bookmarkStart w:id="30" w:name="_Toc8757"/>
      <w:r>
        <w:rPr>
          <w:rFonts w:hint="eastAsia"/>
        </w:rPr>
        <w:t>二、事故发生的经过及应急处置情况</w:t>
      </w:r>
      <w:bookmarkEnd w:id="28"/>
      <w:bookmarkEnd w:id="29"/>
      <w:bookmarkEnd w:id="30"/>
    </w:p>
    <w:p>
      <w:pPr>
        <w:pStyle w:val="4"/>
        <w:bidi w:val="0"/>
      </w:pPr>
      <w:bookmarkStart w:id="31" w:name="_Toc15785"/>
      <w:bookmarkStart w:id="32" w:name="_Toc27931"/>
      <w:bookmarkStart w:id="33" w:name="_Toc16051"/>
      <w:r>
        <w:rPr>
          <w:rFonts w:hint="eastAsia"/>
        </w:rPr>
        <w:t>（一）事故经过</w:t>
      </w:r>
      <w:bookmarkEnd w:id="31"/>
      <w:bookmarkEnd w:id="32"/>
      <w:bookmarkEnd w:id="33"/>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友发第二分公司二车间白班吃饭时间为10时至11时。</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sz w:val="24"/>
          <w:szCs w:val="24"/>
          <w:lang w:val="en-US" w:eastAsia="zh-CN"/>
        </w:rPr>
      </w:pPr>
      <w:r>
        <w:rPr>
          <w:rFonts w:hint="eastAsia" w:ascii="仿宋_GB2312" w:hAnsi="仿宋_GB2312" w:eastAsia="仿宋_GB2312" w:cs="仿宋_GB2312"/>
          <w:sz w:val="32"/>
          <w:szCs w:val="32"/>
          <w:lang w:val="en-US" w:eastAsia="zh-CN"/>
        </w:rPr>
        <w:t>5月27日上午10时，二车间内各班组陆续关停设备前去食堂吃饭。10时3分，二车间76线机组上料负责张俊强、上料工曲忠厚、天车工徐红星三人仍在上料区作业，此时开卷机内的一卷带钢用尽，曲忠厚便站在操作台前按动操作台上的按钮将一卷带钢送入开卷机内。随后张俊强双手持撬棍站在带钢卷的侧面，将撬棍的一头插入焊点处开始撬带钢上的焊点，在张俊强撬焊点过程中，曲忠厚操作控制台上引料开关，开卷机内的带钢卷转动带动撬棍转动，撬棍尾部打中张俊强左侧面部，张俊强受伤倒地。曲忠厚发现张俊强倒地后立即上前查看，随后返回操作台按下急停开关，挂停车牌，拔下急停开关的钥匙，并向周围人员呼救。徐红星等人赶到后立即开展施救，同时现场员工拨打120急救电话，120急救车赶到后将张俊强送往静海区医院抢救，张俊强经抢救无效死亡。</w:t>
      </w:r>
    </w:p>
    <w:p>
      <w:pPr>
        <w:pStyle w:val="4"/>
        <w:bidi w:val="0"/>
      </w:pPr>
      <w:bookmarkStart w:id="34" w:name="_Toc16202"/>
      <w:bookmarkStart w:id="35" w:name="_Toc16310"/>
      <w:bookmarkStart w:id="36" w:name="_Toc31080"/>
      <w:r>
        <w:rPr>
          <w:rFonts w:hint="eastAsia"/>
        </w:rPr>
        <w:t>（</w:t>
      </w:r>
      <w:r>
        <w:rPr>
          <w:rFonts w:hint="eastAsia"/>
          <w:lang w:eastAsia="zh-CN"/>
        </w:rPr>
        <w:t>二</w:t>
      </w:r>
      <w:r>
        <w:rPr>
          <w:rFonts w:hint="eastAsia"/>
        </w:rPr>
        <w:t>）事故</w:t>
      </w:r>
      <w:r>
        <w:rPr>
          <w:rFonts w:hint="eastAsia" w:ascii="Times New Roman" w:hAnsi="Times New Roman" w:cs="Times New Roman"/>
        </w:rPr>
        <w:t>应急</w:t>
      </w:r>
      <w:r>
        <w:t>处置情况</w:t>
      </w:r>
      <w:bookmarkEnd w:id="34"/>
      <w:bookmarkEnd w:id="35"/>
      <w:bookmarkEnd w:id="36"/>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友发第二分公司分别于10时45分、11时将事故情况上报大邱庄镇人民政府、区应急管理局，现场员工拨打120急救电话，并积极开展救援。120急救车赶到后，现场人员协助医生将伤者送到医院救治。接报后，区应急管理局、大邱庄镇人民政府、公安静海分局等单位第一时间赶赴现场开展事故应急处置工作。该起事故因组织有序、救援得当，未造成事故扩大、次生灾害和网络舆情，应急处置措施得当。</w:t>
      </w:r>
      <w:bookmarkStart w:id="37" w:name="_Toc4571"/>
      <w:bookmarkStart w:id="38" w:name="_Toc17736"/>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outlineLvl w:val="0"/>
        <w:rPr>
          <w:rFonts w:hint="eastAsia" w:ascii="黑体" w:hAnsi="黑体" w:eastAsia="黑体" w:cs="黑体"/>
          <w:sz w:val="32"/>
          <w:szCs w:val="32"/>
        </w:rPr>
      </w:pPr>
      <w:bookmarkStart w:id="39" w:name="_Toc32325"/>
      <w:r>
        <w:rPr>
          <w:rFonts w:hint="eastAsia" w:ascii="黑体" w:hAnsi="黑体" w:eastAsia="黑体" w:cs="黑体"/>
          <w:sz w:val="32"/>
          <w:szCs w:val="32"/>
        </w:rPr>
        <w:t>三、事故伤亡情况及直接经济损失</w:t>
      </w:r>
      <w:bookmarkEnd w:id="37"/>
      <w:bookmarkEnd w:id="38"/>
      <w:bookmarkEnd w:id="39"/>
    </w:p>
    <w:p>
      <w:pPr>
        <w:pStyle w:val="4"/>
        <w:bidi w:val="0"/>
      </w:pPr>
      <w:bookmarkStart w:id="40" w:name="_Toc1839"/>
      <w:bookmarkStart w:id="41" w:name="_Toc28819"/>
      <w:bookmarkStart w:id="42" w:name="_Toc10240"/>
      <w:r>
        <w:rPr>
          <w:rFonts w:hint="eastAsia"/>
        </w:rPr>
        <w:t>（一）死亡人员情况</w:t>
      </w:r>
      <w:bookmarkEnd w:id="40"/>
      <w:bookmarkEnd w:id="41"/>
      <w:bookmarkEnd w:id="42"/>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张俊强</w:t>
      </w:r>
      <w:r>
        <w:rPr>
          <w:rFonts w:hint="eastAsia" w:ascii="仿宋_GB2312" w:hAnsi="Calibri" w:eastAsia="仿宋_GB2312" w:cs="Times New Roman"/>
          <w:kern w:val="2"/>
          <w:sz w:val="32"/>
          <w:szCs w:val="32"/>
          <w:lang w:val="en-US" w:eastAsia="zh-CN" w:bidi="ar-SA"/>
        </w:rPr>
        <w:t>，男，</w:t>
      </w:r>
      <w:r>
        <w:rPr>
          <w:rFonts w:hint="eastAsia" w:ascii="仿宋_GB2312" w:eastAsia="仿宋_GB2312" w:cs="Times New Roman"/>
          <w:kern w:val="2"/>
          <w:sz w:val="32"/>
          <w:szCs w:val="32"/>
          <w:lang w:val="en-US" w:eastAsia="zh-CN" w:bidi="ar-SA"/>
        </w:rPr>
        <w:t>30</w:t>
      </w:r>
      <w:r>
        <w:rPr>
          <w:rFonts w:hint="eastAsia" w:ascii="仿宋_GB2312" w:hAnsi="Calibri" w:eastAsia="仿宋_GB2312" w:cs="Times New Roman"/>
          <w:kern w:val="2"/>
          <w:sz w:val="32"/>
          <w:szCs w:val="32"/>
          <w:lang w:val="en-US" w:eastAsia="zh-CN" w:bidi="ar-SA"/>
        </w:rPr>
        <w:t>岁，</w:t>
      </w:r>
      <w:r>
        <w:rPr>
          <w:rFonts w:hint="eastAsia" w:ascii="仿宋_GB2312" w:eastAsia="仿宋_GB2312" w:cs="Times New Roman"/>
          <w:kern w:val="2"/>
          <w:sz w:val="32"/>
          <w:szCs w:val="32"/>
          <w:lang w:val="en-US" w:eastAsia="zh-CN" w:bidi="ar-SA"/>
        </w:rPr>
        <w:t>黑龙江省牡丹江市</w:t>
      </w:r>
      <w:r>
        <w:rPr>
          <w:rFonts w:hint="eastAsia" w:ascii="仿宋_GB2312" w:hAnsi="Calibri" w:eastAsia="仿宋_GB2312" w:cs="Times New Roman"/>
          <w:kern w:val="2"/>
          <w:sz w:val="32"/>
          <w:szCs w:val="32"/>
          <w:lang w:val="en-US" w:eastAsia="zh-CN" w:bidi="ar-SA"/>
        </w:rPr>
        <w:t>人。20</w:t>
      </w:r>
      <w:r>
        <w:rPr>
          <w:rFonts w:hint="eastAsia" w:ascii="仿宋_GB2312" w:eastAsia="仿宋_GB2312" w:cs="Times New Roman"/>
          <w:kern w:val="2"/>
          <w:sz w:val="32"/>
          <w:szCs w:val="32"/>
          <w:lang w:val="en-US" w:eastAsia="zh-CN" w:bidi="ar-SA"/>
        </w:rPr>
        <w:t>19</w:t>
      </w:r>
      <w:r>
        <w:rPr>
          <w:rFonts w:hint="eastAsia" w:ascii="仿宋_GB2312" w:hAnsi="Calibri" w:eastAsia="仿宋_GB2312" w:cs="Times New Roman"/>
          <w:kern w:val="2"/>
          <w:sz w:val="32"/>
          <w:szCs w:val="32"/>
          <w:lang w:val="en-US" w:eastAsia="zh-CN" w:bidi="ar-SA"/>
        </w:rPr>
        <w:t>年</w:t>
      </w:r>
      <w:r>
        <w:rPr>
          <w:rFonts w:hint="eastAsia" w:ascii="仿宋_GB2312" w:eastAsia="仿宋_GB2312" w:cs="Times New Roman"/>
          <w:kern w:val="2"/>
          <w:sz w:val="32"/>
          <w:szCs w:val="32"/>
          <w:lang w:val="en-US" w:eastAsia="zh-CN" w:bidi="ar-SA"/>
        </w:rPr>
        <w:t>4月至事故发生在友发第二分公司从事上料工作，岗位为上料负责。</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天津市公安局静海分局物证鉴定所出具的《法医学尸体检验鉴定书》（津公静技鉴[2023]76号）鉴定意见载明，张俊强符合头颈部受外力作用造成颈部异常运动致脑干出血死亡。</w:t>
      </w:r>
    </w:p>
    <w:p>
      <w:pPr>
        <w:pStyle w:val="4"/>
        <w:bidi w:val="0"/>
      </w:pPr>
      <w:bookmarkStart w:id="43" w:name="_Toc5860"/>
      <w:bookmarkStart w:id="44" w:name="_Toc8640"/>
      <w:bookmarkStart w:id="45" w:name="_Toc10126"/>
      <w:r>
        <w:rPr>
          <w:rFonts w:hint="eastAsia"/>
        </w:rPr>
        <w:t>（二）事故直接经济损失</w:t>
      </w:r>
      <w:bookmarkEnd w:id="43"/>
      <w:bookmarkEnd w:id="44"/>
      <w:bookmarkEnd w:id="45"/>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sz w:val="32"/>
          <w:szCs w:val="32"/>
        </w:rPr>
      </w:pPr>
      <w:r>
        <w:rPr>
          <w:rFonts w:hint="eastAsia" w:ascii="仿宋_GB2312" w:eastAsia="仿宋_GB2312"/>
          <w:sz w:val="32"/>
          <w:szCs w:val="32"/>
        </w:rPr>
        <w:t>事故造成的直接经济损失约为</w:t>
      </w:r>
      <w:r>
        <w:rPr>
          <w:rFonts w:hint="eastAsia" w:ascii="仿宋_GB2312" w:eastAsia="仿宋_GB2312"/>
          <w:sz w:val="32"/>
          <w:szCs w:val="32"/>
          <w:lang w:val="en-US" w:eastAsia="zh-CN"/>
        </w:rPr>
        <w:t>116.3</w:t>
      </w:r>
      <w:r>
        <w:rPr>
          <w:rFonts w:hint="eastAsia" w:ascii="仿宋_GB2312" w:eastAsia="仿宋_GB2312"/>
          <w:sz w:val="32"/>
          <w:szCs w:val="32"/>
        </w:rPr>
        <w:t>万元人民币（不含事故罚款）。</w:t>
      </w:r>
    </w:p>
    <w:p>
      <w:pPr>
        <w:pStyle w:val="3"/>
        <w:bidi w:val="0"/>
      </w:pPr>
      <w:bookmarkStart w:id="46" w:name="_Toc22198"/>
      <w:bookmarkStart w:id="47" w:name="_Toc12041"/>
      <w:bookmarkStart w:id="48" w:name="_Toc12283"/>
      <w:r>
        <w:rPr>
          <w:rFonts w:hint="eastAsia"/>
        </w:rPr>
        <w:t>四、事故原因和</w:t>
      </w:r>
      <w:r>
        <w:t>性质</w:t>
      </w:r>
      <w:bookmarkEnd w:id="46"/>
      <w:bookmarkEnd w:id="47"/>
      <w:bookmarkEnd w:id="48"/>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sz w:val="32"/>
          <w:szCs w:val="32"/>
        </w:rPr>
      </w:pPr>
      <w:r>
        <w:rPr>
          <w:rFonts w:hint="eastAsia" w:ascii="仿宋_GB2312" w:eastAsia="仿宋_GB2312"/>
          <w:sz w:val="32"/>
          <w:szCs w:val="32"/>
        </w:rPr>
        <w:t>事故调查组对静海区大邱庄镇</w:t>
      </w:r>
      <w:r>
        <w:rPr>
          <w:rFonts w:hint="eastAsia" w:ascii="仿宋_GB2312" w:eastAsia="仿宋_GB2312"/>
          <w:sz w:val="32"/>
          <w:szCs w:val="32"/>
          <w:lang w:eastAsia="zh-CN"/>
        </w:rPr>
        <w:t>友发第二分公司</w:t>
      </w:r>
      <w:r>
        <w:rPr>
          <w:rFonts w:hint="eastAsia" w:ascii="仿宋_GB2312" w:eastAsia="仿宋_GB2312"/>
          <w:sz w:val="32"/>
          <w:szCs w:val="32"/>
        </w:rPr>
        <w:t>“</w:t>
      </w:r>
      <w:r>
        <w:rPr>
          <w:rFonts w:hint="eastAsia" w:ascii="仿宋_GB2312" w:eastAsia="仿宋_GB2312"/>
          <w:sz w:val="32"/>
          <w:szCs w:val="32"/>
          <w:lang w:val="en-US" w:eastAsia="zh-CN"/>
        </w:rPr>
        <w:t>5</w:t>
      </w:r>
      <w:r>
        <w:rPr>
          <w:rFonts w:hint="eastAsia" w:ascii="仿宋_GB2312" w:eastAsia="仿宋_GB2312"/>
          <w:sz w:val="32"/>
          <w:szCs w:val="32"/>
        </w:rPr>
        <w:t>·</w:t>
      </w:r>
      <w:r>
        <w:rPr>
          <w:rFonts w:hint="eastAsia" w:ascii="仿宋_GB2312" w:eastAsia="仿宋_GB2312"/>
          <w:sz w:val="32"/>
          <w:szCs w:val="32"/>
          <w:lang w:val="en-US" w:eastAsia="zh-CN"/>
        </w:rPr>
        <w:t>27</w:t>
      </w:r>
      <w:r>
        <w:rPr>
          <w:rFonts w:hint="eastAsia" w:ascii="仿宋_GB2312" w:eastAsia="仿宋_GB2312"/>
          <w:sz w:val="32"/>
          <w:szCs w:val="32"/>
        </w:rPr>
        <w:t>”一般</w:t>
      </w:r>
      <w:r>
        <w:rPr>
          <w:rFonts w:hint="eastAsia" w:ascii="仿宋_GB2312" w:eastAsia="仿宋_GB2312"/>
          <w:sz w:val="32"/>
          <w:szCs w:val="32"/>
          <w:lang w:eastAsia="zh-CN"/>
        </w:rPr>
        <w:t>机械伤害</w:t>
      </w:r>
      <w:r>
        <w:rPr>
          <w:rFonts w:hint="eastAsia" w:ascii="仿宋_GB2312" w:eastAsia="仿宋_GB2312"/>
          <w:sz w:val="32"/>
          <w:szCs w:val="32"/>
        </w:rPr>
        <w:t>事故进行了全面调查，通过</w:t>
      </w:r>
      <w:r>
        <w:rPr>
          <w:rFonts w:hint="eastAsia" w:ascii="仿宋_GB2312" w:eastAsia="仿宋_GB2312"/>
          <w:sz w:val="32"/>
          <w:szCs w:val="32"/>
          <w:lang w:eastAsia="zh-CN"/>
        </w:rPr>
        <w:t>调取视频监控</w:t>
      </w:r>
      <w:r>
        <w:rPr>
          <w:rFonts w:hint="eastAsia" w:ascii="仿宋_GB2312" w:eastAsia="仿宋_GB2312"/>
          <w:sz w:val="32"/>
          <w:szCs w:val="32"/>
        </w:rPr>
        <w:t>、</w:t>
      </w:r>
      <w:r>
        <w:rPr>
          <w:rFonts w:hint="eastAsia" w:ascii="仿宋_GB2312" w:eastAsia="仿宋_GB2312"/>
          <w:sz w:val="32"/>
          <w:szCs w:val="32"/>
          <w:lang w:eastAsia="zh-CN"/>
        </w:rPr>
        <w:t>询问相关人员</w:t>
      </w:r>
      <w:r>
        <w:rPr>
          <w:rFonts w:hint="eastAsia" w:ascii="仿宋_GB2312" w:eastAsia="仿宋_GB2312"/>
          <w:sz w:val="32"/>
          <w:szCs w:val="32"/>
        </w:rPr>
        <w:t>、现场勘查、综合分析，认定</w:t>
      </w:r>
      <w:r>
        <w:rPr>
          <w:rFonts w:hint="eastAsia" w:ascii="仿宋_GB2312" w:eastAsia="仿宋_GB2312"/>
          <w:sz w:val="32"/>
          <w:szCs w:val="32"/>
          <w:lang w:eastAsia="zh-CN"/>
        </w:rPr>
        <w:t>了</w:t>
      </w:r>
      <w:r>
        <w:rPr>
          <w:rFonts w:hint="eastAsia" w:ascii="仿宋_GB2312" w:eastAsia="仿宋_GB2312"/>
          <w:sz w:val="32"/>
          <w:szCs w:val="32"/>
        </w:rPr>
        <w:t>该事故发生的原因。</w:t>
      </w:r>
    </w:p>
    <w:p>
      <w:pPr>
        <w:pStyle w:val="4"/>
        <w:bidi w:val="0"/>
      </w:pPr>
      <w:bookmarkStart w:id="49" w:name="_Toc20576"/>
      <w:bookmarkStart w:id="50" w:name="_Toc20741"/>
      <w:bookmarkStart w:id="51" w:name="_Toc12102"/>
      <w:r>
        <w:rPr>
          <w:rFonts w:hint="eastAsia"/>
        </w:rPr>
        <w:t>（一）事故</w:t>
      </w:r>
      <w:r>
        <w:t>直接原因</w:t>
      </w:r>
      <w:bookmarkEnd w:id="49"/>
      <w:bookmarkEnd w:id="50"/>
      <w:bookmarkEnd w:id="51"/>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sz w:val="32"/>
          <w:szCs w:val="32"/>
        </w:rPr>
      </w:pPr>
      <w:r>
        <w:rPr>
          <w:rFonts w:hint="eastAsia" w:eastAsia="仿宋_GB2312"/>
          <w:sz w:val="32"/>
          <w:szCs w:val="32"/>
          <w:lang w:eastAsia="zh-CN"/>
        </w:rPr>
        <w:t>张俊强在使用撬棍撬带钢上的焊点过程中，曲忠厚认为张俊强已撬开带钢卷上的焊点，违反该公司制定的《作业指导书》</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sz w:val="32"/>
          <w:szCs w:val="32"/>
          <w:lang w:eastAsia="zh-CN"/>
        </w:rPr>
        <w:footnoteReference w:id="0"/>
      </w:r>
      <w:r>
        <w:rPr>
          <w:rStyle w:val="17"/>
          <w:rFonts w:hint="eastAsia" w:ascii="Times New Roman" w:hAnsi="Times New Roman" w:eastAsia="仿宋_GB2312"/>
          <w:sz w:val="32"/>
          <w:szCs w:val="32"/>
          <w:lang w:val="en-US" w:eastAsia="zh-CN"/>
        </w:rPr>
        <w:t>]</w:t>
      </w:r>
      <w:r>
        <w:rPr>
          <w:rFonts w:hint="eastAsia" w:eastAsia="仿宋_GB2312"/>
          <w:sz w:val="32"/>
          <w:szCs w:val="32"/>
          <w:lang w:eastAsia="zh-CN"/>
        </w:rPr>
        <w:t>相关要求，操作控制台引料开关，导致</w:t>
      </w:r>
      <w:r>
        <w:rPr>
          <w:rFonts w:hint="eastAsia" w:ascii="仿宋_GB2312" w:eastAsia="仿宋_GB2312"/>
          <w:sz w:val="32"/>
          <w:szCs w:val="32"/>
          <w:lang w:val="en-US" w:eastAsia="zh-CN"/>
        </w:rPr>
        <w:t>插在带钢卷料头处的撬棍随之转动，撬棍尾部打到张俊强左侧面部致其死亡</w:t>
      </w:r>
      <w:r>
        <w:rPr>
          <w:rFonts w:hint="eastAsia" w:ascii="仿宋_GB2312" w:eastAsia="仿宋_GB2312"/>
          <w:sz w:val="32"/>
          <w:szCs w:val="32"/>
        </w:rPr>
        <w:t>。</w:t>
      </w:r>
    </w:p>
    <w:p>
      <w:pPr>
        <w:pStyle w:val="4"/>
        <w:bidi w:val="0"/>
      </w:pPr>
      <w:bookmarkStart w:id="52" w:name="_Toc947"/>
      <w:bookmarkStart w:id="53" w:name="_Toc11070"/>
      <w:bookmarkStart w:id="54" w:name="_Toc7715"/>
      <w:r>
        <w:rPr>
          <w:rFonts w:hint="eastAsia"/>
        </w:rPr>
        <w:t>（二）事故</w:t>
      </w:r>
      <w:r>
        <w:t>间接原因</w:t>
      </w:r>
      <w:bookmarkEnd w:id="52"/>
      <w:bookmarkEnd w:id="53"/>
      <w:bookmarkEnd w:id="54"/>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sz w:val="32"/>
          <w:szCs w:val="32"/>
          <w:lang w:val="en-US" w:eastAsia="zh-CN"/>
        </w:rPr>
      </w:pPr>
      <w:r>
        <w:rPr>
          <w:rFonts w:hint="eastAsia" w:ascii="仿宋_GB2312" w:eastAsia="仿宋_GB2312" w:cs="仿宋_GB2312"/>
          <w:sz w:val="32"/>
          <w:szCs w:val="32"/>
          <w:lang w:val="en-US" w:eastAsia="zh-CN"/>
        </w:rPr>
        <w:t>1.</w:t>
      </w:r>
      <w:r>
        <w:rPr>
          <w:rFonts w:hint="eastAsia" w:ascii="Times New Roman" w:hAnsi="Times New Roman" w:eastAsia="仿宋_GB2312" w:cs="Times New Roman"/>
          <w:sz w:val="32"/>
          <w:szCs w:val="32"/>
          <w:lang w:val="en-US" w:eastAsia="zh-CN"/>
        </w:rPr>
        <w:t>友发第二分公司违反了</w:t>
      </w:r>
      <w:r>
        <w:rPr>
          <w:rFonts w:hint="eastAsia" w:ascii="仿宋_GB2312" w:hAnsi="仿宋_GB2312" w:eastAsia="仿宋_GB2312" w:cs="仿宋_GB2312"/>
          <w:sz w:val="32"/>
          <w:szCs w:val="32"/>
          <w:vertAlign w:val="superscript"/>
          <w:lang w:val="en-US" w:eastAsia="zh-CN"/>
        </w:rPr>
        <w:t xml:space="preserve"> </w:t>
      </w:r>
      <w:r>
        <w:rPr>
          <w:rFonts w:hint="eastAsia" w:ascii="Times New Roman" w:hAnsi="Times New Roman" w:eastAsia="仿宋_GB2312" w:cs="Times New Roman"/>
          <w:sz w:val="32"/>
          <w:szCs w:val="32"/>
          <w:lang w:val="en-US" w:eastAsia="zh-CN"/>
        </w:rPr>
        <w:t>《天津市生产经营单位安全生产主体责任规定》第十三条</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1"/>
      </w:r>
      <w:r>
        <w:rPr>
          <w:rStyle w:val="17"/>
          <w:rFonts w:hint="eastAsia" w:ascii="Times New Roman" w:hAnsi="Times New Roman" w:eastAsia="仿宋_GB2312"/>
          <w:sz w:val="32"/>
          <w:szCs w:val="32"/>
          <w:lang w:val="en-US" w:eastAsia="zh-CN"/>
        </w:rPr>
        <w:t>]</w:t>
      </w:r>
      <w:r>
        <w:rPr>
          <w:rFonts w:hint="eastAsia" w:ascii="仿宋_GB2312" w:hAnsi="仿宋_GB2312" w:eastAsia="仿宋_GB2312" w:cs="仿宋_GB2312"/>
          <w:sz w:val="32"/>
          <w:szCs w:val="32"/>
          <w:lang w:val="en-US" w:eastAsia="zh-CN"/>
        </w:rPr>
        <w:t>的</w:t>
      </w:r>
      <w:r>
        <w:rPr>
          <w:rFonts w:hint="eastAsia" w:ascii="Times New Roman" w:hAnsi="Times New Roman" w:eastAsia="仿宋_GB2312" w:cs="Times New Roman"/>
          <w:sz w:val="32"/>
          <w:szCs w:val="32"/>
          <w:lang w:val="en-US" w:eastAsia="zh-CN"/>
        </w:rPr>
        <w:t>规定</w:t>
      </w:r>
      <w:r>
        <w:rPr>
          <w:rFonts w:hint="eastAsia" w:ascii="仿宋_GB2312" w:eastAsia="仿宋_GB2312" w:cs="仿宋_GB2312"/>
          <w:sz w:val="32"/>
          <w:szCs w:val="32"/>
          <w:lang w:val="en-US" w:eastAsia="zh-CN"/>
        </w:rPr>
        <w:t>，</w:t>
      </w:r>
      <w:r>
        <w:rPr>
          <w:rFonts w:hint="eastAsia" w:ascii="仿宋_GB2312" w:eastAsia="仿宋_GB2312"/>
          <w:sz w:val="32"/>
          <w:szCs w:val="32"/>
          <w:lang w:val="en-US" w:eastAsia="zh-CN"/>
        </w:rPr>
        <w:t>上料工岗位操作规程制定不全面，该公司上料工岗位操作规程只对上料工撬料时应站在侧方位作业、严禁站原料正面作业等进行了要求，未明确撬料时其他人员不得按动控制台开关、撬料时岗位之间如何衔接配合</w:t>
      </w:r>
      <w:r>
        <w:rPr>
          <w:rFonts w:hint="eastAsia" w:ascii="Times New Roman" w:hAnsi="Times New Roman" w:eastAsia="仿宋_GB2312" w:cs="Times New Roman"/>
          <w:sz w:val="32"/>
          <w:szCs w:val="32"/>
          <w:lang w:val="en-US" w:eastAsia="zh-CN"/>
        </w:rPr>
        <w:t>等</w:t>
      </w:r>
      <w:r>
        <w:rPr>
          <w:rFonts w:hint="eastAsia" w:ascii="仿宋_GB2312" w:eastAsia="仿宋_GB2312"/>
          <w:sz w:val="32"/>
          <w:szCs w:val="32"/>
          <w:lang w:val="en-US" w:eastAsia="zh-CN"/>
        </w:rPr>
        <w:t>安全操作要求</w:t>
      </w:r>
      <w:r>
        <w:rPr>
          <w:rFonts w:hint="eastAsia" w:ascii="仿宋_GB2312" w:eastAsia="仿宋_GB2312"/>
          <w:sz w:val="32"/>
          <w:szCs w:val="32"/>
          <w:lang w:eastAsia="zh-CN"/>
        </w:rPr>
        <w:t>。</w:t>
      </w:r>
      <w:r>
        <w:rPr>
          <w:rFonts w:hint="eastAsia" w:ascii="仿宋_GB2312" w:eastAsia="仿宋_GB2312"/>
          <w:sz w:val="32"/>
          <w:szCs w:val="32"/>
          <w:lang w:val="en-US" w:eastAsia="zh-CN"/>
        </w:rPr>
        <w:t>上料工岗位操作规程还存在与实际生产工艺流程不符的情况。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2.友发第二分公司违反了</w:t>
      </w:r>
      <w:r>
        <w:rPr>
          <w:rFonts w:hint="eastAsia" w:ascii="Times New Roman" w:hAnsi="Times New Roman" w:eastAsia="仿宋_GB2312" w:cs="Times New Roman"/>
          <w:sz w:val="32"/>
          <w:szCs w:val="32"/>
          <w:lang w:val="en-US" w:eastAsia="zh-CN"/>
        </w:rPr>
        <w:t>《中华人民共和国安全生产法》第四十一条第一款</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2"/>
      </w:r>
      <w:r>
        <w:rPr>
          <w:rStyle w:val="17"/>
          <w:rFonts w:hint="eastAsia" w:ascii="Times New Roman" w:hAnsi="Times New Roman" w:eastAsia="仿宋_GB2312"/>
          <w:sz w:val="32"/>
          <w:szCs w:val="32"/>
          <w:lang w:val="en-US" w:eastAsia="zh-CN"/>
        </w:rPr>
        <w:t>]</w:t>
      </w:r>
      <w:r>
        <w:rPr>
          <w:rFonts w:hint="eastAsia" w:ascii="仿宋_GB2312" w:hAnsi="仿宋_GB2312" w:eastAsia="仿宋_GB2312" w:cs="仿宋_GB2312"/>
          <w:kern w:val="2"/>
          <w:sz w:val="32"/>
          <w:szCs w:val="32"/>
          <w:lang w:val="en-US" w:eastAsia="zh-CN" w:bidi="ar-SA"/>
        </w:rPr>
        <w:t>、《天津市生产经营单位安全生产主体责任规定》第二十条（二）、（三）项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3"/>
      </w:r>
      <w:r>
        <w:rPr>
          <w:rStyle w:val="17"/>
          <w:rFonts w:hint="eastAsia" w:ascii="Times New Roman" w:hAnsi="Times New Roman" w:eastAsia="仿宋_GB2312"/>
          <w:sz w:val="32"/>
          <w:szCs w:val="32"/>
          <w:lang w:val="en-US" w:eastAsia="zh-CN"/>
        </w:rPr>
        <w:t>]</w:t>
      </w:r>
      <w:r>
        <w:rPr>
          <w:rFonts w:hint="eastAsia" w:ascii="仿宋_GB2312" w:hAnsi="仿宋_GB2312" w:eastAsia="仿宋_GB2312" w:cs="仿宋_GB2312"/>
          <w:kern w:val="2"/>
          <w:sz w:val="32"/>
          <w:szCs w:val="32"/>
          <w:lang w:val="en-US" w:eastAsia="zh-CN" w:bidi="ar-SA"/>
        </w:rPr>
        <w:t>的规定，未全方位、全过程辨识人员行为和管理体系等方面存在的安全风险。该公司编制的《安全风险分级管控专篇》2.2 作业行为/活动风险辨识表工作危害分析 (JHA) 评价表辨识出的机械伤害采取的工程技术措施为设备运转部位采取防护措施或通过设置围栏等防止作业人员靠近，未辨识出开卷作业过程存在的作业人员违规操作造成机械伤害等安全风险。</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Times New Roman" w:hAnsi="Times New Roman" w:eastAsia="仿宋_GB2312" w:cs="Times New Roman"/>
          <w:sz w:val="32"/>
          <w:szCs w:val="32"/>
          <w:lang w:val="en-US" w:eastAsia="zh-CN"/>
        </w:rPr>
        <w:t>友发第二分公司违反了《中华人民共和国安全生产法》第四十一条第二款</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4"/>
      </w:r>
      <w:r>
        <w:rPr>
          <w:rStyle w:val="17"/>
          <w:rFonts w:hint="eastAsia" w:ascii="Times New Roman" w:hAnsi="Times New Roman" w:eastAsia="仿宋_GB2312"/>
          <w:sz w:val="32"/>
          <w:szCs w:val="32"/>
          <w:lang w:val="en-US" w:eastAsia="zh-CN"/>
        </w:rPr>
        <w:t>]</w:t>
      </w:r>
      <w:r>
        <w:rPr>
          <w:rFonts w:hint="eastAsia" w:ascii="Times New Roman" w:hAnsi="Times New Roman" w:eastAsia="仿宋_GB2312" w:cs="Times New Roman"/>
          <w:sz w:val="32"/>
          <w:szCs w:val="32"/>
          <w:lang w:val="en-US" w:eastAsia="zh-CN"/>
        </w:rPr>
        <w:t>、《天津市生产经营单位安全生产主体责任规定》第二十一条第（四）项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5"/>
      </w:r>
      <w:r>
        <w:rPr>
          <w:rStyle w:val="17"/>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val="en-US" w:eastAsia="zh-CN"/>
        </w:rPr>
        <w:t>的规定</w:t>
      </w:r>
      <w:r>
        <w:rPr>
          <w:rFonts w:hint="eastAsia" w:ascii="Times New Roman" w:hAnsi="Times New Roman" w:eastAsia="仿宋_GB2312" w:cs="Times New Roman"/>
          <w:sz w:val="32"/>
          <w:szCs w:val="32"/>
          <w:lang w:val="en-US" w:eastAsia="zh-CN"/>
        </w:rPr>
        <w:t>，该公司</w:t>
      </w:r>
      <w:r>
        <w:rPr>
          <w:rFonts w:hint="eastAsia" w:ascii="仿宋_GB2312" w:eastAsia="仿宋_GB2312"/>
          <w:sz w:val="32"/>
          <w:szCs w:val="32"/>
          <w:lang w:eastAsia="zh-CN"/>
        </w:rPr>
        <w:t>虽然安排了专职安全员负责车间安全检查、隐患排查和视频监控纠违，但未发现</w:t>
      </w:r>
      <w:r>
        <w:rPr>
          <w:rFonts w:hint="default" w:ascii="仿宋_GB2312" w:eastAsia="仿宋_GB2312"/>
          <w:sz w:val="32"/>
          <w:szCs w:val="32"/>
          <w:lang w:val="en" w:eastAsia="zh-CN"/>
        </w:rPr>
        <w:t>车间内</w:t>
      </w:r>
      <w:r>
        <w:rPr>
          <w:rFonts w:hint="eastAsia" w:ascii="仿宋_GB2312" w:eastAsia="仿宋_GB2312"/>
          <w:sz w:val="32"/>
          <w:szCs w:val="32"/>
          <w:lang w:eastAsia="zh-CN"/>
        </w:rPr>
        <w:t>存在的边撬料边操作控制台的情况，未及时消除事故隐患</w:t>
      </w:r>
      <w:r>
        <w:rPr>
          <w:rFonts w:hint="eastAsia" w:ascii="仿宋_GB2312" w:hAnsi="仿宋_GB2312" w:eastAsia="仿宋_GB2312" w:cs="仿宋_GB2312"/>
          <w:sz w:val="32"/>
          <w:szCs w:val="32"/>
          <w:lang w:val="en-US" w:eastAsia="zh-CN"/>
        </w:rPr>
        <w:t>。</w:t>
      </w:r>
    </w:p>
    <w:p>
      <w:pPr>
        <w:bidi w:val="0"/>
        <w:ind w:firstLine="640" w:firstLineChars="200"/>
        <w:outlineLvl w:val="9"/>
        <w:rPr>
          <w:rFonts w:hint="default"/>
          <w:lang w:val="en-US" w:eastAsia="zh-CN"/>
        </w:rPr>
      </w:pPr>
      <w:bookmarkStart w:id="55" w:name="_Toc26035"/>
      <w:bookmarkStart w:id="56" w:name="_Toc2878"/>
      <w:r>
        <w:rPr>
          <w:rFonts w:hint="eastAsia" w:ascii="仿宋_GB2312" w:hAnsi="Calibri" w:eastAsia="仿宋_GB2312" w:cs="仿宋_GB2312"/>
          <w:kern w:val="2"/>
          <w:sz w:val="32"/>
          <w:szCs w:val="32"/>
          <w:lang w:val="en-US" w:eastAsia="zh-CN" w:bidi="ar-SA"/>
        </w:rPr>
        <w:t>4.曲忠厚在操作控制台前未对张俊强是否撬开焊点进行确认，</w:t>
      </w:r>
      <w:r>
        <w:rPr>
          <w:rFonts w:hint="eastAsia" w:eastAsia="仿宋_GB2312"/>
          <w:sz w:val="32"/>
          <w:szCs w:val="32"/>
          <w:lang w:eastAsia="zh-CN"/>
        </w:rPr>
        <w:t>违反《作业指导书》要求</w:t>
      </w:r>
      <w:r>
        <w:rPr>
          <w:rFonts w:hint="eastAsia" w:ascii="仿宋_GB2312" w:hAnsi="Calibri" w:eastAsia="仿宋_GB2312" w:cs="仿宋_GB2312"/>
          <w:kern w:val="2"/>
          <w:sz w:val="32"/>
          <w:szCs w:val="32"/>
          <w:lang w:val="en-US" w:eastAsia="zh-CN" w:bidi="ar-SA"/>
        </w:rPr>
        <w:t>在张俊强未撬开带钢焊点且未远离带钢2米以外的情况下操作控制</w:t>
      </w:r>
      <w:r>
        <w:rPr>
          <w:rFonts w:hint="eastAsia" w:ascii="仿宋_GB2312" w:hAnsi="Calibri" w:eastAsia="仿宋_GB2312" w:cs="仿宋_GB2312"/>
          <w:color w:val="000000" w:themeColor="text1"/>
          <w:kern w:val="2"/>
          <w:sz w:val="32"/>
          <w:szCs w:val="32"/>
          <w:lang w:val="en-US" w:eastAsia="zh-CN" w:bidi="ar-SA"/>
          <w14:textFill>
            <w14:solidFill>
              <w14:schemeClr w14:val="tx1"/>
            </w14:solidFill>
          </w14:textFill>
        </w:rPr>
        <w:t>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pPr>
        <w:pStyle w:val="4"/>
        <w:bidi w:val="0"/>
      </w:pPr>
      <w:bookmarkStart w:id="57" w:name="_Toc24506"/>
      <w:r>
        <w:rPr>
          <w:rFonts w:hint="eastAsia"/>
        </w:rPr>
        <w:t>（三）事故性质</w:t>
      </w:r>
      <w:bookmarkEnd w:id="55"/>
      <w:bookmarkEnd w:id="56"/>
      <w:bookmarkEnd w:id="5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事故</w:t>
      </w:r>
      <w:r>
        <w:rPr>
          <w:rFonts w:ascii="仿宋_GB2312" w:eastAsia="仿宋_GB2312" w:cs="仿宋_GB2312"/>
          <w:sz w:val="32"/>
          <w:szCs w:val="32"/>
        </w:rPr>
        <w:t>调查组认定，</w:t>
      </w:r>
      <w:r>
        <w:rPr>
          <w:rFonts w:hint="eastAsia" w:ascii="仿宋_GB2312" w:eastAsia="仿宋_GB2312"/>
          <w:sz w:val="32"/>
          <w:szCs w:val="32"/>
        </w:rPr>
        <w:t>静海区大邱庄镇</w:t>
      </w:r>
      <w:r>
        <w:rPr>
          <w:rFonts w:hint="eastAsia" w:ascii="仿宋_GB2312" w:eastAsia="仿宋_GB2312" w:cs="仿宋_GB2312"/>
          <w:sz w:val="32"/>
          <w:szCs w:val="32"/>
          <w:lang w:eastAsia="zh-CN"/>
        </w:rPr>
        <w:t>友发第二分公司</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27</w:t>
      </w:r>
      <w:r>
        <w:rPr>
          <w:rFonts w:hint="eastAsia" w:ascii="仿宋_GB2312" w:eastAsia="仿宋_GB2312" w:cs="仿宋_GB2312"/>
          <w:sz w:val="32"/>
          <w:szCs w:val="32"/>
        </w:rPr>
        <w:t>”</w:t>
      </w:r>
      <w:r>
        <w:rPr>
          <w:rFonts w:hint="eastAsia" w:ascii="仿宋_GB2312" w:eastAsia="仿宋_GB2312" w:cs="仿宋_GB2312"/>
          <w:sz w:val="32"/>
          <w:szCs w:val="32"/>
          <w:lang w:eastAsia="zh-CN"/>
        </w:rPr>
        <w:t>一般机械伤害</w:t>
      </w:r>
      <w:r>
        <w:rPr>
          <w:rFonts w:hint="eastAsia" w:ascii="仿宋_GB2312" w:eastAsia="仿宋_GB2312" w:cs="仿宋_GB2312"/>
          <w:sz w:val="32"/>
          <w:szCs w:val="32"/>
        </w:rPr>
        <w:t>事故是</w:t>
      </w:r>
      <w:r>
        <w:rPr>
          <w:rFonts w:ascii="仿宋_GB2312" w:eastAsia="仿宋_GB2312" w:cs="仿宋_GB2312"/>
          <w:sz w:val="32"/>
          <w:szCs w:val="32"/>
        </w:rPr>
        <w:t>一起生产安全责任事故。</w:t>
      </w:r>
      <w:bookmarkStart w:id="58" w:name="_Toc22280"/>
      <w:bookmarkStart w:id="59" w:name="_Toc29944"/>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sz w:val="32"/>
          <w:szCs w:val="32"/>
        </w:rPr>
      </w:pPr>
      <w:bookmarkStart w:id="60" w:name="_Toc11708"/>
      <w:r>
        <w:rPr>
          <w:rFonts w:hint="eastAsia" w:ascii="黑体" w:hAnsi="黑体" w:eastAsia="黑体" w:cs="黑体"/>
          <w:sz w:val="32"/>
          <w:szCs w:val="32"/>
        </w:rPr>
        <w:t>对事故责任单位及人员的处理建议</w:t>
      </w:r>
      <w:bookmarkEnd w:id="58"/>
      <w:bookmarkEnd w:id="59"/>
      <w:bookmarkEnd w:id="60"/>
      <w:bookmarkStart w:id="61" w:name="_Toc14798"/>
      <w:bookmarkStart w:id="62" w:name="_Toc27591"/>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220" w:leftChars="0" w:firstLine="420" w:firstLineChars="0"/>
        <w:jc w:val="left"/>
        <w:textAlignment w:val="auto"/>
        <w:outlineLvl w:val="1"/>
        <w:rPr>
          <w:rFonts w:hint="eastAsia" w:ascii="楷体" w:hAnsi="楷体" w:eastAsia="楷体" w:cs="楷体"/>
          <w:sz w:val="32"/>
          <w:szCs w:val="32"/>
          <w:lang w:eastAsia="zh-CN"/>
        </w:rPr>
      </w:pPr>
      <w:bookmarkStart w:id="63" w:name="_Toc8836"/>
      <w:r>
        <w:rPr>
          <w:rFonts w:hint="eastAsia" w:ascii="楷体" w:hAnsi="楷体" w:eastAsia="楷体" w:cs="楷体"/>
          <w:sz w:val="32"/>
          <w:szCs w:val="32"/>
          <w:lang w:eastAsia="zh-CN"/>
        </w:rPr>
        <w:t>公安机关已采取的措施</w:t>
      </w:r>
      <w:bookmarkEnd w:id="6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2023年6月8日，天津市公安局静海分局根据《中华人民共和国刑事诉讼法》第一百一十二条之规定，决定对曲忠厚过失致人死亡一案立案侦查。</w:t>
      </w:r>
    </w:p>
    <w:p>
      <w:pPr>
        <w:pStyle w:val="4"/>
        <w:bidi w:val="0"/>
      </w:pPr>
      <w:bookmarkStart w:id="64" w:name="_Toc1077"/>
      <w:r>
        <w:rPr>
          <w:rFonts w:hint="eastAsia"/>
        </w:rPr>
        <w:t>（</w:t>
      </w:r>
      <w:r>
        <w:rPr>
          <w:rFonts w:hint="eastAsia"/>
          <w:lang w:eastAsia="zh-CN"/>
        </w:rPr>
        <w:t>二</w:t>
      </w:r>
      <w:r>
        <w:t>）</w:t>
      </w:r>
      <w:r>
        <w:rPr>
          <w:rFonts w:hint="eastAsia"/>
        </w:rPr>
        <w:t>建议给予行政处罚的单位</w:t>
      </w:r>
      <w:bookmarkEnd w:id="61"/>
      <w:bookmarkEnd w:id="62"/>
      <w:bookmarkEnd w:id="64"/>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0"/>
        <w:textAlignment w:val="auto"/>
        <w:rPr>
          <w:rFonts w:ascii="仿宋_GB2312" w:hAnsi="黑体" w:eastAsia="仿宋_GB2312" w:cs="黑体"/>
          <w:sz w:val="32"/>
          <w:szCs w:val="32"/>
        </w:rPr>
      </w:pPr>
      <w:r>
        <w:rPr>
          <w:rFonts w:hint="eastAsia" w:ascii="仿宋_GB2312" w:hAnsi="黑体" w:eastAsia="仿宋_GB2312" w:cs="黑体"/>
          <w:sz w:val="32"/>
          <w:szCs w:val="32"/>
          <w:highlight w:val="none"/>
          <w:lang w:eastAsia="zh-CN"/>
        </w:rPr>
        <w:t>友发第二分公司</w:t>
      </w:r>
      <w:r>
        <w:rPr>
          <w:rFonts w:ascii="仿宋_GB2312" w:hAnsi="黑体" w:eastAsia="仿宋_GB2312" w:cs="黑体"/>
          <w:sz w:val="32"/>
          <w:szCs w:val="32"/>
          <w:highlight w:val="none"/>
        </w:rPr>
        <w:t>安全生产主体责任</w:t>
      </w:r>
      <w:r>
        <w:rPr>
          <w:rFonts w:ascii="仿宋_GB2312" w:hAnsi="黑体" w:eastAsia="仿宋_GB2312" w:cs="黑体"/>
          <w:sz w:val="32"/>
          <w:szCs w:val="32"/>
          <w:highlight w:val="none"/>
          <w:lang w:val="en"/>
        </w:rPr>
        <w:t>落实</w:t>
      </w:r>
      <w:r>
        <w:rPr>
          <w:rFonts w:hint="eastAsia" w:ascii="仿宋_GB2312" w:hAnsi="黑体" w:eastAsia="仿宋_GB2312" w:cs="黑体"/>
          <w:sz w:val="32"/>
          <w:szCs w:val="32"/>
          <w:highlight w:val="none"/>
          <w:lang w:eastAsia="zh-CN"/>
        </w:rPr>
        <w:t>不到位</w:t>
      </w:r>
      <w:r>
        <w:rPr>
          <w:rFonts w:ascii="仿宋_GB2312" w:hAnsi="黑体" w:eastAsia="仿宋_GB2312" w:cs="黑体"/>
          <w:sz w:val="32"/>
          <w:szCs w:val="32"/>
          <w:highlight w:val="none"/>
        </w:rPr>
        <w:t>，</w:t>
      </w:r>
      <w:r>
        <w:rPr>
          <w:rFonts w:hint="eastAsia" w:ascii="仿宋_GB2312" w:hAnsi="黑体" w:eastAsia="仿宋_GB2312" w:cs="黑体"/>
          <w:sz w:val="32"/>
          <w:szCs w:val="32"/>
          <w:highlight w:val="none"/>
          <w:lang w:val="en-US" w:eastAsia="zh-CN"/>
        </w:rPr>
        <w:t>安全操作规程</w:t>
      </w:r>
      <w:r>
        <w:rPr>
          <w:rFonts w:ascii="仿宋_GB2312" w:hAnsi="黑体" w:eastAsia="仿宋_GB2312" w:cs="黑体"/>
          <w:sz w:val="32"/>
          <w:szCs w:val="32"/>
        </w:rPr>
        <w:t>编制不全面</w:t>
      </w:r>
      <w:r>
        <w:rPr>
          <w:rFonts w:hint="eastAsia" w:ascii="仿宋_GB2312" w:hAnsi="黑体" w:eastAsia="仿宋_GB2312" w:cs="黑体"/>
          <w:sz w:val="32"/>
          <w:szCs w:val="32"/>
          <w:lang w:eastAsia="zh-CN"/>
        </w:rPr>
        <w:t>，</w:t>
      </w:r>
      <w:r>
        <w:rPr>
          <w:rFonts w:hint="eastAsia" w:ascii="仿宋_GB2312" w:hAnsi="黑体" w:eastAsia="仿宋_GB2312" w:cs="黑体"/>
          <w:sz w:val="32"/>
          <w:szCs w:val="32"/>
          <w:lang w:val="en-US" w:eastAsia="zh-CN"/>
        </w:rPr>
        <w:t>安全风险辨识、管控不到位</w:t>
      </w:r>
      <w:r>
        <w:rPr>
          <w:rFonts w:hint="default" w:ascii="仿宋_GB2312" w:hAnsi="黑体" w:eastAsia="仿宋_GB2312" w:cs="黑体"/>
          <w:sz w:val="32"/>
          <w:szCs w:val="32"/>
          <w:lang w:val="en" w:eastAsia="zh-CN"/>
        </w:rPr>
        <w:t>，</w:t>
      </w:r>
      <w:r>
        <w:rPr>
          <w:rFonts w:ascii="仿宋_GB2312" w:hAnsi="黑体" w:eastAsia="仿宋_GB2312" w:cs="黑体"/>
          <w:sz w:val="32"/>
          <w:szCs w:val="32"/>
        </w:rPr>
        <w:t>隐患排查落实不到位，对事故发生负有责任。依据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一百一十四条</w:t>
      </w:r>
      <w:r>
        <w:rPr>
          <w:rFonts w:hint="eastAsia" w:ascii="仿宋_GB2312" w:hAnsi="黑体" w:eastAsia="仿宋_GB2312" w:cs="黑体"/>
          <w:sz w:val="32"/>
          <w:szCs w:val="32"/>
        </w:rPr>
        <w:t>第（一）项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6"/>
      </w:r>
      <w:r>
        <w:rPr>
          <w:rStyle w:val="17"/>
          <w:rFonts w:hint="eastAsia" w:ascii="Times New Roman" w:hAnsi="Times New Roman" w:eastAsia="仿宋_GB2312"/>
          <w:sz w:val="32"/>
          <w:szCs w:val="32"/>
          <w:lang w:val="en-US" w:eastAsia="zh-CN"/>
        </w:rPr>
        <w:t>]</w:t>
      </w:r>
      <w:r>
        <w:rPr>
          <w:rFonts w:ascii="仿宋_GB2312" w:hAnsi="黑体" w:eastAsia="仿宋_GB2312" w:cs="黑体"/>
          <w:sz w:val="32"/>
          <w:szCs w:val="32"/>
        </w:rPr>
        <w:t>的规定，</w:t>
      </w:r>
      <w:r>
        <w:rPr>
          <w:rFonts w:hint="eastAsia" w:ascii="仿宋_GB2312" w:hAnsi="黑体" w:eastAsia="仿宋_GB2312" w:cs="黑体"/>
          <w:sz w:val="32"/>
          <w:szCs w:val="32"/>
        </w:rPr>
        <w:t>建议</w:t>
      </w:r>
      <w:r>
        <w:rPr>
          <w:rFonts w:ascii="仿宋_GB2312" w:hAnsi="黑体" w:eastAsia="仿宋_GB2312" w:cs="黑体"/>
          <w:sz w:val="32"/>
          <w:szCs w:val="32"/>
        </w:rPr>
        <w:t>由区应急管理局对该</w:t>
      </w:r>
      <w:r>
        <w:rPr>
          <w:rFonts w:hint="eastAsia" w:ascii="仿宋_GB2312" w:hAnsi="黑体" w:eastAsia="仿宋_GB2312" w:cs="黑体"/>
          <w:sz w:val="32"/>
          <w:szCs w:val="32"/>
        </w:rPr>
        <w:t>公司</w:t>
      </w:r>
      <w:r>
        <w:rPr>
          <w:rFonts w:hint="eastAsia" w:ascii="仿宋_GB2312" w:hAnsi="黑体" w:eastAsia="仿宋_GB2312" w:cs="黑体"/>
          <w:sz w:val="32"/>
          <w:szCs w:val="32"/>
          <w:lang w:val="en-US" w:eastAsia="zh-CN"/>
        </w:rPr>
        <w:t>处人民币49万元的</w:t>
      </w:r>
      <w:r>
        <w:rPr>
          <w:rFonts w:ascii="仿宋_GB2312" w:hAnsi="黑体" w:eastAsia="仿宋_GB2312" w:cs="黑体"/>
          <w:sz w:val="32"/>
          <w:szCs w:val="32"/>
          <w:lang w:val="en"/>
        </w:rPr>
        <w:t>罚款</w:t>
      </w:r>
      <w:r>
        <w:rPr>
          <w:rFonts w:ascii="仿宋_GB2312" w:hAnsi="黑体" w:eastAsia="仿宋_GB2312" w:cs="黑体"/>
          <w:sz w:val="32"/>
          <w:szCs w:val="32"/>
        </w:rPr>
        <w:t>。</w:t>
      </w:r>
    </w:p>
    <w:p>
      <w:pPr>
        <w:pStyle w:val="4"/>
        <w:bidi w:val="0"/>
      </w:pPr>
      <w:bookmarkStart w:id="65" w:name="_Toc189"/>
      <w:bookmarkStart w:id="66" w:name="_Toc3124"/>
      <w:bookmarkStart w:id="67" w:name="_Toc18867"/>
      <w:r>
        <w:rPr>
          <w:rFonts w:hint="eastAsia"/>
        </w:rPr>
        <w:t>（</w:t>
      </w:r>
      <w:r>
        <w:rPr>
          <w:rFonts w:hint="eastAsia"/>
          <w:lang w:eastAsia="zh-CN"/>
        </w:rPr>
        <w:t>三</w:t>
      </w:r>
      <w:r>
        <w:t>）</w:t>
      </w:r>
      <w:r>
        <w:rPr>
          <w:rFonts w:hint="eastAsia"/>
        </w:rPr>
        <w:t>建议给予行政处罚的责任人</w:t>
      </w:r>
      <w:bookmarkEnd w:id="65"/>
      <w:bookmarkEnd w:id="66"/>
      <w:bookmarkEnd w:id="6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黑体" w:eastAsia="仿宋_GB2312" w:cs="黑体"/>
          <w:sz w:val="32"/>
          <w:szCs w:val="32"/>
          <w:lang w:val="en"/>
        </w:rPr>
      </w:pPr>
      <w:r>
        <w:rPr>
          <w:rFonts w:hint="eastAsia" w:ascii="仿宋_GB2312" w:hAnsi="黑体" w:eastAsia="仿宋_GB2312" w:cs="黑体"/>
          <w:sz w:val="32"/>
          <w:szCs w:val="32"/>
          <w:lang w:val="en-US" w:eastAsia="zh-CN"/>
        </w:rPr>
        <w:t>徐利作为友发第二分公司的主要负责人，</w:t>
      </w:r>
      <w:r>
        <w:rPr>
          <w:rFonts w:hint="eastAsia" w:ascii="仿宋_GB2312" w:hAnsi="黑体" w:eastAsia="仿宋_GB2312" w:cs="黑体"/>
          <w:sz w:val="32"/>
          <w:szCs w:val="32"/>
        </w:rPr>
        <w:t>未履行《中华人民共和国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二十一条第（</w:t>
      </w:r>
      <w:r>
        <w:rPr>
          <w:rFonts w:hint="eastAsia" w:ascii="仿宋_GB2312" w:hAnsi="黑体" w:eastAsia="仿宋_GB2312" w:cs="黑体"/>
          <w:sz w:val="32"/>
          <w:szCs w:val="32"/>
        </w:rPr>
        <w:t>五</w:t>
      </w:r>
      <w:r>
        <w:rPr>
          <w:rFonts w:ascii="仿宋_GB2312" w:hAnsi="黑体" w:eastAsia="仿宋_GB2312" w:cs="黑体"/>
          <w:sz w:val="32"/>
          <w:szCs w:val="32"/>
        </w:rPr>
        <w:t>）</w:t>
      </w:r>
      <w:r>
        <w:rPr>
          <w:rFonts w:hint="eastAsia" w:ascii="仿宋_GB2312" w:hAnsi="黑体" w:eastAsia="仿宋_GB2312" w:cs="黑体"/>
          <w:sz w:val="32"/>
          <w:szCs w:val="32"/>
        </w:rPr>
        <w:t>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kern w:val="2"/>
          <w:sz w:val="32"/>
          <w:szCs w:val="32"/>
          <w:lang w:val="en-US" w:eastAsia="zh-CN" w:bidi="ar-SA"/>
        </w:rPr>
        <w:footnoteReference w:id="7"/>
      </w:r>
      <w:r>
        <w:rPr>
          <w:rStyle w:val="17"/>
          <w:rFonts w:hint="eastAsia" w:ascii="Times New Roman" w:hAnsi="Times New Roman" w:eastAsia="仿宋_GB2312"/>
          <w:sz w:val="32"/>
          <w:szCs w:val="32"/>
          <w:lang w:val="en-US" w:eastAsia="zh-CN"/>
        </w:rPr>
        <w:t>]</w:t>
      </w:r>
      <w:r>
        <w:rPr>
          <w:rFonts w:hint="eastAsia" w:ascii="仿宋_GB2312" w:hAnsi="黑体" w:eastAsia="仿宋_GB2312" w:cs="黑体"/>
          <w:sz w:val="32"/>
          <w:szCs w:val="32"/>
          <w:lang w:eastAsia="zh-CN"/>
        </w:rPr>
        <w:t>的安全生产管理职责，</w:t>
      </w:r>
      <w:r>
        <w:rPr>
          <w:rFonts w:hint="eastAsia" w:ascii="Times New Roman" w:hAnsi="Times New Roman" w:eastAsia="仿宋_GB2312" w:cs="Times New Roman"/>
          <w:sz w:val="32"/>
          <w:szCs w:val="32"/>
          <w:lang w:eastAsia="zh-CN"/>
        </w:rPr>
        <w:t>未及时消除生产安全事故隐患，</w:t>
      </w:r>
      <w:r>
        <w:rPr>
          <w:rFonts w:hint="eastAsia" w:eastAsia="仿宋_GB2312"/>
          <w:sz w:val="32"/>
          <w:szCs w:val="32"/>
          <w:lang w:eastAsia="zh-CN"/>
        </w:rPr>
        <w:t>对事故发生负有责任。</w:t>
      </w:r>
      <w:r>
        <w:rPr>
          <w:rFonts w:ascii="Times New Roman" w:hAnsi="Times New Roman" w:eastAsia="仿宋_GB2312" w:cs="Times New Roman"/>
          <w:sz w:val="32"/>
          <w:szCs w:val="32"/>
        </w:rPr>
        <w:t>依据《中华人民共和国安全生产法》</w:t>
      </w:r>
      <w:r>
        <w:rPr>
          <w:rFonts w:hint="eastAsia" w:ascii="仿宋_GB2312" w:hAnsi="Times New Roman" w:eastAsia="仿宋_GB2312" w:cs="仿宋_GB2312"/>
          <w:sz w:val="32"/>
          <w:szCs w:val="32"/>
          <w:lang w:val="en-US" w:eastAsia="zh-CN"/>
        </w:rPr>
        <w:t>第九十五条第（一）项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sz w:val="32"/>
          <w:szCs w:val="32"/>
          <w:lang w:val="en-US" w:eastAsia="zh-CN"/>
        </w:rPr>
        <w:footnoteReference w:id="8"/>
      </w:r>
      <w:r>
        <w:rPr>
          <w:rStyle w:val="17"/>
          <w:rFonts w:hint="eastAsia" w:ascii="Times New Roman" w:hAnsi="Times New Roman" w:eastAsia="仿宋_GB2312"/>
          <w:sz w:val="32"/>
          <w:szCs w:val="32"/>
          <w:lang w:val="en-US" w:eastAsia="zh-CN"/>
        </w:rPr>
        <w:t>]</w:t>
      </w:r>
      <w:r>
        <w:rPr>
          <w:rFonts w:hint="eastAsia" w:ascii="仿宋_GB2312" w:hAnsi="Times New Roman" w:eastAsia="仿宋_GB2312" w:cs="仿宋_GB2312"/>
          <w:sz w:val="32"/>
          <w:szCs w:val="32"/>
          <w:lang w:val="en-US" w:eastAsia="zh-CN"/>
        </w:rPr>
        <w:t>的规定</w:t>
      </w:r>
      <w:r>
        <w:rPr>
          <w:rFonts w:hint="eastAsia" w:ascii="仿宋_GB2312" w:hAnsi="黑体" w:eastAsia="仿宋_GB2312" w:cs="黑体"/>
          <w:sz w:val="32"/>
          <w:szCs w:val="32"/>
          <w:lang w:eastAsia="zh-CN"/>
        </w:rPr>
        <w:t>，</w:t>
      </w:r>
      <w:r>
        <w:rPr>
          <w:rFonts w:eastAsia="仿宋_GB2312"/>
          <w:sz w:val="32"/>
          <w:szCs w:val="32"/>
        </w:rPr>
        <w:t>建议由区应急管理局对</w:t>
      </w:r>
      <w:r>
        <w:rPr>
          <w:rFonts w:hint="eastAsia" w:eastAsia="仿宋_GB2312"/>
          <w:sz w:val="32"/>
          <w:szCs w:val="32"/>
          <w:lang w:eastAsia="zh-CN"/>
        </w:rPr>
        <w:t>徐利处</w:t>
      </w:r>
      <w:r>
        <w:rPr>
          <w:rFonts w:eastAsia="仿宋_GB2312"/>
          <w:sz w:val="32"/>
          <w:szCs w:val="32"/>
        </w:rPr>
        <w:t>上一年年收入</w:t>
      </w:r>
      <w:r>
        <w:rPr>
          <w:rFonts w:hint="eastAsia" w:ascii="仿宋_GB2312" w:hAnsi="Times New Roman" w:eastAsia="仿宋_GB2312" w:cs="仿宋_GB2312"/>
          <w:sz w:val="32"/>
          <w:szCs w:val="32"/>
          <w:lang w:val="en-US" w:eastAsia="zh-CN"/>
        </w:rPr>
        <w:t>40%</w:t>
      </w:r>
      <w:r>
        <w:rPr>
          <w:rFonts w:eastAsia="仿宋_GB2312"/>
          <w:sz w:val="32"/>
          <w:szCs w:val="32"/>
        </w:rPr>
        <w:t>的罚款</w:t>
      </w:r>
      <w:r>
        <w:rPr>
          <w:rFonts w:hint="eastAsia" w:eastAsia="仿宋_GB2312"/>
          <w:sz w:val="32"/>
          <w:szCs w:val="32"/>
          <w:lang w:eastAsia="zh-CN"/>
        </w:rPr>
        <w:t>，</w:t>
      </w:r>
      <w:r>
        <w:rPr>
          <w:rFonts w:hint="eastAsia" w:ascii="仿宋_GB2312" w:hAnsi="黑体" w:eastAsia="仿宋_GB2312" w:cs="黑体"/>
          <w:sz w:val="32"/>
          <w:szCs w:val="32"/>
          <w:lang w:val="en-US" w:eastAsia="zh-CN"/>
        </w:rPr>
        <w:t>处</w:t>
      </w:r>
      <w:r>
        <w:rPr>
          <w:rFonts w:hint="eastAsia" w:eastAsia="仿宋_GB2312"/>
          <w:sz w:val="32"/>
          <w:szCs w:val="32"/>
          <w:lang w:eastAsia="zh-CN"/>
        </w:rPr>
        <w:t>人</w:t>
      </w:r>
      <w:r>
        <w:rPr>
          <w:rFonts w:hint="eastAsia" w:ascii="仿宋_GB2312" w:hAnsi="黑体" w:eastAsia="仿宋_GB2312" w:cs="黑体"/>
          <w:sz w:val="32"/>
          <w:szCs w:val="32"/>
          <w:lang w:eastAsia="zh-CN"/>
        </w:rPr>
        <w:t>民币</w:t>
      </w:r>
      <w:r>
        <w:rPr>
          <w:rFonts w:hint="eastAsia" w:ascii="仿宋_GB2312" w:hAnsi="黑体" w:eastAsia="仿宋_GB2312" w:cs="黑体"/>
          <w:sz w:val="32"/>
          <w:szCs w:val="32"/>
          <w:lang w:val="en-US" w:eastAsia="zh-CN"/>
        </w:rPr>
        <w:t>5.448万元的</w:t>
      </w:r>
      <w:r>
        <w:rPr>
          <w:rFonts w:ascii="仿宋_GB2312" w:hAnsi="黑体" w:eastAsia="仿宋_GB2312" w:cs="黑体"/>
          <w:sz w:val="32"/>
          <w:szCs w:val="32"/>
          <w:lang w:val="en"/>
        </w:rPr>
        <w:t>罚款</w:t>
      </w:r>
      <w:r>
        <w:rPr>
          <w:rFonts w:hint="eastAsia" w:ascii="仿宋_GB2312" w:hAnsi="黑体" w:eastAsia="仿宋_GB2312" w:cs="黑体"/>
          <w:sz w:val="32"/>
          <w:szCs w:val="32"/>
        </w:rPr>
        <w:t>。</w:t>
      </w:r>
    </w:p>
    <w:p>
      <w:pPr>
        <w:pStyle w:val="3"/>
        <w:bidi w:val="0"/>
        <w:rPr>
          <w:rFonts w:hint="eastAsia"/>
        </w:rPr>
      </w:pPr>
      <w:r>
        <w:rPr>
          <w:rFonts w:hint="eastAsia"/>
          <w:lang w:val="en-US" w:eastAsia="zh-CN"/>
        </w:rPr>
        <w:t xml:space="preserve"> </w:t>
      </w:r>
      <w:bookmarkStart w:id="68" w:name="_Toc1104"/>
      <w:bookmarkStart w:id="69" w:name="_Toc31100"/>
      <w:bookmarkStart w:id="70" w:name="_Toc22812"/>
      <w:r>
        <w:rPr>
          <w:rFonts w:hint="eastAsia"/>
          <w:lang w:eastAsia="zh-CN"/>
        </w:rPr>
        <w:t>六、</w:t>
      </w:r>
      <w:r>
        <w:t>事故防范和整改措施</w:t>
      </w:r>
      <w:r>
        <w:rPr>
          <w:rFonts w:hint="eastAsia"/>
        </w:rPr>
        <w:t>建议</w:t>
      </w:r>
      <w:bookmarkEnd w:id="68"/>
      <w:bookmarkEnd w:id="69"/>
      <w:bookmarkEnd w:id="70"/>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sz w:val="32"/>
          <w:szCs w:val="32"/>
          <w:lang w:eastAsia="zh-CN"/>
        </w:rPr>
      </w:pPr>
      <w:r>
        <w:rPr>
          <w:rFonts w:hint="eastAsia" w:eastAsia="仿宋_GB2312"/>
          <w:sz w:val="32"/>
          <w:szCs w:val="32"/>
          <w:lang w:eastAsia="zh-CN"/>
        </w:rPr>
        <w:t>友发第二分公司</w:t>
      </w:r>
      <w:r>
        <w:rPr>
          <w:rFonts w:eastAsia="仿宋_GB2312"/>
          <w:sz w:val="32"/>
          <w:szCs w:val="32"/>
        </w:rPr>
        <w:t>要严格遵守《中华人民共和国安全生产法》</w:t>
      </w:r>
      <w:r>
        <w:rPr>
          <w:rFonts w:hint="eastAsia" w:ascii="Times New Roman" w:hAnsi="Times New Roman" w:eastAsia="仿宋_GB2312" w:cs="Times New Roman"/>
          <w:sz w:val="32"/>
          <w:szCs w:val="32"/>
          <w:lang w:val="en-US" w:eastAsia="zh-CN"/>
        </w:rPr>
        <w:t>《天津市生产经营单位安全生产主体责任规定》</w:t>
      </w:r>
      <w:r>
        <w:rPr>
          <w:rFonts w:eastAsia="仿宋_GB2312"/>
          <w:sz w:val="32"/>
          <w:szCs w:val="32"/>
        </w:rPr>
        <w:t>等法律法规的要求，全面落实安全生产主体责任，加强安全管理</w:t>
      </w:r>
      <w:r>
        <w:rPr>
          <w:rFonts w:hint="eastAsia" w:eastAsia="仿宋_GB2312"/>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黑体" w:eastAsia="仿宋_GB2312" w:cs="黑体"/>
          <w:sz w:val="32"/>
          <w:szCs w:val="32"/>
          <w:lang w:val="en-US" w:eastAsia="zh-CN"/>
        </w:rPr>
        <w:t>1.结合本单位生产工艺流程修订安全操作规程，制定与现有生产线相匹配的安全操作规程、明确各岗位</w:t>
      </w:r>
      <w:r>
        <w:rPr>
          <w:rFonts w:hint="eastAsia" w:ascii="仿宋_GB2312" w:eastAsia="仿宋_GB2312"/>
          <w:sz w:val="32"/>
          <w:szCs w:val="32"/>
          <w:lang w:val="en-US" w:eastAsia="zh-CN"/>
        </w:rPr>
        <w:t>间如何衔接配合</w:t>
      </w:r>
      <w:r>
        <w:rPr>
          <w:rFonts w:hint="eastAsia" w:ascii="仿宋_GB2312" w:hAnsi="黑体" w:eastAsia="仿宋_GB2312" w:cs="黑体"/>
          <w:sz w:val="32"/>
          <w:szCs w:val="32"/>
          <w:lang w:val="en-US" w:eastAsia="zh-CN"/>
        </w:rPr>
        <w:t>等安全操作要求；明确撬料作业时操作控制台的</w:t>
      </w:r>
      <w:r>
        <w:rPr>
          <w:rFonts w:hint="eastAsia" w:ascii="仿宋_GB2312" w:hAnsi="仿宋_GB2312" w:eastAsia="仿宋_GB2312" w:cs="仿宋_GB2312"/>
          <w:sz w:val="32"/>
          <w:szCs w:val="32"/>
          <w:lang w:val="en-US" w:eastAsia="zh-CN"/>
        </w:rPr>
        <w:t>禁止事项以及紧急情况现场处置措施等内容；要及时修订《安全操作规程》中使用插杠、拉盘作业等与实际生产工艺不符的</w:t>
      </w:r>
      <w:r>
        <w:rPr>
          <w:rFonts w:hint="default" w:ascii="仿宋_GB2312" w:hAnsi="仿宋_GB2312" w:eastAsia="仿宋_GB2312" w:cs="仿宋_GB2312"/>
          <w:sz w:val="32"/>
          <w:szCs w:val="32"/>
          <w:lang w:val="en" w:eastAsia="zh-CN"/>
        </w:rPr>
        <w:t>内容</w:t>
      </w:r>
      <w:r>
        <w:rPr>
          <w:rFonts w:hint="eastAsia" w:ascii="仿宋_GB2312" w:hAnsi="仿宋_GB2312" w:eastAsia="仿宋_GB2312" w:cs="仿宋_GB2312"/>
          <w:sz w:val="32"/>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2.</w:t>
      </w:r>
      <w:r>
        <w:rPr>
          <w:rFonts w:hint="eastAsia" w:ascii="仿宋_GB2312" w:hAnsi="仿宋_GB2312" w:eastAsia="仿宋_GB2312" w:cs="仿宋_GB2312"/>
          <w:sz w:val="32"/>
          <w:szCs w:val="32"/>
          <w:lang w:val="en-US" w:eastAsia="zh-CN"/>
        </w:rPr>
        <w:t>全方位、全过程辨识生产工艺存在的安全风险和危害因素，对高频焊机组上料区存在的危险因素重新辨识，对辨识出的全部安全风险进行分类管理，落实生产经营单位、车间、班组和岗位的管控责任；制作岗位安全风险告知卡，对从业人员进行教育和培训。</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黑体" w:eastAsia="仿宋_GB2312" w:cs="黑体"/>
          <w:sz w:val="32"/>
          <w:szCs w:val="32"/>
          <w:lang w:val="en-US" w:eastAsia="zh-CN"/>
        </w:rPr>
      </w:pPr>
      <w:r>
        <w:rPr>
          <w:rFonts w:hint="eastAsia" w:ascii="仿宋_GB2312" w:hAnsi="仿宋_GB2312" w:eastAsia="仿宋_GB2312" w:cs="仿宋_GB2312"/>
          <w:sz w:val="32"/>
          <w:szCs w:val="32"/>
          <w:lang w:val="en-US" w:eastAsia="zh-CN"/>
        </w:rPr>
        <w:t>3.严格落实</w:t>
      </w:r>
      <w:r>
        <w:rPr>
          <w:rFonts w:hint="eastAsia" w:ascii="仿宋_GB2312" w:hAnsi="黑体" w:eastAsia="仿宋_GB2312" w:cs="黑体"/>
          <w:sz w:val="32"/>
          <w:szCs w:val="32"/>
          <w:lang w:val="en-US" w:eastAsia="zh-CN"/>
        </w:rPr>
        <w:t>隐患排查治理</w:t>
      </w:r>
      <w:r>
        <w:rPr>
          <w:rFonts w:ascii="Times New Roman" w:hAnsi="Times New Roman" w:eastAsia="仿宋_GB2312"/>
          <w:sz w:val="32"/>
          <w:szCs w:val="32"/>
        </w:rPr>
        <w:t>工作机制，</w:t>
      </w:r>
      <w:r>
        <w:rPr>
          <w:rFonts w:hint="eastAsia" w:ascii="Times New Roman" w:hAnsi="Times New Roman" w:eastAsia="仿宋_GB2312"/>
          <w:sz w:val="32"/>
          <w:szCs w:val="32"/>
          <w:lang w:eastAsia="zh-CN"/>
        </w:rPr>
        <w:t>结合该公司制定的《隐患排查治理专篇》《安全、环保奖惩制度细则》《作业指导书》有针对性地</w:t>
      </w:r>
      <w:r>
        <w:rPr>
          <w:rFonts w:hint="eastAsia" w:ascii="仿宋_GB2312" w:hAnsi="黑体" w:eastAsia="仿宋_GB2312" w:cs="黑体"/>
          <w:sz w:val="32"/>
          <w:szCs w:val="32"/>
          <w:lang w:val="en-US" w:eastAsia="zh-CN"/>
        </w:rPr>
        <w:t>开展隐患排查治理工作，将排</w:t>
      </w:r>
      <w:r>
        <w:rPr>
          <w:rFonts w:hint="default" w:ascii="仿宋_GB2312" w:hAnsi="黑体" w:eastAsia="仿宋_GB2312" w:cs="黑体"/>
          <w:sz w:val="32"/>
          <w:szCs w:val="32"/>
          <w:lang w:val="en" w:eastAsia="zh-CN"/>
        </w:rPr>
        <w:t>查</w:t>
      </w:r>
      <w:r>
        <w:rPr>
          <w:rFonts w:hint="eastAsia" w:ascii="仿宋_GB2312" w:hAnsi="黑体" w:eastAsia="仿宋_GB2312" w:cs="黑体"/>
          <w:sz w:val="32"/>
          <w:szCs w:val="32"/>
          <w:lang w:val="en-US" w:eastAsia="zh-CN"/>
        </w:rPr>
        <w:t>出来的事故隐患及时完成整改，对发现的违章作业及时制止、纠正。</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sz w:val="32"/>
          <w:szCs w:val="32"/>
          <w:lang w:val="en-US" w:eastAsia="zh-CN"/>
        </w:rPr>
      </w:pPr>
      <w:r>
        <w:rPr>
          <w:rFonts w:hint="eastAsia" w:ascii="仿宋_GB2312" w:hAnsi="黑体" w:eastAsia="仿宋_GB2312" w:cs="黑体"/>
          <w:sz w:val="32"/>
          <w:szCs w:val="32"/>
          <w:lang w:val="en-US" w:eastAsia="zh-CN"/>
        </w:rPr>
        <w:t xml:space="preserve">    4.认真组织实施本单位安全培训工作，</w:t>
      </w:r>
      <w:r>
        <w:rPr>
          <w:rFonts w:hint="eastAsia" w:ascii="仿宋_GB2312" w:hAnsi="仿宋_GB2312" w:eastAsia="仿宋_GB2312" w:cs="仿宋_GB2312"/>
          <w:sz w:val="32"/>
          <w:szCs w:val="32"/>
          <w:lang w:val="en-US" w:eastAsia="zh-CN"/>
        </w:rPr>
        <w:t>对从业人员开展岗位安全操作规程培训和考核，</w:t>
      </w:r>
      <w:r>
        <w:rPr>
          <w:rFonts w:hint="eastAsia" w:ascii="仿宋_GB2312" w:hAnsi="黑体" w:eastAsia="仿宋_GB2312" w:cs="黑体"/>
          <w:sz w:val="32"/>
          <w:szCs w:val="32"/>
          <w:lang w:val="en-US" w:eastAsia="zh-CN"/>
        </w:rPr>
        <w:t>保证从业人员具备必要的安全生产知识，熟悉、遵守安全操作规程，掌握本岗位的安全操作技能，</w:t>
      </w:r>
      <w:r>
        <w:rPr>
          <w:rFonts w:hint="eastAsia" w:ascii="仿宋_GB2312" w:hAnsi="仿宋_GB2312" w:eastAsia="仿宋_GB2312" w:cs="仿宋_GB2312"/>
          <w:sz w:val="32"/>
          <w:szCs w:val="32"/>
          <w:lang w:val="en-US" w:eastAsia="zh-CN"/>
        </w:rPr>
        <w:t>经考核合格后，方可上岗作业，并建立健全从业人员安全教育和培训档案。</w:t>
      </w:r>
    </w:p>
    <w:sectPr>
      <w:footerReference r:id="rId9" w:type="default"/>
      <w:pgSz w:w="11906" w:h="16838"/>
      <w:pgMar w:top="2041" w:right="1559" w:bottom="1701" w:left="1559" w:header="851" w:footer="170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8"/>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swiss"/>
    <w:pitch w:val="default"/>
    <w:sig w:usb0="00000000" w:usb1="0000000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6"/>
      </w:rPr>
    </w:pPr>
    <w:r>
      <w:fldChar w:fldCharType="begin"/>
    </w:r>
    <w:r>
      <w:rPr>
        <w:rStyle w:val="16"/>
      </w:rPr>
      <w:instrText xml:space="preserve">PAGE  </w:instrText>
    </w:r>
    <w:r>
      <w:fldChar w:fldCharType="end"/>
    </w:r>
  </w:p>
  <w:p>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7"/>
                            <w:rPr>
                              <w:rStyle w:val="16"/>
                              <w:sz w:val="28"/>
                              <w:szCs w:val="28"/>
                            </w:rPr>
                          </w:pPr>
                          <w:r>
                            <w:rPr>
                              <w:rFonts w:hint="eastAsia" w:ascii="宋体" w:hAnsi="宋体" w:cs="宋体"/>
                              <w:sz w:val="28"/>
                              <w:szCs w:val="28"/>
                            </w:rPr>
                            <w:fldChar w:fldCharType="begin"/>
                          </w:r>
                          <w:r>
                            <w:rPr>
                              <w:rStyle w:val="16"/>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6"/>
                              <w:rFonts w:ascii="宋体" w:hAnsi="宋体" w:cs="宋体"/>
                              <w:sz w:val="28"/>
                              <w:szCs w:val="28"/>
                            </w:rPr>
                            <w:t>- 1 -</w:t>
                          </w:r>
                          <w:r>
                            <w:rPr>
                              <w:rFonts w:hint="eastAsia" w:ascii="宋体" w:hAnsi="宋体" w:cs="宋体"/>
                              <w:sz w:val="28"/>
                              <w:szCs w:val="28"/>
                            </w:rPr>
                            <w:fldChar w:fldCharType="end"/>
                          </w:r>
                        </w:p>
                      </w:txbxContent>
                    </wps:txbx>
                    <wps:bodyPr wrap="none" lIns="0" tIns="0" rIns="0" bIns="0" upright="true">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EExHRLQBAABUAwAADgAAAAAAAAABACAAAAA0AQAAZHJzL2Uyb0Rv&#10;Yy54bWxQSwUGAAAAAAYABgBZAQAAWgUAAAAA&#10;">
              <v:fill on="f" focussize="0,0"/>
              <v:stroke on="f"/>
              <v:imagedata o:title=""/>
              <o:lock v:ext="edit" aspectratio="f"/>
              <v:textbox inset="0mm,0mm,0mm,0mm" style="mso-fit-shape-to-text:t;">
                <w:txbxContent>
                  <w:p>
                    <w:pPr>
                      <w:pStyle w:val="7"/>
                      <w:rPr>
                        <w:rStyle w:val="16"/>
                        <w:sz w:val="28"/>
                        <w:szCs w:val="28"/>
                      </w:rPr>
                    </w:pPr>
                    <w:r>
                      <w:rPr>
                        <w:rFonts w:hint="eastAsia" w:ascii="宋体" w:hAnsi="宋体" w:cs="宋体"/>
                        <w:sz w:val="28"/>
                        <w:szCs w:val="28"/>
                      </w:rPr>
                      <w:fldChar w:fldCharType="begin"/>
                    </w:r>
                    <w:r>
                      <w:rPr>
                        <w:rStyle w:val="16"/>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6"/>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《作业指导书》</w:t>
      </w:r>
      <w:r>
        <w:rPr>
          <w:rFonts w:hint="eastAsia"/>
          <w:lang w:eastAsia="zh-CN"/>
        </w:rPr>
        <w:t>：</w:t>
      </w:r>
      <w:r>
        <w:rPr>
          <w:rFonts w:hint="eastAsia"/>
        </w:rPr>
        <w:t>上料开卷技术要求，要求操作人员戴好护目镜，待撬头人员远离带钢2m以外后，方可操作；</w:t>
      </w:r>
    </w:p>
  </w:footnote>
  <w:footnote w:id="1">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《天津市生产经营单位安全生产主体责任规定》第十三条  生产经营单位的主要负责人应当依照法律、法规、规章和标准，结合本单位生产工艺流程、技术设备特点以及岗位作业安全风险等情况，组织制定安全生产操作规程。安全生产操作规程应当覆盖本单位生产经营的全部作业活动，并明确安全操作要求、作业环境要求、作业防护要求、禁止事项、紧急情况现场处置措施等内容。</w:t>
      </w:r>
    </w:p>
  </w:footnote>
  <w:footnote w:id="2">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《中华人民共和国安全生产法》第四十一条　生产经营单位应当建立安全风险分级管控制度，按照安全风险分级采取相应的管控措施。</w:t>
      </w:r>
    </w:p>
  </w:footnote>
  <w:footnote w:id="3">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《天津市生产经营单位安全生产主体责任规定》第二十条 生产经营单位应当履行下列安全风险分级管控责任：</w:t>
      </w:r>
    </w:p>
    <w:p>
      <w:pPr>
        <w:pStyle w:val="10"/>
        <w:snapToGrid w:val="0"/>
        <w:rPr>
          <w:rFonts w:hint="eastAsia"/>
        </w:rPr>
      </w:pPr>
      <w:r>
        <w:rPr>
          <w:rFonts w:hint="eastAsia"/>
        </w:rPr>
        <w:t>（二）全方位、全过程辨识生产工艺、设备设施、作业环境、人员行为和管理体系等方面存在的安全风险，做到系统、全面、无遗漏，并持续更新完善；</w:t>
      </w:r>
    </w:p>
    <w:p>
      <w:pPr>
        <w:pStyle w:val="10"/>
        <w:snapToGrid w:val="0"/>
        <w:rPr>
          <w:rFonts w:hint="eastAsia"/>
        </w:rPr>
      </w:pPr>
      <w:r>
        <w:rPr>
          <w:rFonts w:hint="eastAsia"/>
        </w:rPr>
        <w:t>（三）对辨识出的安全风险进行分类，按照国家相关标准规范确定安全风险类别和等级；</w:t>
      </w:r>
    </w:p>
  </w:footnote>
  <w:footnote w:id="4">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《中华人民共和国安全生产法》第四十一条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5">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《天津市生产经营单位安全生产主体责任规定》第二十一条 生产经营单位应当履行下列隐患排查治理责任：</w:t>
      </w:r>
    </w:p>
    <w:p>
      <w:pPr>
        <w:pStyle w:val="10"/>
        <w:snapToGrid w:val="0"/>
        <w:rPr>
          <w:rFonts w:hint="eastAsia"/>
        </w:rPr>
      </w:pPr>
      <w:r>
        <w:rPr>
          <w:rFonts w:hint="eastAsia"/>
        </w:rPr>
        <w:t>（四）对于一般事故隐患立即组织整改，对于重大事故隐患制定并实施事故隐患整改方案，设置警戒标识，采取应急措施，公示事故隐患的危害程度、影响范围，并落实整改措施、责任、资金、时限和事故应急预案，按期完成整改，确保隐患消除；</w:t>
      </w:r>
    </w:p>
  </w:footnote>
  <w:footnote w:id="6">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《中华人民共和国安全生产法》</w:t>
      </w:r>
      <w:r>
        <w:rPr>
          <w:rFonts w:hint="default"/>
        </w:rPr>
        <w:t>第一百一十四条　发生生产安全事故，对负有责任的生产经营单位除要求其依法承担相应的赔偿等责任外，由应急管理部门依照下列规定处以罚款:</w:t>
      </w:r>
    </w:p>
    <w:p>
      <w:pPr>
        <w:pStyle w:val="10"/>
        <w:snapToGrid w:val="0"/>
      </w:pPr>
      <w:r>
        <w:rPr>
          <w:rFonts w:hint="default"/>
        </w:rPr>
        <w:t>（一）发生一般事故的，处三十万元以上一百万元以下的罚款；</w:t>
      </w:r>
    </w:p>
  </w:footnote>
  <w:footnote w:id="7">
    <w:p>
      <w:pPr>
        <w:pStyle w:val="10"/>
        <w:snapToGrid w:val="0"/>
        <w:rPr>
          <w:rFonts w:hint="eastAsia"/>
        </w:rPr>
      </w:pPr>
      <w:r>
        <w:rPr>
          <w:rFonts w:hint="eastAsia"/>
          <w:lang w:val="en-US" w:eastAsia="zh-CN"/>
        </w:rPr>
        <w:t>[</w:t>
      </w:r>
      <w:r>
        <w:rPr>
          <w:rFonts w:hint="default"/>
        </w:rPr>
        <w:footnoteRef/>
      </w:r>
      <w:r>
        <w:rPr>
          <w:rFonts w:hint="eastAsia"/>
          <w:lang w:val="en-US" w:eastAsia="zh-CN"/>
        </w:rPr>
        <w:t>]</w:t>
      </w:r>
      <w:r>
        <w:rPr>
          <w:rFonts w:hint="default"/>
        </w:rPr>
        <w:t xml:space="preserve"> 《中华人民共和国安全生产法》</w:t>
      </w:r>
      <w:r>
        <w:rPr>
          <w:rFonts w:hint="eastAsia"/>
        </w:rPr>
        <w:t>第二十一条　生产经营单位的主要负责人对本单位安全生产工作负有下列职责:</w:t>
      </w:r>
    </w:p>
    <w:p>
      <w:pPr>
        <w:pStyle w:val="10"/>
        <w:snapToGrid w:val="0"/>
        <w:rPr>
          <w:rFonts w:hint="eastAsia" w:eastAsia="微软雅黑"/>
          <w:lang w:val="en-US" w:eastAsia="zh-CN"/>
        </w:rPr>
      </w:pPr>
      <w:r>
        <w:rPr>
          <w:rFonts w:hint="eastAsia"/>
        </w:rPr>
        <w:t>（五）组织建立并落实安全风险分级管控和隐患排查治理双重预防工作机制，督促、检查本单位的安全生产工作，及时消除生产安全事故隐患；</w:t>
      </w:r>
    </w:p>
  </w:footnote>
  <w:footnote w:id="8">
    <w:p>
      <w:pPr>
        <w:pStyle w:val="10"/>
        <w:snapToGrid w:val="0"/>
        <w:rPr>
          <w:rFonts w:hint="eastAsia"/>
        </w:rPr>
      </w:pPr>
      <w:r>
        <w:rPr>
          <w:rFonts w:hint="eastAsia"/>
          <w:lang w:val="en-US" w:eastAsia="zh-CN"/>
        </w:rPr>
        <w:t>[</w:t>
      </w:r>
      <w:r>
        <w:rPr>
          <w:rFonts w:hint="default"/>
        </w:rPr>
        <w:footnoteRef/>
      </w:r>
      <w:r>
        <w:rPr>
          <w:rFonts w:hint="eastAsia"/>
          <w:lang w:val="en-US" w:eastAsia="zh-CN"/>
        </w:rPr>
        <w:t>]</w:t>
      </w:r>
      <w:r>
        <w:rPr>
          <w:rFonts w:hint="default"/>
        </w:rPr>
        <w:t xml:space="preserve"> 《中华人民共和国安全生产法》</w:t>
      </w:r>
      <w:r>
        <w:rPr>
          <w:rFonts w:hint="eastAsia"/>
        </w:rPr>
        <w:t>第九十五条　生产经营单位的主要负责人未履行本法规定的安全生产管理职责，导致发生生产安全事故的，由应急管理部门依照下列规定处以罚款:</w:t>
      </w:r>
    </w:p>
    <w:p>
      <w:pPr>
        <w:pStyle w:val="10"/>
        <w:snapToGrid w:val="0"/>
        <w:rPr>
          <w:rFonts w:hint="eastAsia"/>
        </w:rPr>
      </w:pPr>
      <w:r>
        <w:rPr>
          <w:rFonts w:hint="eastAsia"/>
        </w:rPr>
        <w:t>（一）发生一般事故的，处上一年年收入百分之四十的罚款；</w:t>
      </w:r>
    </w:p>
    <w:p>
      <w:pPr>
        <w:pStyle w:val="10"/>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17F552"/>
    <w:multiLevelType w:val="singleLevel"/>
    <w:tmpl w:val="C117F552"/>
    <w:lvl w:ilvl="0" w:tentative="0">
      <w:start w:val="1"/>
      <w:numFmt w:val="chineseCounting"/>
      <w:suff w:val="nothing"/>
      <w:lvlText w:val="（%1）"/>
      <w:lvlJc w:val="left"/>
      <w:pPr>
        <w:ind w:left="200"/>
      </w:pPr>
      <w:rPr>
        <w:rFonts w:hint="eastAsia"/>
      </w:rPr>
    </w:lvl>
  </w:abstractNum>
  <w:abstractNum w:abstractNumId="1">
    <w:nsid w:val="E082E7ED"/>
    <w:multiLevelType w:val="singleLevel"/>
    <w:tmpl w:val="E082E7ED"/>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footnotePr>
    <w:footnote w:id="18"/>
    <w:footnote w:id="1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yNzJiYzdlMjEwYmE1MjhlNmJhYjc5MTcxYjJjYzI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D66F9"/>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0697"/>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558DE"/>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3986"/>
    <w:rsid w:val="0069653D"/>
    <w:rsid w:val="00697394"/>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10CF"/>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B6D7D"/>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329F"/>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0241A"/>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043AB8"/>
    <w:rsid w:val="01141316"/>
    <w:rsid w:val="01973B44"/>
    <w:rsid w:val="01F3041C"/>
    <w:rsid w:val="0200793B"/>
    <w:rsid w:val="034F46D6"/>
    <w:rsid w:val="039853B6"/>
    <w:rsid w:val="03B804CE"/>
    <w:rsid w:val="03FF3601"/>
    <w:rsid w:val="03FF56E1"/>
    <w:rsid w:val="047B14FB"/>
    <w:rsid w:val="04AC4FFA"/>
    <w:rsid w:val="04AE367F"/>
    <w:rsid w:val="051A51B8"/>
    <w:rsid w:val="052B4CCF"/>
    <w:rsid w:val="053B62F9"/>
    <w:rsid w:val="055A55B4"/>
    <w:rsid w:val="060E6ACB"/>
    <w:rsid w:val="06F25C63"/>
    <w:rsid w:val="06F3506B"/>
    <w:rsid w:val="071023CF"/>
    <w:rsid w:val="07E239BD"/>
    <w:rsid w:val="08444A26"/>
    <w:rsid w:val="0854278F"/>
    <w:rsid w:val="096D3BBB"/>
    <w:rsid w:val="09B66A82"/>
    <w:rsid w:val="09D0734D"/>
    <w:rsid w:val="0A200008"/>
    <w:rsid w:val="0AD36597"/>
    <w:rsid w:val="0B854033"/>
    <w:rsid w:val="0C0B585A"/>
    <w:rsid w:val="0C7B29E0"/>
    <w:rsid w:val="0C851169"/>
    <w:rsid w:val="0CE642FD"/>
    <w:rsid w:val="0D450893"/>
    <w:rsid w:val="0DA25D4B"/>
    <w:rsid w:val="0DEE0F90"/>
    <w:rsid w:val="0E49572E"/>
    <w:rsid w:val="0EAA23DC"/>
    <w:rsid w:val="0F07055B"/>
    <w:rsid w:val="0F2C4B67"/>
    <w:rsid w:val="0F4075C9"/>
    <w:rsid w:val="0F4946D0"/>
    <w:rsid w:val="0F8B118C"/>
    <w:rsid w:val="0FB03EC1"/>
    <w:rsid w:val="10343A3C"/>
    <w:rsid w:val="10817376"/>
    <w:rsid w:val="10D8487D"/>
    <w:rsid w:val="113A27F3"/>
    <w:rsid w:val="114652DE"/>
    <w:rsid w:val="117F7050"/>
    <w:rsid w:val="11B21EC4"/>
    <w:rsid w:val="11CC15E8"/>
    <w:rsid w:val="12046FD4"/>
    <w:rsid w:val="12374CB3"/>
    <w:rsid w:val="1264760D"/>
    <w:rsid w:val="12DC3AAD"/>
    <w:rsid w:val="12EB16AE"/>
    <w:rsid w:val="130F79DE"/>
    <w:rsid w:val="133A279F"/>
    <w:rsid w:val="133D279D"/>
    <w:rsid w:val="139D445C"/>
    <w:rsid w:val="13AA2559"/>
    <w:rsid w:val="141F7B53"/>
    <w:rsid w:val="1492384F"/>
    <w:rsid w:val="14F94098"/>
    <w:rsid w:val="155F1A38"/>
    <w:rsid w:val="15806971"/>
    <w:rsid w:val="15D07D0B"/>
    <w:rsid w:val="165B5812"/>
    <w:rsid w:val="169A3A63"/>
    <w:rsid w:val="16FA74C1"/>
    <w:rsid w:val="1777F757"/>
    <w:rsid w:val="17B40B54"/>
    <w:rsid w:val="17CE7E68"/>
    <w:rsid w:val="17D9680D"/>
    <w:rsid w:val="17DB2585"/>
    <w:rsid w:val="17EB20F3"/>
    <w:rsid w:val="180513B0"/>
    <w:rsid w:val="181A1635"/>
    <w:rsid w:val="184D6001"/>
    <w:rsid w:val="18891FE1"/>
    <w:rsid w:val="18BD1C8B"/>
    <w:rsid w:val="18E216F1"/>
    <w:rsid w:val="199B021E"/>
    <w:rsid w:val="19A40A22"/>
    <w:rsid w:val="19CC3D4F"/>
    <w:rsid w:val="1A0758B3"/>
    <w:rsid w:val="1A9C424D"/>
    <w:rsid w:val="1AB316BA"/>
    <w:rsid w:val="1B1A7868"/>
    <w:rsid w:val="1B5763C6"/>
    <w:rsid w:val="1BD244ED"/>
    <w:rsid w:val="1C6532C0"/>
    <w:rsid w:val="1CAE20B1"/>
    <w:rsid w:val="1CF96883"/>
    <w:rsid w:val="1D203EFF"/>
    <w:rsid w:val="1D2C232B"/>
    <w:rsid w:val="1D4E55A7"/>
    <w:rsid w:val="1D7C2114"/>
    <w:rsid w:val="1D9F518C"/>
    <w:rsid w:val="1DEB1048"/>
    <w:rsid w:val="1E513FF3"/>
    <w:rsid w:val="1EEB4ADC"/>
    <w:rsid w:val="1EFF76EF"/>
    <w:rsid w:val="1F0A4FA5"/>
    <w:rsid w:val="1F5F1CED"/>
    <w:rsid w:val="1F6F5AB9"/>
    <w:rsid w:val="200C59D1"/>
    <w:rsid w:val="204A66E0"/>
    <w:rsid w:val="20AF5F3A"/>
    <w:rsid w:val="20E753F6"/>
    <w:rsid w:val="22792CA9"/>
    <w:rsid w:val="23A221A9"/>
    <w:rsid w:val="25A91F14"/>
    <w:rsid w:val="25B14925"/>
    <w:rsid w:val="25DF1492"/>
    <w:rsid w:val="266F4F92"/>
    <w:rsid w:val="267A740D"/>
    <w:rsid w:val="27160864"/>
    <w:rsid w:val="27206206"/>
    <w:rsid w:val="27856069"/>
    <w:rsid w:val="27ED7391"/>
    <w:rsid w:val="28074CD0"/>
    <w:rsid w:val="286E07B0"/>
    <w:rsid w:val="29E4176D"/>
    <w:rsid w:val="29FF73BE"/>
    <w:rsid w:val="2A32640D"/>
    <w:rsid w:val="2A9F38E6"/>
    <w:rsid w:val="2AEC2D35"/>
    <w:rsid w:val="2B434271"/>
    <w:rsid w:val="2BCA04EF"/>
    <w:rsid w:val="2C3F712F"/>
    <w:rsid w:val="2CB52F4D"/>
    <w:rsid w:val="2D6B3436"/>
    <w:rsid w:val="2D745BE9"/>
    <w:rsid w:val="2D8F7DB2"/>
    <w:rsid w:val="2DE0049D"/>
    <w:rsid w:val="2E1168A9"/>
    <w:rsid w:val="2E141EF5"/>
    <w:rsid w:val="2E470F56"/>
    <w:rsid w:val="2EBF198B"/>
    <w:rsid w:val="2F3565C7"/>
    <w:rsid w:val="2FDDF987"/>
    <w:rsid w:val="30E86304"/>
    <w:rsid w:val="31F340BE"/>
    <w:rsid w:val="32766BCA"/>
    <w:rsid w:val="32DA3B36"/>
    <w:rsid w:val="33B01B25"/>
    <w:rsid w:val="33EB5DD3"/>
    <w:rsid w:val="34922353"/>
    <w:rsid w:val="34B87A7E"/>
    <w:rsid w:val="354B027F"/>
    <w:rsid w:val="35FEFD93"/>
    <w:rsid w:val="36A2536A"/>
    <w:rsid w:val="37357164"/>
    <w:rsid w:val="379F4F25"/>
    <w:rsid w:val="37D760D3"/>
    <w:rsid w:val="37EF7183"/>
    <w:rsid w:val="37F906D2"/>
    <w:rsid w:val="394713D0"/>
    <w:rsid w:val="398E5251"/>
    <w:rsid w:val="39BD02DE"/>
    <w:rsid w:val="3B973013"/>
    <w:rsid w:val="3B974891"/>
    <w:rsid w:val="3BF33A92"/>
    <w:rsid w:val="3C7A1ABD"/>
    <w:rsid w:val="3C8C1F1C"/>
    <w:rsid w:val="3CE5162C"/>
    <w:rsid w:val="3D255578"/>
    <w:rsid w:val="3D2E3E42"/>
    <w:rsid w:val="3D5C074C"/>
    <w:rsid w:val="3D5D2C46"/>
    <w:rsid w:val="3D874491"/>
    <w:rsid w:val="3E0B50C2"/>
    <w:rsid w:val="3E3D2DA2"/>
    <w:rsid w:val="3EA572C5"/>
    <w:rsid w:val="3EF13B0F"/>
    <w:rsid w:val="3EFBF42B"/>
    <w:rsid w:val="3EFD0CD4"/>
    <w:rsid w:val="3F4A7E6C"/>
    <w:rsid w:val="40104C12"/>
    <w:rsid w:val="40152231"/>
    <w:rsid w:val="40512B35"/>
    <w:rsid w:val="40714F85"/>
    <w:rsid w:val="407E5A74"/>
    <w:rsid w:val="4189498B"/>
    <w:rsid w:val="41FA6ED2"/>
    <w:rsid w:val="42167A81"/>
    <w:rsid w:val="433F0E43"/>
    <w:rsid w:val="43811983"/>
    <w:rsid w:val="44AE0556"/>
    <w:rsid w:val="454315E6"/>
    <w:rsid w:val="4597548E"/>
    <w:rsid w:val="462A1905"/>
    <w:rsid w:val="46712E10"/>
    <w:rsid w:val="468408E6"/>
    <w:rsid w:val="46E62229"/>
    <w:rsid w:val="46EF2F88"/>
    <w:rsid w:val="473D5EA7"/>
    <w:rsid w:val="47E6076A"/>
    <w:rsid w:val="480A1F47"/>
    <w:rsid w:val="485975AD"/>
    <w:rsid w:val="485D476D"/>
    <w:rsid w:val="489355A5"/>
    <w:rsid w:val="48B11518"/>
    <w:rsid w:val="494D2A33"/>
    <w:rsid w:val="4961203A"/>
    <w:rsid w:val="49BA5BA1"/>
    <w:rsid w:val="49D10483"/>
    <w:rsid w:val="4A253068"/>
    <w:rsid w:val="4A40069B"/>
    <w:rsid w:val="4AE41970"/>
    <w:rsid w:val="4B1E2F91"/>
    <w:rsid w:val="4B68207B"/>
    <w:rsid w:val="4B7342A7"/>
    <w:rsid w:val="4BFF3048"/>
    <w:rsid w:val="4C312198"/>
    <w:rsid w:val="4C6D4614"/>
    <w:rsid w:val="4C810E93"/>
    <w:rsid w:val="4D096C71"/>
    <w:rsid w:val="4D1614DE"/>
    <w:rsid w:val="4D7F5185"/>
    <w:rsid w:val="4DA62712"/>
    <w:rsid w:val="4DCD3478"/>
    <w:rsid w:val="4DF4A872"/>
    <w:rsid w:val="4F29184C"/>
    <w:rsid w:val="4F578DFD"/>
    <w:rsid w:val="4F727661"/>
    <w:rsid w:val="4F772274"/>
    <w:rsid w:val="4FD80B7D"/>
    <w:rsid w:val="502C679A"/>
    <w:rsid w:val="503C160C"/>
    <w:rsid w:val="504B2EFC"/>
    <w:rsid w:val="50DB26D2"/>
    <w:rsid w:val="51266A33"/>
    <w:rsid w:val="513C4F71"/>
    <w:rsid w:val="515F3303"/>
    <w:rsid w:val="520C2D5F"/>
    <w:rsid w:val="52481FEA"/>
    <w:rsid w:val="528D04C5"/>
    <w:rsid w:val="530A3743"/>
    <w:rsid w:val="53894668"/>
    <w:rsid w:val="53994B7A"/>
    <w:rsid w:val="53A4547B"/>
    <w:rsid w:val="540C39AE"/>
    <w:rsid w:val="54302D35"/>
    <w:rsid w:val="54455B6E"/>
    <w:rsid w:val="544F687F"/>
    <w:rsid w:val="54515744"/>
    <w:rsid w:val="546038DA"/>
    <w:rsid w:val="54F94081"/>
    <w:rsid w:val="551045B4"/>
    <w:rsid w:val="55DD0C9B"/>
    <w:rsid w:val="55DD72CA"/>
    <w:rsid w:val="565A678F"/>
    <w:rsid w:val="56C65BD3"/>
    <w:rsid w:val="5778511F"/>
    <w:rsid w:val="58AD0DF8"/>
    <w:rsid w:val="59077600"/>
    <w:rsid w:val="59A81801"/>
    <w:rsid w:val="5A323AEF"/>
    <w:rsid w:val="5A3E4763"/>
    <w:rsid w:val="5AA426FF"/>
    <w:rsid w:val="5AD7215D"/>
    <w:rsid w:val="5AEF57B4"/>
    <w:rsid w:val="5B1E422F"/>
    <w:rsid w:val="5C8956D8"/>
    <w:rsid w:val="5D167A64"/>
    <w:rsid w:val="5D425E6D"/>
    <w:rsid w:val="5D7B7CD1"/>
    <w:rsid w:val="5DF5C7D1"/>
    <w:rsid w:val="5E0E058B"/>
    <w:rsid w:val="5E4105E7"/>
    <w:rsid w:val="5EDE0D55"/>
    <w:rsid w:val="5FCA04E2"/>
    <w:rsid w:val="5FD41360"/>
    <w:rsid w:val="5FF622D0"/>
    <w:rsid w:val="600B28A8"/>
    <w:rsid w:val="60581E83"/>
    <w:rsid w:val="60EA0710"/>
    <w:rsid w:val="61972646"/>
    <w:rsid w:val="61AE540E"/>
    <w:rsid w:val="61B21DD0"/>
    <w:rsid w:val="61BD67C2"/>
    <w:rsid w:val="61C947C9"/>
    <w:rsid w:val="62202ABB"/>
    <w:rsid w:val="624520A2"/>
    <w:rsid w:val="629965B2"/>
    <w:rsid w:val="63CE58D0"/>
    <w:rsid w:val="63E678B4"/>
    <w:rsid w:val="64DC13D0"/>
    <w:rsid w:val="651D6963"/>
    <w:rsid w:val="65AC69E5"/>
    <w:rsid w:val="65BA0ED1"/>
    <w:rsid w:val="65C94D98"/>
    <w:rsid w:val="65DA6FA5"/>
    <w:rsid w:val="65DF0A5F"/>
    <w:rsid w:val="66AD02DF"/>
    <w:rsid w:val="66C73830"/>
    <w:rsid w:val="670342D9"/>
    <w:rsid w:val="6737716A"/>
    <w:rsid w:val="67BA7A3C"/>
    <w:rsid w:val="67DA171E"/>
    <w:rsid w:val="68012F0F"/>
    <w:rsid w:val="684921C0"/>
    <w:rsid w:val="686C3C81"/>
    <w:rsid w:val="688B65D3"/>
    <w:rsid w:val="68C56C31"/>
    <w:rsid w:val="69440841"/>
    <w:rsid w:val="69877444"/>
    <w:rsid w:val="69913E1E"/>
    <w:rsid w:val="6A382F5A"/>
    <w:rsid w:val="6A4E61B3"/>
    <w:rsid w:val="6A5F7893"/>
    <w:rsid w:val="6ACD70D8"/>
    <w:rsid w:val="6AF53F51"/>
    <w:rsid w:val="6B58739C"/>
    <w:rsid w:val="6B880F07"/>
    <w:rsid w:val="6C016845"/>
    <w:rsid w:val="6C1520FC"/>
    <w:rsid w:val="6C9FBE96"/>
    <w:rsid w:val="6D260D22"/>
    <w:rsid w:val="6D914BEF"/>
    <w:rsid w:val="6D9E2FAE"/>
    <w:rsid w:val="6E041063"/>
    <w:rsid w:val="6E3012D7"/>
    <w:rsid w:val="6E3D6323"/>
    <w:rsid w:val="6E6D1EE8"/>
    <w:rsid w:val="6EB732A8"/>
    <w:rsid w:val="6F26088D"/>
    <w:rsid w:val="6F96218E"/>
    <w:rsid w:val="700258BD"/>
    <w:rsid w:val="703379DD"/>
    <w:rsid w:val="70501F38"/>
    <w:rsid w:val="71375833"/>
    <w:rsid w:val="715220E5"/>
    <w:rsid w:val="7183488E"/>
    <w:rsid w:val="71985EC1"/>
    <w:rsid w:val="722649FF"/>
    <w:rsid w:val="724539F8"/>
    <w:rsid w:val="72457D99"/>
    <w:rsid w:val="72A100AA"/>
    <w:rsid w:val="72B556A2"/>
    <w:rsid w:val="72DF2B29"/>
    <w:rsid w:val="732E5C04"/>
    <w:rsid w:val="7369671C"/>
    <w:rsid w:val="73F741F0"/>
    <w:rsid w:val="73FAAFAD"/>
    <w:rsid w:val="7420296E"/>
    <w:rsid w:val="74A63406"/>
    <w:rsid w:val="74DF1FB9"/>
    <w:rsid w:val="752210D4"/>
    <w:rsid w:val="753A5F73"/>
    <w:rsid w:val="753E6716"/>
    <w:rsid w:val="75AF5D58"/>
    <w:rsid w:val="7618000C"/>
    <w:rsid w:val="76366479"/>
    <w:rsid w:val="76A07D97"/>
    <w:rsid w:val="76FA74A7"/>
    <w:rsid w:val="76FFC3DD"/>
    <w:rsid w:val="775972A4"/>
    <w:rsid w:val="7777E031"/>
    <w:rsid w:val="77881D70"/>
    <w:rsid w:val="779F3151"/>
    <w:rsid w:val="77CE4490"/>
    <w:rsid w:val="77EBA314"/>
    <w:rsid w:val="77FE6B23"/>
    <w:rsid w:val="78126A72"/>
    <w:rsid w:val="786126FD"/>
    <w:rsid w:val="78A0B416"/>
    <w:rsid w:val="78AA0A59"/>
    <w:rsid w:val="79513566"/>
    <w:rsid w:val="797E04DE"/>
    <w:rsid w:val="7A2F35B1"/>
    <w:rsid w:val="7A59555E"/>
    <w:rsid w:val="7AE74BA9"/>
    <w:rsid w:val="7B043E82"/>
    <w:rsid w:val="7B234AF2"/>
    <w:rsid w:val="7B4B6523"/>
    <w:rsid w:val="7BB31428"/>
    <w:rsid w:val="7BB53345"/>
    <w:rsid w:val="7BD7C99D"/>
    <w:rsid w:val="7BFBBF5B"/>
    <w:rsid w:val="7C120DEF"/>
    <w:rsid w:val="7C1B1867"/>
    <w:rsid w:val="7C7F36AD"/>
    <w:rsid w:val="7CB93EFC"/>
    <w:rsid w:val="7CC86220"/>
    <w:rsid w:val="7CE54755"/>
    <w:rsid w:val="7CE905BC"/>
    <w:rsid w:val="7D760D57"/>
    <w:rsid w:val="7D9B7410"/>
    <w:rsid w:val="7DA95783"/>
    <w:rsid w:val="7DFF2F1F"/>
    <w:rsid w:val="7DFFC0A5"/>
    <w:rsid w:val="7E161B3A"/>
    <w:rsid w:val="7E4D4360"/>
    <w:rsid w:val="7E7924D3"/>
    <w:rsid w:val="7EEFA6D1"/>
    <w:rsid w:val="7EEFF5C5"/>
    <w:rsid w:val="7F0D3AEF"/>
    <w:rsid w:val="7F233313"/>
    <w:rsid w:val="7F280963"/>
    <w:rsid w:val="7F43A97C"/>
    <w:rsid w:val="7F5CA056"/>
    <w:rsid w:val="7F7444B8"/>
    <w:rsid w:val="7F8C0EB8"/>
    <w:rsid w:val="7FB4652F"/>
    <w:rsid w:val="7FBA362F"/>
    <w:rsid w:val="7FD5285F"/>
    <w:rsid w:val="7FD76CB1"/>
    <w:rsid w:val="7FDF6058"/>
    <w:rsid w:val="7FDFF3AB"/>
    <w:rsid w:val="7FF6A7F6"/>
    <w:rsid w:val="7FFDD85C"/>
    <w:rsid w:val="7FFFA025"/>
    <w:rsid w:val="8BBE5FE2"/>
    <w:rsid w:val="9BF1CD2D"/>
    <w:rsid w:val="9EF902EF"/>
    <w:rsid w:val="A67F5D9D"/>
    <w:rsid w:val="AADDA890"/>
    <w:rsid w:val="ABEDCBD7"/>
    <w:rsid w:val="AD1B1BE1"/>
    <w:rsid w:val="AF6B3DFB"/>
    <w:rsid w:val="B35F0A04"/>
    <w:rsid w:val="B6E7C33B"/>
    <w:rsid w:val="B6F7B6B0"/>
    <w:rsid w:val="B7F7DAED"/>
    <w:rsid w:val="B9B7E667"/>
    <w:rsid w:val="B9BF37AD"/>
    <w:rsid w:val="BBBF74F2"/>
    <w:rsid w:val="BBFDB7A0"/>
    <w:rsid w:val="BBFF5038"/>
    <w:rsid w:val="BE593D33"/>
    <w:rsid w:val="BEF39B55"/>
    <w:rsid w:val="BEFD6136"/>
    <w:rsid w:val="BF7B6B02"/>
    <w:rsid w:val="BFCF258F"/>
    <w:rsid w:val="BFFD9295"/>
    <w:rsid w:val="BFFF9F67"/>
    <w:rsid w:val="CEFD65C4"/>
    <w:rsid w:val="CFEBD48C"/>
    <w:rsid w:val="D7EDED82"/>
    <w:rsid w:val="D9ED1252"/>
    <w:rsid w:val="DDDFA1BA"/>
    <w:rsid w:val="DE5FCADE"/>
    <w:rsid w:val="DF7F1169"/>
    <w:rsid w:val="DFFC9E35"/>
    <w:rsid w:val="EDB9B1B2"/>
    <w:rsid w:val="EEDF626D"/>
    <w:rsid w:val="F3FD38AB"/>
    <w:rsid w:val="F5B34AA4"/>
    <w:rsid w:val="F6FFA8F6"/>
    <w:rsid w:val="F97F58B1"/>
    <w:rsid w:val="FAFBC2EB"/>
    <w:rsid w:val="FBE75BCE"/>
    <w:rsid w:val="FCEFA801"/>
    <w:rsid w:val="FD7DFE50"/>
    <w:rsid w:val="FE9FEF3A"/>
    <w:rsid w:val="FF335EB3"/>
    <w:rsid w:val="FF731AAF"/>
    <w:rsid w:val="FFCF27D8"/>
    <w:rsid w:val="FFDF27B8"/>
    <w:rsid w:val="FFF74D72"/>
    <w:rsid w:val="FFF7BE34"/>
    <w:rsid w:val="FFFD9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微软雅黑" w:cs="Times New Roman"/>
      <w:kern w:val="2"/>
      <w:sz w:val="21"/>
      <w:lang w:val="en-US" w:eastAsia="zh-CN" w:bidi="ar-SA"/>
    </w:rPr>
  </w:style>
  <w:style w:type="paragraph" w:styleId="3">
    <w:name w:val="heading 1"/>
    <w:basedOn w:val="1"/>
    <w:next w:val="1"/>
    <w:qFormat/>
    <w:locked/>
    <w:uiPriority w:val="0"/>
    <w:pPr>
      <w:keepNext/>
      <w:keepLines/>
      <w:spacing w:beforeLines="0" w:beforeAutospacing="0" w:afterLines="0" w:afterAutospacing="0" w:line="560" w:lineRule="exact"/>
      <w:ind w:firstLine="672" w:firstLineChars="200"/>
      <w:jc w:val="left"/>
      <w:outlineLvl w:val="0"/>
    </w:pPr>
    <w:rPr>
      <w:rFonts w:ascii="Times New Roman" w:hAnsi="Times New Roman" w:eastAsia="黑体"/>
      <w:kern w:val="44"/>
      <w:sz w:val="32"/>
    </w:rPr>
  </w:style>
  <w:style w:type="paragraph" w:styleId="4">
    <w:name w:val="heading 2"/>
    <w:basedOn w:val="1"/>
    <w:next w:val="1"/>
    <w:unhideWhenUsed/>
    <w:qFormat/>
    <w:locked/>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_GB2312"/>
      <w:sz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Date"/>
    <w:basedOn w:val="1"/>
    <w:next w:val="1"/>
    <w:link w:val="19"/>
    <w:qFormat/>
    <w:uiPriority w:val="99"/>
    <w:pPr>
      <w:ind w:left="100" w:leftChars="2500"/>
    </w:pPr>
    <w:rPr>
      <w:kern w:val="0"/>
      <w:sz w:val="20"/>
      <w:lang w:val="zh-CN" w:eastAsia="zh-CN"/>
    </w:rPr>
  </w:style>
  <w:style w:type="paragraph" w:styleId="6">
    <w:name w:val="Balloon Text"/>
    <w:basedOn w:val="1"/>
    <w:link w:val="23"/>
    <w:semiHidden/>
    <w:unhideWhenUsed/>
    <w:qFormat/>
    <w:uiPriority w:val="99"/>
    <w:rPr>
      <w:sz w:val="18"/>
      <w:szCs w:val="18"/>
      <w:lang w:val="zh-CN" w:eastAsia="zh-CN"/>
    </w:rPr>
  </w:style>
  <w:style w:type="paragraph" w:styleId="7">
    <w:name w:val="footer"/>
    <w:basedOn w:val="1"/>
    <w:link w:val="18"/>
    <w:qFormat/>
    <w:uiPriority w:val="99"/>
    <w:pPr>
      <w:tabs>
        <w:tab w:val="center" w:pos="4153"/>
        <w:tab w:val="right" w:pos="8306"/>
      </w:tabs>
      <w:snapToGrid w:val="0"/>
      <w:jc w:val="left"/>
    </w:pPr>
    <w:rPr>
      <w:kern w:val="0"/>
      <w:sz w:val="18"/>
      <w:szCs w:val="18"/>
      <w:lang w:val="zh-CN" w:eastAsia="zh-CN"/>
    </w:rPr>
  </w:style>
  <w:style w:type="paragraph" w:styleId="8">
    <w:name w:val="header"/>
    <w:basedOn w:val="1"/>
    <w:link w:val="20"/>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9">
    <w:name w:val="toc 1"/>
    <w:basedOn w:val="3"/>
    <w:next w:val="4"/>
    <w:qFormat/>
    <w:locked/>
    <w:uiPriority w:val="0"/>
  </w:style>
  <w:style w:type="paragraph" w:styleId="10">
    <w:name w:val="footnote text"/>
    <w:basedOn w:val="1"/>
    <w:link w:val="24"/>
    <w:semiHidden/>
    <w:unhideWhenUsed/>
    <w:qFormat/>
    <w:uiPriority w:val="99"/>
    <w:pPr>
      <w:snapToGrid w:val="0"/>
      <w:jc w:val="left"/>
    </w:pPr>
    <w:rPr>
      <w:sz w:val="18"/>
      <w:szCs w:val="18"/>
    </w:rPr>
  </w:style>
  <w:style w:type="paragraph" w:styleId="11">
    <w:name w:val="toc 2"/>
    <w:basedOn w:val="4"/>
    <w:next w:val="1"/>
    <w:qFormat/>
    <w:locked/>
    <w:uiPriority w:val="0"/>
    <w:pPr>
      <w:ind w:left="420" w:leftChars="200"/>
    </w:pPr>
  </w:style>
  <w:style w:type="paragraph" w:styleId="12">
    <w:name w:val="Normal (Web)"/>
    <w:basedOn w:val="1"/>
    <w:qFormat/>
    <w:uiPriority w:val="99"/>
    <w:pPr>
      <w:spacing w:beforeAutospacing="1" w:afterAutospacing="1"/>
      <w:jc w:val="left"/>
    </w:pPr>
    <w:rPr>
      <w:kern w:val="0"/>
      <w:sz w:val="24"/>
      <w:szCs w:val="24"/>
    </w:rPr>
  </w:style>
  <w:style w:type="paragraph" w:styleId="13">
    <w:name w:val="Body Text First Indent 2"/>
    <w:basedOn w:val="1"/>
    <w:next w:val="5"/>
    <w:unhideWhenUsed/>
    <w:qFormat/>
    <w:uiPriority w:val="99"/>
    <w:pPr>
      <w:ind w:firstLine="420" w:firstLineChars="200"/>
    </w:pPr>
    <w:rPr>
      <w:szCs w:val="21"/>
    </w:rPr>
  </w:style>
  <w:style w:type="character" w:styleId="16">
    <w:name w:val="page number"/>
    <w:qFormat/>
    <w:uiPriority w:val="99"/>
    <w:rPr>
      <w:rFonts w:cs="Times New Roman"/>
    </w:rPr>
  </w:style>
  <w:style w:type="character" w:styleId="17">
    <w:name w:val="footnote reference"/>
    <w:semiHidden/>
    <w:unhideWhenUsed/>
    <w:qFormat/>
    <w:uiPriority w:val="99"/>
    <w:rPr>
      <w:vertAlign w:val="superscript"/>
    </w:rPr>
  </w:style>
  <w:style w:type="character" w:customStyle="1" w:styleId="18">
    <w:name w:val="页脚 字符"/>
    <w:link w:val="7"/>
    <w:semiHidden/>
    <w:qFormat/>
    <w:locked/>
    <w:uiPriority w:val="99"/>
    <w:rPr>
      <w:rFonts w:cs="Times New Roman"/>
      <w:sz w:val="18"/>
      <w:szCs w:val="18"/>
    </w:rPr>
  </w:style>
  <w:style w:type="character" w:customStyle="1" w:styleId="19">
    <w:name w:val="日期 字符"/>
    <w:link w:val="5"/>
    <w:semiHidden/>
    <w:qFormat/>
    <w:locked/>
    <w:uiPriority w:val="99"/>
    <w:rPr>
      <w:rFonts w:cs="Times New Roman"/>
      <w:sz w:val="20"/>
      <w:szCs w:val="20"/>
    </w:rPr>
  </w:style>
  <w:style w:type="character" w:customStyle="1" w:styleId="20">
    <w:name w:val="页眉 字符"/>
    <w:link w:val="8"/>
    <w:semiHidden/>
    <w:qFormat/>
    <w:locked/>
    <w:uiPriority w:val="99"/>
    <w:rPr>
      <w:rFonts w:cs="Times New Roman"/>
      <w:sz w:val="18"/>
      <w:szCs w:val="18"/>
    </w:rPr>
  </w:style>
  <w:style w:type="paragraph" w:customStyle="1" w:styleId="21">
    <w:name w:val="p16"/>
    <w:basedOn w:val="1"/>
    <w:qFormat/>
    <w:uiPriority w:val="99"/>
    <w:pPr>
      <w:widowControl/>
    </w:pPr>
    <w:rPr>
      <w:kern w:val="0"/>
      <w:szCs w:val="21"/>
    </w:rPr>
  </w:style>
  <w:style w:type="paragraph" w:customStyle="1" w:styleId="22">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3">
    <w:name w:val="批注框文本 字符"/>
    <w:link w:val="6"/>
    <w:semiHidden/>
    <w:qFormat/>
    <w:uiPriority w:val="99"/>
    <w:rPr>
      <w:kern w:val="2"/>
      <w:sz w:val="18"/>
      <w:szCs w:val="18"/>
    </w:rPr>
  </w:style>
  <w:style w:type="character" w:customStyle="1" w:styleId="24">
    <w:name w:val="脚注文本 字符"/>
    <w:link w:val="10"/>
    <w:semiHidden/>
    <w:qFormat/>
    <w:uiPriority w:val="99"/>
    <w:rPr>
      <w:kern w:val="2"/>
      <w:sz w:val="18"/>
      <w:szCs w:val="18"/>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11</Pages>
  <Words>3854</Words>
  <Characters>3976</Characters>
  <Lines>47</Lines>
  <Paragraphs>13</Paragraphs>
  <TotalTime>240</TotalTime>
  <ScaleCrop>false</ScaleCrop>
  <LinksUpToDate>false</LinksUpToDate>
  <CharactersWithSpaces>4131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2022-09-20T22:50:00Z</dcterms:created>
  <dc:creator>雨林木风</dc:creator>
  <cp:lastModifiedBy>jinghaiqu</cp:lastModifiedBy>
  <cp:lastPrinted>2023-07-20T19:43:00Z</cp:lastPrinted>
  <dcterms:modified xsi:type="dcterms:W3CDTF">2023-10-23T11:32:07Z</dcterms:modified>
  <dc:title>关于印发静海县创建全国农村中医药工作先进单位活动实施方案的通知</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8A1D187B67AD4932B035074269DFABA7_13</vt:lpwstr>
  </property>
</Properties>
</file>